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752A" w14:textId="28F5F43D" w:rsidR="009F0928" w:rsidRDefault="002112BD">
      <w:pPr>
        <w:rPr>
          <w:rFonts w:ascii="Times New Roman" w:hAnsi="Times New Roman"/>
          <w:vanish/>
          <w:sz w:val="20"/>
          <w:szCs w:val="20"/>
        </w:rPr>
      </w:pPr>
      <w:r>
        <w:rPr>
          <w:rFonts w:ascii="Times New Roman" w:eastAsia="宋体" w:hAnsi="Times New Roman"/>
          <w:sz w:val="20"/>
          <w:szCs w:val="20"/>
        </w:rPr>
        <w:t xml:space="preserve"> </w:t>
      </w:r>
      <w:r>
        <w:rPr>
          <w:rFonts w:ascii="Times New Roman" w:eastAsia="宋体" w:hAnsi="Times New Roman"/>
          <w:vanish/>
          <w:sz w:val="20"/>
          <w:szCs w:val="20"/>
        </w:rPr>
        <w:t>false--12-31FY20190001065088000P2Y0000.0010.001358000000035800000009150000007960000000.00480.0087P5Y25000000P1YP1MP7YP5YP1Y00.00110000000.0000P3YP5YP1YP1YP30YP3YP5Y21000000P5YP3Y0.50.50.50.50.50.5P10YP7Y763000000897000000 0001065088 2019-01-01 2019-12-31 0</w:t>
      </w:r>
      <w:r>
        <w:rPr>
          <w:rFonts w:ascii="Times New Roman" w:eastAsia="宋体" w:hAnsi="Times New Roman"/>
          <w:vanish/>
          <w:sz w:val="20"/>
          <w:szCs w:val="20"/>
        </w:rPr>
        <w:t>001065088 ebay:SixPointZeroPercentSeniorNotesDueOn2056Member 2019-01-01 2019-12-31 0001065088 us-gaap:CommonStockMember 2019-01-01 2019-12-31 0001065088 2020-01-27 0001065088 2019-06-30 0001065088 2018-12-31 0001065088 2019-12-31 0001065088 2018-01-01 2018</w:t>
      </w:r>
      <w:r>
        <w:rPr>
          <w:rFonts w:ascii="Times New Roman" w:eastAsia="宋体" w:hAnsi="Times New Roman"/>
          <w:vanish/>
          <w:sz w:val="20"/>
          <w:szCs w:val="20"/>
        </w:rPr>
        <w:t>-12-31 0001065088 2017-01-01 2017-12-31 0001065088 us-gaap:TreasuryStockMember 2017-01-01 2017-12-31 0001065088 us-gaap:AdditionalPaidInCapitalMember 2018-12-31 0001065088 us-gaap:CommonStockMember 2017-01-01 2017-12-31 0001065088 us-gaap:CommonStockMember</w:t>
      </w:r>
      <w:r>
        <w:rPr>
          <w:rFonts w:ascii="Times New Roman" w:eastAsia="宋体" w:hAnsi="Times New Roman"/>
          <w:vanish/>
          <w:sz w:val="20"/>
          <w:szCs w:val="20"/>
        </w:rPr>
        <w:t xml:space="preserve"> 2018-12-31 0001065088 us-gaap:AdditionalPaidInCapitalMember 2018-01-01 2018-12-31 0001065088 us-gaap:AdditionalPaidInCapitalMember 2019-01-01 2019-12-31 0001065088 us-gaap:CommonStockMember 2019-12-31 0001065088 us-gaap:RetainedEarningsMember 2016-12-31 0</w:t>
      </w:r>
      <w:r>
        <w:rPr>
          <w:rFonts w:ascii="Times New Roman" w:eastAsia="宋体" w:hAnsi="Times New Roman"/>
          <w:vanish/>
          <w:sz w:val="20"/>
          <w:szCs w:val="20"/>
        </w:rPr>
        <w:t>001065088 us-gaap:TreasuryStockMember 2018-12-31 0001065088 us-gaap:RetainedEarningsMember 2018-01-01 2018-12-31 0001065088 us-gaap:AccumulatedOtherComprehensiveIncomeMember 2016-12-31 0001065088 us-gaap:AccumulatedOtherComprehensiveIncomeMember 2018-01-01</w:t>
      </w:r>
      <w:r>
        <w:rPr>
          <w:rFonts w:ascii="Times New Roman" w:eastAsia="宋体" w:hAnsi="Times New Roman"/>
          <w:vanish/>
          <w:sz w:val="20"/>
          <w:szCs w:val="20"/>
        </w:rPr>
        <w:t xml:space="preserve"> 2018-12-31 0001065088 us-gaap:AccumulatedOtherComprehensiveIncomeMember 2017-01-01 2017-12-31 0001065088 us-gaap:AdditionalPaidInCapitalMember 2017-01-01 2017-12-31 0001065088 us-gaap:TreasuryStockMember 2017-12-31 0001065088 us-gaap:AccumulatedOtherCompr</w:t>
      </w:r>
      <w:r>
        <w:rPr>
          <w:rFonts w:ascii="Times New Roman" w:eastAsia="宋体" w:hAnsi="Times New Roman"/>
          <w:vanish/>
          <w:sz w:val="20"/>
          <w:szCs w:val="20"/>
        </w:rPr>
        <w:t>ehensiveIncomeMember 2019-01-01 2019-12-31 0001065088 us-gaap:CommonStockMember 2018-01-01 2018-12-31 0001065088 us-gaap:RetainedEarningsMember 2019-12-31 0001065088 us-gaap:TreasuryStockMember 2019-12-31 0001065088 us-gaap:AdditionalPaidInCapitalMember 20</w:t>
      </w:r>
      <w:r>
        <w:rPr>
          <w:rFonts w:ascii="Times New Roman" w:eastAsia="宋体" w:hAnsi="Times New Roman"/>
          <w:vanish/>
          <w:sz w:val="20"/>
          <w:szCs w:val="20"/>
        </w:rPr>
        <w:t>17-12-31 0001065088 us-gaap:CommonStockMember 2016-12-31 0001065088 us-gaap:AccumulatedOtherComprehensiveIncomeMember 2018-12-31 0001065088 us-gaap:AccumulatedOtherComprehensiveIncomeMember 2017-12-31 0001065088 us-gaap:CommonStockMember 2017-12-31 0001065</w:t>
      </w:r>
      <w:r>
        <w:rPr>
          <w:rFonts w:ascii="Times New Roman" w:eastAsia="宋体" w:hAnsi="Times New Roman"/>
          <w:vanish/>
          <w:sz w:val="20"/>
          <w:szCs w:val="20"/>
        </w:rPr>
        <w:t>088 us-gaap:TreasuryStockMember 2019-01-01 2019-12-31 0001065088 us-gaap:RetainedEarningsMember 2017-12-31 0001065088 us-gaap:RetainedEarningsMember 2019-01-01 2019-12-31 0001065088 us-gaap:CommonStockMember 2019-01-01 2019-12-31 0001065088 us-gaap:Retaine</w:t>
      </w:r>
      <w:r>
        <w:rPr>
          <w:rFonts w:ascii="Times New Roman" w:eastAsia="宋体" w:hAnsi="Times New Roman"/>
          <w:vanish/>
          <w:sz w:val="20"/>
          <w:szCs w:val="20"/>
        </w:rPr>
        <w:t>dEarningsMember 2017-01-01 2017-12-31 0001065088 us-gaap:RetainedEarningsMember 2018-12-31 0001065088 us-gaap:TreasuryStockMember 2018-01-01 2018-12-31 0001065088 us-gaap:TreasuryStockMember 2016-12-31 0001065088 us-gaap:AdditionalPaidInCapitalMember 2019-</w:t>
      </w:r>
      <w:r>
        <w:rPr>
          <w:rFonts w:ascii="Times New Roman" w:eastAsia="宋体" w:hAnsi="Times New Roman"/>
          <w:vanish/>
          <w:sz w:val="20"/>
          <w:szCs w:val="20"/>
        </w:rPr>
        <w:t>12-31 0001065088 us-gaap:AccumulatedOtherComprehensiveIncomeMember 2019-12-31 0001065088 2017-12-31 0001065088 us-gaap:AdditionalPaidInCapitalMember 2016-12-31 0001065088 ebay:PaytmMallMember 2018-01-01 2018-12-31 0001065088 2016-12-31 0001065088 ebay:Payt</w:t>
      </w:r>
      <w:r>
        <w:rPr>
          <w:rFonts w:ascii="Times New Roman" w:eastAsia="宋体" w:hAnsi="Times New Roman"/>
          <w:vanish/>
          <w:sz w:val="20"/>
          <w:szCs w:val="20"/>
        </w:rPr>
        <w:t>mMallMember 2017-01-01 2017-12-31 0001065088 ebay:FlipkartMember 2019-01-01 2019-12-31 0001065088 ebay:FlipkartMember 2017-01-01 2017-12-31 0001065088 ebay:PaytmMallMember 2019-01-01 2019-12-31 0001065088 ebay:FlipkartMember 2018-01-01 2018-12-31 000106508</w:t>
      </w:r>
      <w:r>
        <w:rPr>
          <w:rFonts w:ascii="Times New Roman" w:eastAsia="宋体" w:hAnsi="Times New Roman"/>
          <w:vanish/>
          <w:sz w:val="20"/>
          <w:szCs w:val="20"/>
        </w:rPr>
        <w:t>8 us-gaap:AccountingStandardsUpdate201602Member 2019-01-01 0001065088 us-gaap:AccountingStandardsUpdate201602Member 2018-12-31 0001065088 ebay:StubHubMember 2019-11-24 0001065088 srt:MaximumMember 2019-01-01 2019-12-31 0001065088 srt:MaximumMember 2019-12-</w:t>
      </w:r>
      <w:r>
        <w:rPr>
          <w:rFonts w:ascii="Times New Roman" w:eastAsia="宋体" w:hAnsi="Times New Roman"/>
          <w:vanish/>
          <w:sz w:val="20"/>
          <w:szCs w:val="20"/>
        </w:rPr>
        <w:t>31 0001065088 2019-01-01 2019-03-31 0001065088 us-gaap:BuildingAndBuildingImprovementsMember 2019-01-01 2019-12-31 0001065088 us-gaap:FurnitureAndFixturesMember 2019-01-01 2019-12-31 0001065088 srt:MaximumMember us-gaap:SoftwareDevelopmentMember 2019-01-01</w:t>
      </w:r>
      <w:r>
        <w:rPr>
          <w:rFonts w:ascii="Times New Roman" w:eastAsia="宋体" w:hAnsi="Times New Roman"/>
          <w:vanish/>
          <w:sz w:val="20"/>
          <w:szCs w:val="20"/>
        </w:rPr>
        <w:t xml:space="preserve"> 2019-12-31 0001065088 srt:MinimumMember us-gaap:SoftwareDevelopmentMember 2019-01-01 2019-12-31 0001065088 srt:MinimumMember 2019-01-01 2019-12-31 0001065088 srt:MaximumMember us-gaap:ComputerEquipmentMember 2019-01-01 2019-12-31 0001065088 srt:MinimumMem</w:t>
      </w:r>
      <w:r>
        <w:rPr>
          <w:rFonts w:ascii="Times New Roman" w:eastAsia="宋体" w:hAnsi="Times New Roman"/>
          <w:vanish/>
          <w:sz w:val="20"/>
          <w:szCs w:val="20"/>
        </w:rPr>
        <w:t>ber us-gaap:ComputerEquipmentMember 2019-01-01 2019-12-31 0001065088 us-gaap:LeaseholdImprovementsMember 2019-01-01 2019-12-31 0001065088 ebay:GlosisMember 2018-12-31 0001065088 ebay:GlosisMember 2018-01-01 2018-12-31 0001065088 ebay:Motors.co.ukMember 201</w:t>
      </w:r>
      <w:r>
        <w:rPr>
          <w:rFonts w:ascii="Times New Roman" w:eastAsia="宋体" w:hAnsi="Times New Roman"/>
          <w:vanish/>
          <w:sz w:val="20"/>
          <w:szCs w:val="20"/>
        </w:rPr>
        <w:t>9-02-01 2019-02-28 0001065088 ebay:Motors.co.ukMember 2019-02-28 0001065088 ebay:StubHubMember 2019-01-01 2019-12-31 0001065088 ebay:MarketplaceMember 2018-01-01 2018-12-31 0001065088 ebay:MarketplaceMember 2017-12-31 0001065088 ebay:ClassifiedsMember 2018</w:t>
      </w:r>
      <w:r>
        <w:rPr>
          <w:rFonts w:ascii="Times New Roman" w:eastAsia="宋体" w:hAnsi="Times New Roman"/>
          <w:vanish/>
          <w:sz w:val="20"/>
          <w:szCs w:val="20"/>
        </w:rPr>
        <w:t>-01-01 2018-12-31 0001065088 ebay:ClassifiedsMember 2019-01-01 2019-12-31 0001065088 ebay:ClassifiedsMember 2019-12-31 0001065088 ebay:MarketplaceMember 2019-12-31 0001065088 ebay:ClassifiedsMember 2017-12-31 0001065088 ebay:StubHubMember 2018-12-31 000106</w:t>
      </w:r>
      <w:r>
        <w:rPr>
          <w:rFonts w:ascii="Times New Roman" w:eastAsia="宋体" w:hAnsi="Times New Roman"/>
          <w:vanish/>
          <w:sz w:val="20"/>
          <w:szCs w:val="20"/>
        </w:rPr>
        <w:t>5088 ebay:ClassifiedsMember 2018-12-31 0001065088 ebay:StubHubMember 2018-01-01 2018-12-31 0001065088 ebay:StubHubMember 2019-12-31 0001065088 ebay:StubHubMember 2017-12-31 0001065088 ebay:MarketplaceMember 2018-12-31 0001065088 ebay:MarketplaceMember 2019</w:t>
      </w:r>
      <w:r>
        <w:rPr>
          <w:rFonts w:ascii="Times New Roman" w:eastAsia="宋体" w:hAnsi="Times New Roman"/>
          <w:vanish/>
          <w:sz w:val="20"/>
          <w:szCs w:val="20"/>
        </w:rPr>
        <w:t xml:space="preserve">-01-01 2019-12-31 0001065088 us-gaap:CustomerListsMember 2018-12-31 0001065088 us-gaap:CustomerListsMember 2019-12-31 0001065088 us-gaap:OtherIntangibleAssetsMember 2018-12-31 0001065088 us-gaap:OtherIntangibleAssetsMember 2019-01-01 2019-12-31 0001065088 </w:t>
      </w:r>
      <w:r>
        <w:rPr>
          <w:rFonts w:ascii="Times New Roman" w:eastAsia="宋体" w:hAnsi="Times New Roman"/>
          <w:vanish/>
          <w:sz w:val="20"/>
          <w:szCs w:val="20"/>
        </w:rPr>
        <w:t>us-gaap:DevelopedTechnologyRightsMember 2018-12-31 0001065088 us-gaap:TrademarksAndTradeNamesMember 2018-12-31 0001065088 us-gaap:DevelopedTechnologyRightsMember 2019-12-31 0001065088 us-gaap:OtherIntangibleAssetsMember 2019-12-31 0001065088 us-gaap:Tradem</w:t>
      </w:r>
      <w:r>
        <w:rPr>
          <w:rFonts w:ascii="Times New Roman" w:eastAsia="宋体" w:hAnsi="Times New Roman"/>
          <w:vanish/>
          <w:sz w:val="20"/>
          <w:szCs w:val="20"/>
        </w:rPr>
        <w:t>arksAndTradeNamesMember 2018-01-01 2018-12-31 0001065088 us-gaap:CustomerListsMember 2018-01-01 2018-12-31 0001065088 us-gaap:DevelopedTechnologyRightsMember 2019-01-01 2019-12-31 0001065088 us-gaap:TrademarksAndTradeNamesMember 2019-12-31 0001065088 us-ga</w:t>
      </w:r>
      <w:r>
        <w:rPr>
          <w:rFonts w:ascii="Times New Roman" w:eastAsia="宋体" w:hAnsi="Times New Roman"/>
          <w:vanish/>
          <w:sz w:val="20"/>
          <w:szCs w:val="20"/>
        </w:rPr>
        <w:t>ap:DevelopedTechnologyRightsMember 2018-01-01 2018-12-31 0001065088 us-gaap:CustomerListsMember 2019-01-01 2019-12-31 0001065088 us-gaap:TrademarksAndTradeNamesMember 2019-01-01 2019-12-31 0001065088 us-gaap:OtherIntangibleAssetsMember 2018-01-01 2018-12-3</w:t>
      </w:r>
      <w:r>
        <w:rPr>
          <w:rFonts w:ascii="Times New Roman" w:eastAsia="宋体" w:hAnsi="Times New Roman"/>
          <w:vanish/>
          <w:sz w:val="20"/>
          <w:szCs w:val="20"/>
        </w:rPr>
        <w:t>1 0001065088 country:GB 2017-01-01 2017-12-31 0001065088 country:DE 2017-01-01 2017-12-31 0001065088 country:KR 2017-01-01 2017-12-31 0001065088 country:GB 2018-01-01 2018-12-31 0001065088 country:US 2018-01-01 2018-12-31 0001065088 country:DE 2019-01-01 2</w:t>
      </w:r>
      <w:r>
        <w:rPr>
          <w:rFonts w:ascii="Times New Roman" w:eastAsia="宋体" w:hAnsi="Times New Roman"/>
          <w:vanish/>
          <w:sz w:val="20"/>
          <w:szCs w:val="20"/>
        </w:rPr>
        <w:t>019-12-31 0001065088 ebay:RestofWorldMember 2017-01-01 2017-12-31 0001065088 country:GB 2019-01-01 2019-12-31 0001065088 country:KR 2019-01-01 2019-12-31 0001065088 country:US 2017-01-01 2017-12-31 0001065088 country:KR 2018-01-01 2018-12-31 0001065088 eba</w:t>
      </w:r>
      <w:r>
        <w:rPr>
          <w:rFonts w:ascii="Times New Roman" w:eastAsia="宋体" w:hAnsi="Times New Roman"/>
          <w:vanish/>
          <w:sz w:val="20"/>
          <w:szCs w:val="20"/>
        </w:rPr>
        <w:t>y:RestofWorldMember 2019-01-01 2019-12-31 0001065088 country:US 2019-01-01 2019-12-31 0001065088 country:DE 2018-01-01 2018-12-31 0001065088 ebay:RestofWorldMember 2018-01-01 2018-12-31 0001065088 us-gaap:OperatingSegmentsMember 2017-01-01 2017-12-31 00010</w:t>
      </w:r>
      <w:r>
        <w:rPr>
          <w:rFonts w:ascii="Times New Roman" w:eastAsia="宋体" w:hAnsi="Times New Roman"/>
          <w:vanish/>
          <w:sz w:val="20"/>
          <w:szCs w:val="20"/>
        </w:rPr>
        <w:t>65088 us-gaap:OperatingSegmentsMember ebay:MarketplaceMember 2018-01-01 2018-12-31 0001065088 us-gaap:OperatingSegmentsMember ebay:MarketplaceMember 2019-01-01 2019-12-31 0001065088 us-gaap:OperatingSegmentsMember ebay:ClassifiedsMember 2019-01-01 2019-12-</w:t>
      </w:r>
      <w:r>
        <w:rPr>
          <w:rFonts w:ascii="Times New Roman" w:eastAsia="宋体" w:hAnsi="Times New Roman"/>
          <w:vanish/>
          <w:sz w:val="20"/>
          <w:szCs w:val="20"/>
        </w:rPr>
        <w:t>31 0001065088 us-gaap:OperatingSegmentsMember ebay:ClassifiedsMember 2018-01-01 2018-12-31 0001065088 us-gaap:OperatingSegmentsMember ebay:StubHubMember 2018-01-01 2018-12-31 0001065088 us-gaap:OperatingSegmentsMember 2019-01-01 2019-12-31 0001065088 us-ga</w:t>
      </w:r>
      <w:r>
        <w:rPr>
          <w:rFonts w:ascii="Times New Roman" w:eastAsia="宋体" w:hAnsi="Times New Roman"/>
          <w:vanish/>
          <w:sz w:val="20"/>
          <w:szCs w:val="20"/>
        </w:rPr>
        <w:t>ap:OperatingSegmentsMember 2018-01-01 2018-12-31 0001065088 us-gaap:OperatingSegmentsMember ebay:ClassifiedsMember 2017-01-01 2017-12-31 0001065088 us-gaap:OperatingSegmentsMember ebay:NetTransactionRevenuesMember ebay:StubHubMember 2018-01-01 2018-12-31 0</w:t>
      </w:r>
      <w:r>
        <w:rPr>
          <w:rFonts w:ascii="Times New Roman" w:eastAsia="宋体" w:hAnsi="Times New Roman"/>
          <w:vanish/>
          <w:sz w:val="20"/>
          <w:szCs w:val="20"/>
        </w:rPr>
        <w:t>001065088 us-gaap:OperatingSegmentsMember ebay:MarketingServicesAndOtherRevenuesMember ebay:MarketplaceMember 2017-01-01 2017-12-31 0001065088 us-gaap:OperatingSegmentsMember ebay:NetTransactionRevenuesMember ebay:MarketplaceMember 2019-01-01 2019-12-31 00</w:t>
      </w:r>
      <w:r>
        <w:rPr>
          <w:rFonts w:ascii="Times New Roman" w:eastAsia="宋体" w:hAnsi="Times New Roman"/>
          <w:vanish/>
          <w:sz w:val="20"/>
          <w:szCs w:val="20"/>
        </w:rPr>
        <w:t>01065088 us-gaap:OperatingSegmentsMember ebay:MarketingServicesAndOtherRevenuesMember ebay:StubHubMember 2017-01-01 2017-12-31 0001065088 srt:ConsolidationEliminationsMember 2017-01-01 2017-12-31 0001065088 us-gaap:OperatingSegmentsMember ebay:StubHubMembe</w:t>
      </w:r>
      <w:r>
        <w:rPr>
          <w:rFonts w:ascii="Times New Roman" w:eastAsia="宋体" w:hAnsi="Times New Roman"/>
          <w:vanish/>
          <w:sz w:val="20"/>
          <w:szCs w:val="20"/>
        </w:rPr>
        <w:t>r 2019-01-01 2019-12-31 0001065088 srt:ConsolidationEliminationsMember 2019-01-01 2019-12-31 0001065088 us-gaap:CorporateNonSegmentMember 2018-01-01 2018-12-31 0001065088 us-gaap:OperatingSegmentsMember ebay:MarketingServicesAndOtherRevenuesMember ebay:Stu</w:t>
      </w:r>
      <w:r>
        <w:rPr>
          <w:rFonts w:ascii="Times New Roman" w:eastAsia="宋体" w:hAnsi="Times New Roman"/>
          <w:vanish/>
          <w:sz w:val="20"/>
          <w:szCs w:val="20"/>
        </w:rPr>
        <w:t>bHubMember 2019-01-01 2019-12-31 0001065088 us-gaap:OperatingSegmentsMember ebay:MarketingServicesAndOtherRevenuesMember ebay:MarketplaceMember 2018-01-01 2018-12-31 0001065088 us-gaap:OperatingSegmentsMember ebay:NetTransactionRevenuesMember ebay:Marketpl</w:t>
      </w:r>
      <w:r>
        <w:rPr>
          <w:rFonts w:ascii="Times New Roman" w:eastAsia="宋体" w:hAnsi="Times New Roman"/>
          <w:vanish/>
          <w:sz w:val="20"/>
          <w:szCs w:val="20"/>
        </w:rPr>
        <w:t>aceMember 2017-01-01 2017-12-31 0001065088 us-gaap:OperatingSegmentsMember ebay:MarketplaceMember 2017-01-01 2017-12-31 0001065088 us-gaap:OperatingSegmentsMember ebay:StubHubMember 2017-01-01 2017-12-31 0001065088 us-gaap:OperatingSegmentsMember ebay:Mark</w:t>
      </w:r>
      <w:r>
        <w:rPr>
          <w:rFonts w:ascii="Times New Roman" w:eastAsia="宋体" w:hAnsi="Times New Roman"/>
          <w:vanish/>
          <w:sz w:val="20"/>
          <w:szCs w:val="20"/>
        </w:rPr>
        <w:t>etingServicesAndOtherRevenuesMember ebay:MarketplaceMember 2019-01-01 2019-12-31 0001065088 us-gaap:OperatingSegmentsMember ebay:NetTransactionRevenuesMember ebay:StubHubMember 2019-01-01 2019-12-31 0001065088 srt:ConsolidationEliminationsMember 2018-01-01</w:t>
      </w:r>
      <w:r>
        <w:rPr>
          <w:rFonts w:ascii="Times New Roman" w:eastAsia="宋体" w:hAnsi="Times New Roman"/>
          <w:vanish/>
          <w:sz w:val="20"/>
          <w:szCs w:val="20"/>
        </w:rPr>
        <w:t xml:space="preserve"> 2018-12-31 0001065088 us-gaap:OperatingSegmentsMember ebay:NetTransactionRevenuesMember ebay:StubHubMember 2017-01-01 2017-12-31 0001065088 us-gaap:CorporateNonSegmentMember 2019-01-01 2019-12-31 0001065088 us-gaap:OperatingSegmentsMember ebay:MarketingSe</w:t>
      </w:r>
      <w:r>
        <w:rPr>
          <w:rFonts w:ascii="Times New Roman" w:eastAsia="宋体" w:hAnsi="Times New Roman"/>
          <w:vanish/>
          <w:sz w:val="20"/>
          <w:szCs w:val="20"/>
        </w:rPr>
        <w:t>rvicesAndOtherRevenuesMember ebay:StubHubMember 2018-01-01 2018-12-31 0001065088 us-gaap:CorporateNonSegmentMember 2017-01-01 2017-12-31 0001065088 us-gaap:OperatingSegmentsMember ebay:NetTransactionRevenuesMember ebay:MarketplaceMember 2018-01-01 2018-12-</w:t>
      </w:r>
      <w:r>
        <w:rPr>
          <w:rFonts w:ascii="Times New Roman" w:eastAsia="宋体" w:hAnsi="Times New Roman"/>
          <w:vanish/>
          <w:sz w:val="20"/>
          <w:szCs w:val="20"/>
        </w:rPr>
        <w:t>31 0001065088 us-gaap:NonUsMember 2019-12-31 0001065088 country:US 2018-12-31 0001065088 us-gaap:NonUsMember 2018-12-31 0001065088 country:US 2019-12-31 0001065088 ebay:FlipkartMember 2017-01-01 2017-12-31 0001065088 ebay:EBay.inBusinessMember 2017-01-01 2</w:t>
      </w:r>
      <w:r>
        <w:rPr>
          <w:rFonts w:ascii="Times New Roman" w:eastAsia="宋体" w:hAnsi="Times New Roman"/>
          <w:vanish/>
          <w:sz w:val="20"/>
          <w:szCs w:val="20"/>
        </w:rPr>
        <w:t>017-12-31 0001065088 ebay:FlipkartMember 2018-01-01 2018-12-31 0001065088 ebay:OtherInvestments1Member 2019-01-01 2019-12-31 0001065088 us-gaap:ShortTermInvestmentsMember ebay:RestrictedCashMember 2019-12-31 0001065088 ebay:LongTermInvestmentMember 2019-12</w:t>
      </w:r>
      <w:r>
        <w:rPr>
          <w:rFonts w:ascii="Times New Roman" w:eastAsia="宋体" w:hAnsi="Times New Roman"/>
          <w:vanish/>
          <w:sz w:val="20"/>
          <w:szCs w:val="20"/>
        </w:rPr>
        <w:t>-31 0001065088 ebay:LongTermInvestmentMember us-gaap:CorporateDebtSecuritiesMember 2019-12-31 0001065088 us-gaap:ShortTermInvestmentsMember 2019-12-31 0001065088 us-gaap:ShortTermInvestmentsMember us-gaap:USTreasuryAndGovernmentMember 2019-12-31 0001065088</w:t>
      </w:r>
      <w:r>
        <w:rPr>
          <w:rFonts w:ascii="Times New Roman" w:eastAsia="宋体" w:hAnsi="Times New Roman"/>
          <w:vanish/>
          <w:sz w:val="20"/>
          <w:szCs w:val="20"/>
        </w:rPr>
        <w:t xml:space="preserve"> us-gaap:ShortTermInvestmentsMember us-gaap:CorporateDebtSecuritiesMember 2019-12-31 0001065088 us-gaap:ShortTermInvestmentsMember us-gaap:USTreasuryAndGovernmentMember 2018-12-31 0001065088 ebay:LongTermInvestmentMember us-gaap:CorporateDebtSecuritiesMemb</w:t>
      </w:r>
      <w:r>
        <w:rPr>
          <w:rFonts w:ascii="Times New Roman" w:eastAsia="宋体" w:hAnsi="Times New Roman"/>
          <w:vanish/>
          <w:sz w:val="20"/>
          <w:szCs w:val="20"/>
        </w:rPr>
        <w:t>er 2018-12-31 0001065088 us-gaap:ShortTermInvestmentsMember ebay:RestrictedCashMember 2018-12-31 0001065088 ebay:LongTermInvestmentMember 2018-12-31 0001065088 us-gaap:ShortTermInvestmentsMember 2018-12-31 0001065088 us-gaap:ShortTermInvestmentsMember us-g</w:t>
      </w:r>
      <w:r>
        <w:rPr>
          <w:rFonts w:ascii="Times New Roman" w:eastAsia="宋体" w:hAnsi="Times New Roman"/>
          <w:vanish/>
          <w:sz w:val="20"/>
          <w:szCs w:val="20"/>
        </w:rPr>
        <w:t>aap:CorporateDebtSecuritiesMember 2018-12-31 0001065088 us-gaap:ForeignExchangeContractMember us-gaap:NondesignatedMember 2019-12-31 0001065088 us-gaap:ForeignExchangeContractMember us-gaap:NetInvestmentHedgingMember us-gaap:DesignatedAsHedgingInstrumentMe</w:t>
      </w:r>
      <w:r>
        <w:rPr>
          <w:rFonts w:ascii="Times New Roman" w:eastAsia="宋体" w:hAnsi="Times New Roman"/>
          <w:vanish/>
          <w:sz w:val="20"/>
          <w:szCs w:val="20"/>
        </w:rPr>
        <w:t>mber 2018-12-31 0001065088 us-gaap:ForeignExchangeContractMember us-gaap:NetInvestmentHedgingMember us-gaap:DesignatedAsHedgingInstrumentMember 2019-12-31 0001065088 us-gaap:ForeignExchangeContractMember us-gaap:CashFlowHedgingMember us-gaap:DesignatedAsHe</w:t>
      </w:r>
      <w:r>
        <w:rPr>
          <w:rFonts w:ascii="Times New Roman" w:eastAsia="宋体" w:hAnsi="Times New Roman"/>
          <w:vanish/>
          <w:sz w:val="20"/>
          <w:szCs w:val="20"/>
        </w:rPr>
        <w:t>dgingInstrumentMember 2018-12-31 0001065088 us-gaap:InterestRateContractMember us-gaap:FairValueHedgingMember us-gaap:DesignatedAsHedgingInstrumentMember 2019-12-31 0001065088 us-gaap:ForeignExchangeContractMember us-gaap:NondesignatedMember 2018-12-31 000</w:t>
      </w:r>
      <w:r>
        <w:rPr>
          <w:rFonts w:ascii="Times New Roman" w:eastAsia="宋体" w:hAnsi="Times New Roman"/>
          <w:vanish/>
          <w:sz w:val="20"/>
          <w:szCs w:val="20"/>
        </w:rPr>
        <w:t>1065088 us-gaap:InterestRateContractMember us-gaap:FairValueHedgingMember us-gaap:DesignatedAsHedgingInstrumentMember 2018-12-31 0001065088 us-gaap:ForeignExchangeContractMember us-gaap:CashFlowHedgingMember us-gaap:DesignatedAsHedgingInstrumentMember 2019</w:t>
      </w:r>
      <w:r>
        <w:rPr>
          <w:rFonts w:ascii="Times New Roman" w:eastAsia="宋体" w:hAnsi="Times New Roman"/>
          <w:vanish/>
          <w:sz w:val="20"/>
          <w:szCs w:val="20"/>
        </w:rPr>
        <w:t>-12-31 0001065088 us-gaap:OtherCurrentAssetsMember us-gaap:ForeignExchangeContractMember us-gaap:NondesignatedMember 2018-12-31 0001065088 us-gaap:OtherCurrentLiabilitiesMember us-gaap:ForeignExchangeContractMember us-gaap:CashFlowHedgingMember us-gaap:Des</w:t>
      </w:r>
      <w:r>
        <w:rPr>
          <w:rFonts w:ascii="Times New Roman" w:eastAsia="宋体" w:hAnsi="Times New Roman"/>
          <w:vanish/>
          <w:sz w:val="20"/>
          <w:szCs w:val="20"/>
        </w:rPr>
        <w:t>ignatedAsHedgingInstrumentMember 2019-12-31 0001065088 us-gaap:OtherCurrentLiabilitiesMember us-gaap:InterestRateContractMember us-gaap:FairValueHedgingMember us-gaap:DesignatedAsHedgingInstrumentMember 2019-12-31 0001065088 us-gaap:OtherCurrentLiabilities</w:t>
      </w:r>
      <w:r>
        <w:rPr>
          <w:rFonts w:ascii="Times New Roman" w:eastAsia="宋体" w:hAnsi="Times New Roman"/>
          <w:vanish/>
          <w:sz w:val="20"/>
          <w:szCs w:val="20"/>
        </w:rPr>
        <w:t>Member us-gaap:ForeignExchangeContractMember us-gaap:NondesignatedMember 2019-12-31 0001065088 us-gaap:OtherAssetsMember us-gaap:WarrantMember us-gaap:FairValueHedgingMember us-gaap:DesignatedAsHedgingInstrumentMember 2019-12-31 0001065088 us-gaap:OtherAss</w:t>
      </w:r>
      <w:r>
        <w:rPr>
          <w:rFonts w:ascii="Times New Roman" w:eastAsia="宋体" w:hAnsi="Times New Roman"/>
          <w:vanish/>
          <w:sz w:val="20"/>
          <w:szCs w:val="20"/>
        </w:rPr>
        <w:t>etsMember us-gaap:ForeignExchangeContractMember us-gaap:CashFlowHedgingMember us-gaap:DesignatedAsHedgingInstrumentMember 2018-12-31 0001065088 us-gaap:OtherLiabilitiesMember us-gaap:InterestRateContractMember us-gaap:FairValueHedgingMember us-gaap:Designa</w:t>
      </w:r>
      <w:r>
        <w:rPr>
          <w:rFonts w:ascii="Times New Roman" w:eastAsia="宋体" w:hAnsi="Times New Roman"/>
          <w:vanish/>
          <w:sz w:val="20"/>
          <w:szCs w:val="20"/>
        </w:rPr>
        <w:t>tedAsHedgingInstrumentMember 2019-12-31 0001065088 us-gaap:OtherCurrentLiabilitiesMember us-gaap:ForeignExchangeContractMember us-gaap:NetInvestmentHedgingMember us-gaap:DesignatedAsHedgingInstrumentMember 2019-12-31 0001065088 us-gaap:OtherCurrentAssetsMe</w:t>
      </w:r>
      <w:r>
        <w:rPr>
          <w:rFonts w:ascii="Times New Roman" w:eastAsia="宋体" w:hAnsi="Times New Roman"/>
          <w:vanish/>
          <w:sz w:val="20"/>
          <w:szCs w:val="20"/>
        </w:rPr>
        <w:t xml:space="preserve">mber us-gaap:ForeignExchangeContractMember us-gaap:NondesignatedMember 2019-12-31 0001065088 us-gaap:OtherLiabilitiesMember us-gaap:InterestRateContractMember us-gaap:FairValueHedgingMember us-gaap:DesignatedAsHedgingInstrumentMember 2018-12-31 0001065088 </w:t>
      </w:r>
      <w:r>
        <w:rPr>
          <w:rFonts w:ascii="Times New Roman" w:eastAsia="宋体" w:hAnsi="Times New Roman"/>
          <w:vanish/>
          <w:sz w:val="20"/>
          <w:szCs w:val="20"/>
        </w:rPr>
        <w:t>us-gaap:OtherCurrentLiabilitiesMember us-gaap:ForeignExchangeContractMember us-gaap:CashFlowHedgingMember us-gaap:DesignatedAsHedgingInstrumentMember 2018-12-31 0001065088 us-gaap:OtherCurrentAssetsMember us-gaap:ForeignExchangeContractMember us-gaap:CashF</w:t>
      </w:r>
      <w:r>
        <w:rPr>
          <w:rFonts w:ascii="Times New Roman" w:eastAsia="宋体" w:hAnsi="Times New Roman"/>
          <w:vanish/>
          <w:sz w:val="20"/>
          <w:szCs w:val="20"/>
        </w:rPr>
        <w:t>lowHedgingMember us-gaap:DesignatedAsHedgingInstrumentMember 2018-12-31 0001065088 us-gaap:OtherCurrentLiabilitiesMember us-gaap:ForeignExchangeContractMember us-gaap:NetInvestmentHedgingMember us-gaap:DesignatedAsHedgingInstrumentMember 2018-12-31 0001065</w:t>
      </w:r>
      <w:r>
        <w:rPr>
          <w:rFonts w:ascii="Times New Roman" w:eastAsia="宋体" w:hAnsi="Times New Roman"/>
          <w:vanish/>
          <w:sz w:val="20"/>
          <w:szCs w:val="20"/>
        </w:rPr>
        <w:t>088 us-gaap:OtherCurrentLiabilitiesMember us-gaap:InterestRateContractMember us-gaap:FairValueHedgingMember us-gaap:DesignatedAsHedgingInstrumentMember 2018-12-31 0001065088 us-gaap:OtherAssetsMember us-gaap:WarrantMember us-gaap:FairValueHedgingMember us-</w:t>
      </w:r>
      <w:r>
        <w:rPr>
          <w:rFonts w:ascii="Times New Roman" w:eastAsia="宋体" w:hAnsi="Times New Roman"/>
          <w:vanish/>
          <w:sz w:val="20"/>
          <w:szCs w:val="20"/>
        </w:rPr>
        <w:t xml:space="preserve">gaap:DesignatedAsHedgingInstrumentMember 2018-12-31 0001065088 us-gaap:OtherAssetsMember us-gaap:ForeignExchangeContractMember us-gaap:CashFlowHedgingMember us-gaap:DesignatedAsHedgingInstrumentMember 2019-12-31 0001065088 us-gaap:OtherCurrentAssetsMember </w:t>
      </w:r>
      <w:r>
        <w:rPr>
          <w:rFonts w:ascii="Times New Roman" w:eastAsia="宋体" w:hAnsi="Times New Roman"/>
          <w:vanish/>
          <w:sz w:val="20"/>
          <w:szCs w:val="20"/>
        </w:rPr>
        <w:t>us-gaap:ForeignExchangeContractMember us-gaap:CashFlowHedgingMember us-gaap:DesignatedAsHedgingInstrumentMember 2019-12-31 0001065088 us-gaap:OtherCurrentLiabilitiesMember us-gaap:ForeignExchangeContractMember us-gaap:NondesignatedMember 2018-12-31 0001065</w:t>
      </w:r>
      <w:r>
        <w:rPr>
          <w:rFonts w:ascii="Times New Roman" w:eastAsia="宋体" w:hAnsi="Times New Roman"/>
          <w:vanish/>
          <w:sz w:val="20"/>
          <w:szCs w:val="20"/>
        </w:rPr>
        <w:t>088 us-gaap:ForeignExchangeContractMember us-gaap:CashFlowHedgingMember us-gaap:DesignatedAsHedgingInstrumentMember ebay:CostofNetRevenuesMember 2018-01-01 2018-12-31 0001065088 us-gaap:ForeignExchangeContractMember us-gaap:CashFlowHedgingMember us-gaap:De</w:t>
      </w:r>
      <w:r>
        <w:rPr>
          <w:rFonts w:ascii="Times New Roman" w:eastAsia="宋体" w:hAnsi="Times New Roman"/>
          <w:vanish/>
          <w:sz w:val="20"/>
          <w:szCs w:val="20"/>
        </w:rPr>
        <w:t>signatedAsHedgingInstrumentMember ebay:InterestAndOtherNetMember 2019-01-01 2019-12-31 0001065088 us-gaap:ForeignExchangeContractMember us-gaap:CashFlowHedgingMember us-gaap:DesignatedAsHedgingInstrumentMember ebay:RevenuesMember 2017-01-01 2017-12-31 0001</w:t>
      </w:r>
      <w:r>
        <w:rPr>
          <w:rFonts w:ascii="Times New Roman" w:eastAsia="宋体" w:hAnsi="Times New Roman"/>
          <w:vanish/>
          <w:sz w:val="20"/>
          <w:szCs w:val="20"/>
        </w:rPr>
        <w:t>065088 us-gaap:ForeignExchangeContractMember us-gaap:CashFlowHedgingMember us-gaap:DesignatedAsHedgingInstrumentMember ebay:CostofNetRevenuesMember 2017-01-01 2017-12-31 0001065088 us-gaap:ForeignExchangeContractMember us-gaap:CashFlowHedgingMember us-gaap</w:t>
      </w:r>
      <w:r>
        <w:rPr>
          <w:rFonts w:ascii="Times New Roman" w:eastAsia="宋体" w:hAnsi="Times New Roman"/>
          <w:vanish/>
          <w:sz w:val="20"/>
          <w:szCs w:val="20"/>
        </w:rPr>
        <w:t>:DesignatedAsHedgingInstrumentMember ebay:InterestAndOtherNetMember 2017-01-01 2017-12-31 0001065088 us-gaap:ForeignExchangeContractMember 2017-01-01 2017-12-31 0001065088 us-gaap:ForeignExchangeContractMember us-gaap:NondesignatedMember ebay:InterestAndOt</w:t>
      </w:r>
      <w:r>
        <w:rPr>
          <w:rFonts w:ascii="Times New Roman" w:eastAsia="宋体" w:hAnsi="Times New Roman"/>
          <w:vanish/>
          <w:sz w:val="20"/>
          <w:szCs w:val="20"/>
        </w:rPr>
        <w:t>herNetMember 2017-01-01 2017-12-31 0001065088 us-gaap:ForeignExchangeContractMember us-gaap:CashFlowHedgingMember us-gaap:DesignatedAsHedgingInstrumentMember ebay:CostofNetRevenuesMember 2019-01-01 2019-12-31 0001065088 us-gaap:ForeignExchangeContractMembe</w:t>
      </w:r>
      <w:r>
        <w:rPr>
          <w:rFonts w:ascii="Times New Roman" w:eastAsia="宋体" w:hAnsi="Times New Roman"/>
          <w:vanish/>
          <w:sz w:val="20"/>
          <w:szCs w:val="20"/>
        </w:rPr>
        <w:t>r us-gaap:CashFlowHedgingMember us-gaap:DesignatedAsHedgingInstrumentMember ebay:RevenuesMember 2019-01-01 2019-12-31 0001065088 us-gaap:ForeignExchangeContractMember 2018-01-01 2018-12-31 0001065088 us-gaap:ForeignExchangeContractMember us-gaap:CashFlowHe</w:t>
      </w:r>
      <w:r>
        <w:rPr>
          <w:rFonts w:ascii="Times New Roman" w:eastAsia="宋体" w:hAnsi="Times New Roman"/>
          <w:vanish/>
          <w:sz w:val="20"/>
          <w:szCs w:val="20"/>
        </w:rPr>
        <w:t>dgingMember us-gaap:DesignatedAsHedgingInstrumentMember ebay:RevenuesMember 2018-01-01 2018-12-31 0001065088 us-gaap:ForeignExchangeContractMember us-gaap:NondesignatedMember ebay:InterestAndOtherNetMember 2019-01-01 2019-12-31 0001065088 us-gaap:ForeignEx</w:t>
      </w:r>
      <w:r>
        <w:rPr>
          <w:rFonts w:ascii="Times New Roman" w:eastAsia="宋体" w:hAnsi="Times New Roman"/>
          <w:vanish/>
          <w:sz w:val="20"/>
          <w:szCs w:val="20"/>
        </w:rPr>
        <w:t>changeContractMember 2019-01-01 2019-12-31 0001065088 us-gaap:ForeignExchangeContractMember us-gaap:NondesignatedMember ebay:InterestAndOtherNetMember 2018-01-01 2018-12-31 0001065088 us-gaap:ForeignExchangeContractMember us-gaap:CashFlowHedgingMember us-g</w:t>
      </w:r>
      <w:r>
        <w:rPr>
          <w:rFonts w:ascii="Times New Roman" w:eastAsia="宋体" w:hAnsi="Times New Roman"/>
          <w:vanish/>
          <w:sz w:val="20"/>
          <w:szCs w:val="20"/>
        </w:rPr>
        <w:t xml:space="preserve">aap:DesignatedAsHedgingInstrumentMember ebay:InterestAndOtherNetMember 2018-01-01 2018-12-31 0001065088 us-gaap:InterestRateContractMember us-gaap:FairValueHedgingMember us-gaap:DesignatedAsHedgingInstrumentMember ebay:InterestAndOtherNetMember 2018-01-01 </w:t>
      </w:r>
      <w:r>
        <w:rPr>
          <w:rFonts w:ascii="Times New Roman" w:eastAsia="宋体" w:hAnsi="Times New Roman"/>
          <w:vanish/>
          <w:sz w:val="20"/>
          <w:szCs w:val="20"/>
        </w:rPr>
        <w:t>2018-12-31 0001065088 us-gaap:InterestRateContractMember us-gaap:FairValueHedgingMember us-gaap:DesignatedAsHedgingInstrumentMember ebay:InterestAndOtherNetMember 2019-01-01 2019-12-31 0001065088 us-gaap:InterestRateContractMember us-gaap:FairValueHedgingM</w:t>
      </w:r>
      <w:r>
        <w:rPr>
          <w:rFonts w:ascii="Times New Roman" w:eastAsia="宋体" w:hAnsi="Times New Roman"/>
          <w:vanish/>
          <w:sz w:val="20"/>
          <w:szCs w:val="20"/>
        </w:rPr>
        <w:t>ember us-gaap:DesignatedAsHedgingInstrumentMember ebay:InterestAndOtherNetMember 2017-01-01 2017-12-31 0001065088 us-gaap:ForeignExchangeContractMember us-gaap:CashFlowHedgingMember us-gaap:DesignatedAsHedgingInstrumentMember 2019-01-01 2019-12-31 00010650</w:t>
      </w:r>
      <w:r>
        <w:rPr>
          <w:rFonts w:ascii="Times New Roman" w:eastAsia="宋体" w:hAnsi="Times New Roman"/>
          <w:vanish/>
          <w:sz w:val="20"/>
          <w:szCs w:val="20"/>
        </w:rPr>
        <w:t>88 us-gaap:WarrantMember ebay:InterestAndOtherNetMember 2019-01-01 2019-12-31 0001065088 us-gaap:WarrantMember ebay:InterestAndOtherNetMember 2018-01-01 2018-12-31 0001065088 us-gaap:WarrantMember ebay:InterestAndOtherNetMember 2017-01-01 2017-12-31 000106</w:t>
      </w:r>
      <w:r>
        <w:rPr>
          <w:rFonts w:ascii="Times New Roman" w:eastAsia="宋体" w:hAnsi="Times New Roman"/>
          <w:vanish/>
          <w:sz w:val="20"/>
          <w:szCs w:val="20"/>
        </w:rPr>
        <w:t>5088 us-gaap:InterestRateSwapMember us-gaap:FairValueHedgingMember us-gaap:DesignatedAsHedgingInstrumentMember 2014-07-31 0001065088 ebay:TwoPointTwoPercentSeniorNotesDueOn2019Member us-gaap:SeniorNotesMember 2019-07-31 0001065088 us-gaap:InterestRateSwapM</w:t>
      </w:r>
      <w:r>
        <w:rPr>
          <w:rFonts w:ascii="Times New Roman" w:eastAsia="宋体" w:hAnsi="Times New Roman"/>
          <w:vanish/>
          <w:sz w:val="20"/>
          <w:szCs w:val="20"/>
        </w:rPr>
        <w:t>ember us-gaap:FairValueHedgingMember us-gaap:DesignatedAsHedgingInstrumentMember 2019-07-31 0001065088 ebay:TwoPointTwoPercentSeniorNotesDueOn2019Member us-gaap:SeniorNotesMember 2019-01-01 2019-12-31 0001065088 ebay:TwoPointEightHundredSeventyFivePercentS</w:t>
      </w:r>
      <w:r>
        <w:rPr>
          <w:rFonts w:ascii="Times New Roman" w:eastAsia="宋体" w:hAnsi="Times New Roman"/>
          <w:vanish/>
          <w:sz w:val="20"/>
          <w:szCs w:val="20"/>
        </w:rPr>
        <w:t>eniorNotesDueOn2021Member us-gaap:SeniorNotesMember 2019-07-31 0001065088 ebay:ThreePointFourHundredFiftyPercentSeniorNotesDueOn2024Member us-gaap:SeniorNotesMember 2019-07-31 0001065088 us-gaap:WarrantMember 2019-12-31 0001065088 srt:MaximumMember us-gaap</w:t>
      </w:r>
      <w:r>
        <w:rPr>
          <w:rFonts w:ascii="Times New Roman" w:eastAsia="宋体" w:hAnsi="Times New Roman"/>
          <w:vanish/>
          <w:sz w:val="20"/>
          <w:szCs w:val="20"/>
        </w:rPr>
        <w:t>:ForeignExchangeContractMember us-gaap:CashFlowHedgingMember us-gaap:DesignatedAsHedgingInstrumentMember 2019-01-01 2019-12-31 0001065088 us-gaap:ForeignExchangeContractMember us-gaap:CashFlowHedgingMember us-gaap:DesignatedAsHedgingInstrumentMember 2018-0</w:t>
      </w:r>
      <w:r>
        <w:rPr>
          <w:rFonts w:ascii="Times New Roman" w:eastAsia="宋体" w:hAnsi="Times New Roman"/>
          <w:vanish/>
          <w:sz w:val="20"/>
          <w:szCs w:val="20"/>
        </w:rPr>
        <w:t>1-01 2018-12-31 0001065088 us-gaap:ForeignExchangeContractMember us-gaap:CashFlowHedgingMember us-gaap:DesignatedAsHedgingInstrumentMember 2017-12-31 0001065088 srt:MaximumMember us-gaap:ForeignExchangeContractMember 2019-01-01 2019-12-31 0001065088 us-gaa</w:t>
      </w:r>
      <w:r>
        <w:rPr>
          <w:rFonts w:ascii="Times New Roman" w:eastAsia="宋体" w:hAnsi="Times New Roman"/>
          <w:vanish/>
          <w:sz w:val="20"/>
          <w:szCs w:val="20"/>
        </w:rPr>
        <w:t>p:WarrantMember 2019-01-01 2019-12-31 0001065088 srt:MinimumMember us-gaap:ForeignExchangeContractMember 2019-01-01 2019-12-31 0001065088 us-gaap:OtherCurrentAssetsMember us-gaap:FairValueInputsLevel3Member us-gaap:FairValueMeasurementsRecurringMember 2019</w:t>
      </w:r>
      <w:r>
        <w:rPr>
          <w:rFonts w:ascii="Times New Roman" w:eastAsia="宋体" w:hAnsi="Times New Roman"/>
          <w:vanish/>
          <w:sz w:val="20"/>
          <w:szCs w:val="20"/>
        </w:rPr>
        <w:t>-12-31 0001065088 us-gaap:FairValueInputsLevel1Member us-gaap:FairValueMeasurementsRecurringMember 2019-12-31 0001065088 us-gaap:FairValueInputsLevel2Member us-gaap:FairValueMeasurementsRecurringMember 2019-12-31 0001065088 ebay:LongTermInvestmentMember us</w:t>
      </w:r>
      <w:r>
        <w:rPr>
          <w:rFonts w:ascii="Times New Roman" w:eastAsia="宋体" w:hAnsi="Times New Roman"/>
          <w:vanish/>
          <w:sz w:val="20"/>
          <w:szCs w:val="20"/>
        </w:rPr>
        <w:t>-gaap:FairValueInputsLevel2Member us-gaap:FairValueMeasurementsRecurringMember us-gaap:CorporateDebtSecuritiesMember 2019-12-31 0001065088 us-gaap:FairValueMeasurementsRecurringMember 2019-12-31 0001065088 ebay:LongTermInvestmentMember us-gaap:FairValueInp</w:t>
      </w:r>
      <w:r>
        <w:rPr>
          <w:rFonts w:ascii="Times New Roman" w:eastAsia="宋体" w:hAnsi="Times New Roman"/>
          <w:vanish/>
          <w:sz w:val="20"/>
          <w:szCs w:val="20"/>
        </w:rPr>
        <w:t>utsLevel1Member us-gaap:FairValueMeasurementsRecurringMember us-gaap:CorporateDebtSecuritiesMember 2019-12-31 0001065088 us-gaap:OtherCurrentLiabilitiesMember us-gaap:FairValueInputsLevel3Member us-gaap:FairValueMeasurementsRecurringMember 2019-12-31 00010</w:t>
      </w:r>
      <w:r>
        <w:rPr>
          <w:rFonts w:ascii="Times New Roman" w:eastAsia="宋体" w:hAnsi="Times New Roman"/>
          <w:vanish/>
          <w:sz w:val="20"/>
          <w:szCs w:val="20"/>
        </w:rPr>
        <w:t>65088 us-gaap:OtherCurrentAssetsMember us-gaap:FairValueInputsLevel2Member us-gaap:FairValueMeasurementsRecurringMember 2019-12-31 0001065088 us-gaap:FairValueInputsLevel3Member us-gaap:FairValueMeasurementsRecurringMember 2019-12-31 0001065088 ebay:LongTe</w:t>
      </w:r>
      <w:r>
        <w:rPr>
          <w:rFonts w:ascii="Times New Roman" w:eastAsia="宋体" w:hAnsi="Times New Roman"/>
          <w:vanish/>
          <w:sz w:val="20"/>
          <w:szCs w:val="20"/>
        </w:rPr>
        <w:t>rmInvestmentMember us-gaap:FairValueMeasurementsRecurringMember us-gaap:CorporateDebtSecuritiesMember 2019-12-31 0001065088 ebay:LongTermInvestmentMember us-gaap:FairValueInputsLevel3Member us-gaap:FairValueMeasurementsRecurringMember 2019-12-31 0001065088</w:t>
      </w:r>
      <w:r>
        <w:rPr>
          <w:rFonts w:ascii="Times New Roman" w:eastAsia="宋体" w:hAnsi="Times New Roman"/>
          <w:vanish/>
          <w:sz w:val="20"/>
          <w:szCs w:val="20"/>
        </w:rPr>
        <w:t xml:space="preserve"> us-gaap:ShortTermInvestmentsMember us-gaap:FairValueInputsLevel1Member us-gaap:FairValueMeasurementsRecurringMember us-gaap:USTreasuryAndGovernmentMember 2019-12-31 0001065088 us-gaap:ShortTermInvestmentsMember us-gaap:FairValueInputsLevel3Member us-gaap:</w:t>
      </w:r>
      <w:r>
        <w:rPr>
          <w:rFonts w:ascii="Times New Roman" w:eastAsia="宋体" w:hAnsi="Times New Roman"/>
          <w:vanish/>
          <w:sz w:val="20"/>
          <w:szCs w:val="20"/>
        </w:rPr>
        <w:t>FairValueMeasurementsRecurringMember ebay:RestrictedCashMember 2019-12-31 0001065088 us-gaap:ShortTermInvestmentsMember us-gaap:FairValueInputsLevel2Member us-gaap:FairValueMeasurementsRecurringMember 2019-12-31 0001065088 us-gaap:ShortTermInvestmentsMembe</w:t>
      </w:r>
      <w:r>
        <w:rPr>
          <w:rFonts w:ascii="Times New Roman" w:eastAsia="宋体" w:hAnsi="Times New Roman"/>
          <w:vanish/>
          <w:sz w:val="20"/>
          <w:szCs w:val="20"/>
        </w:rPr>
        <w:t>r us-gaap:FairValueInputsLevel1Member us-gaap:FairValueMeasurementsRecurringMember us-gaap:CorporateDebtSecuritiesMember 2019-12-31 0001065088 us-gaap:ShortTermInvestmentsMember us-gaap:FairValueInputsLevel3Member us-gaap:FairValueMeasurementsRecurringMemb</w:t>
      </w:r>
      <w:r>
        <w:rPr>
          <w:rFonts w:ascii="Times New Roman" w:eastAsia="宋体" w:hAnsi="Times New Roman"/>
          <w:vanish/>
          <w:sz w:val="20"/>
          <w:szCs w:val="20"/>
        </w:rPr>
        <w:t>er us-gaap:CorporateDebtSecuritiesMember 2019-12-31 0001065088 us-gaap:OtherCurrentLiabilitiesMember us-gaap:FairValueInputsLevel1Member us-gaap:FairValueMeasurementsRecurringMember 2019-12-31 0001065088 us-gaap:ShortTermInvestmentsMember us-gaap:FairValue</w:t>
      </w:r>
      <w:r>
        <w:rPr>
          <w:rFonts w:ascii="Times New Roman" w:eastAsia="宋体" w:hAnsi="Times New Roman"/>
          <w:vanish/>
          <w:sz w:val="20"/>
          <w:szCs w:val="20"/>
        </w:rPr>
        <w:t>InputsLevel3Member us-gaap:FairValueMeasurementsRecurringMember us-gaap:USTreasuryAndGovernmentMember 2019-12-31 0001065088 us-gaap:ShortTermInvestmentsMember us-gaap:FairValueMeasurementsRecurringMember us-gaap:USTreasuryAndGovernmentMember 2019-12-31 000</w:t>
      </w:r>
      <w:r>
        <w:rPr>
          <w:rFonts w:ascii="Times New Roman" w:eastAsia="宋体" w:hAnsi="Times New Roman"/>
          <w:vanish/>
          <w:sz w:val="20"/>
          <w:szCs w:val="20"/>
        </w:rPr>
        <w:t>1065088 us-gaap:ShortTermInvestmentsMember us-gaap:FairValueInputsLevel2Member us-gaap:FairValueMeasurementsRecurringMember ebay:RestrictedCashMember 2019-12-31 0001065088 us-gaap:OtherCurrentAssetsMember us-gaap:FairValueInputsLevel1Member us-gaap:FairVal</w:t>
      </w:r>
      <w:r>
        <w:rPr>
          <w:rFonts w:ascii="Times New Roman" w:eastAsia="宋体" w:hAnsi="Times New Roman"/>
          <w:vanish/>
          <w:sz w:val="20"/>
          <w:szCs w:val="20"/>
        </w:rPr>
        <w:t>ueMeasurementsRecurringMember 2019-12-31 0001065088 us-gaap:ShortTermInvestmentsMember us-gaap:FairValueInputsLevel2Member us-gaap:FairValueMeasurementsRecurringMember us-gaap:CorporateDebtSecuritiesMember 2019-12-31 0001065088 us-gaap:OtherCurrentLiabilit</w:t>
      </w:r>
      <w:r>
        <w:rPr>
          <w:rFonts w:ascii="Times New Roman" w:eastAsia="宋体" w:hAnsi="Times New Roman"/>
          <w:vanish/>
          <w:sz w:val="20"/>
          <w:szCs w:val="20"/>
        </w:rPr>
        <w:t>iesMember us-gaap:FairValueMeasurementsRecurringMember 2019-12-31 0001065088 us-gaap:OtherCurrentAssetsMember us-gaap:FairValueMeasurementsRecurringMember 2019-12-31 0001065088 ebay:LongTermInvestmentMember us-gaap:FairValueMeasurementsRecurringMember 2019</w:t>
      </w:r>
      <w:r>
        <w:rPr>
          <w:rFonts w:ascii="Times New Roman" w:eastAsia="宋体" w:hAnsi="Times New Roman"/>
          <w:vanish/>
          <w:sz w:val="20"/>
          <w:szCs w:val="20"/>
        </w:rPr>
        <w:t>-12-31 0001065088 us-gaap:ShortTermInvestmentsMember us-gaap:FairValueMeasurementsRecurringMember 2019-12-31 0001065088 us-gaap:ShortTermInvestmentsMember us-gaap:FairValueInputsLevel2Member us-gaap:FairValueMeasurementsRecurringMember us-gaap:USTreasuryAn</w:t>
      </w:r>
      <w:r>
        <w:rPr>
          <w:rFonts w:ascii="Times New Roman" w:eastAsia="宋体" w:hAnsi="Times New Roman"/>
          <w:vanish/>
          <w:sz w:val="20"/>
          <w:szCs w:val="20"/>
        </w:rPr>
        <w:t>dGovernmentMember 2019-12-31 0001065088 ebay:LongTermInvestmentMember us-gaap:FairValueInputsLevel2Member us-gaap:FairValueMeasurementsRecurringMember 2019-12-31 0001065088 us-gaap:ShortTermInvestmentsMember us-gaap:FairValueMeasurementsRecurringMember eba</w:t>
      </w:r>
      <w:r>
        <w:rPr>
          <w:rFonts w:ascii="Times New Roman" w:eastAsia="宋体" w:hAnsi="Times New Roman"/>
          <w:vanish/>
          <w:sz w:val="20"/>
          <w:szCs w:val="20"/>
        </w:rPr>
        <w:t>y:RestrictedCashMember 2019-12-31 0001065088 ebay:LongTermInvestmentMember us-gaap:FairValueInputsLevel1Member us-gaap:FairValueMeasurementsRecurringMember 2019-12-31 0001065088 us-gaap:ShortTermInvestmentsMember us-gaap:FairValueInputsLevel3Member us-gaap</w:t>
      </w:r>
      <w:r>
        <w:rPr>
          <w:rFonts w:ascii="Times New Roman" w:eastAsia="宋体" w:hAnsi="Times New Roman"/>
          <w:vanish/>
          <w:sz w:val="20"/>
          <w:szCs w:val="20"/>
        </w:rPr>
        <w:t>:FairValueMeasurementsRecurringMember 2019-12-31 0001065088 us-gaap:ShortTermInvestmentsMember us-gaap:FairValueInputsLevel1Member us-gaap:FairValueMeasurementsRecurringMember 2019-12-31 0001065088 us-gaap:OtherCurrentLiabilitiesMember us-gaap:FairValueInp</w:t>
      </w:r>
      <w:r>
        <w:rPr>
          <w:rFonts w:ascii="Times New Roman" w:eastAsia="宋体" w:hAnsi="Times New Roman"/>
          <w:vanish/>
          <w:sz w:val="20"/>
          <w:szCs w:val="20"/>
        </w:rPr>
        <w:t>utsLevel2Member us-gaap:FairValueMeasurementsRecurringMember 2019-12-31 0001065088 us-gaap:ShortTermInvestmentsMember us-gaap:FairValueInputsLevel1Member us-gaap:FairValueMeasurementsRecurringMember ebay:RestrictedCashMember 2019-12-31 0001065088 ebay:Long</w:t>
      </w:r>
      <w:r>
        <w:rPr>
          <w:rFonts w:ascii="Times New Roman" w:eastAsia="宋体" w:hAnsi="Times New Roman"/>
          <w:vanish/>
          <w:sz w:val="20"/>
          <w:szCs w:val="20"/>
        </w:rPr>
        <w:t>TermInvestmentMember us-gaap:FairValueInputsLevel3Member us-gaap:FairValueMeasurementsRecurringMember us-gaap:CorporateDebtSecuritiesMember 2019-12-31 0001065088 us-gaap:ShortTermInvestmentsMember us-gaap:FairValueMeasurementsRecurringMember us-gaap:Corpor</w:t>
      </w:r>
      <w:r>
        <w:rPr>
          <w:rFonts w:ascii="Times New Roman" w:eastAsia="宋体" w:hAnsi="Times New Roman"/>
          <w:vanish/>
          <w:sz w:val="20"/>
          <w:szCs w:val="20"/>
        </w:rPr>
        <w:t>ateDebtSecuritiesMember 2019-12-31 0001065088 us-gaap:WarrantMember us-gaap:FairValueInputsLevel3Member us-gaap:FairValueMeasurementsRecurringMember 2018-01-01 2018-12-31 0001065088 us-gaap:WarrantMember us-gaap:FairValueInputsLevel3Member us-gaap:FairValu</w:t>
      </w:r>
      <w:r>
        <w:rPr>
          <w:rFonts w:ascii="Times New Roman" w:eastAsia="宋体" w:hAnsi="Times New Roman"/>
          <w:vanish/>
          <w:sz w:val="20"/>
          <w:szCs w:val="20"/>
        </w:rPr>
        <w:t>eMeasurementsRecurringMember 2019-01-01 2019-12-31 0001065088 us-gaap:WarrantMember us-gaap:FairValueInputsLevel3Member us-gaap:FairValueMeasurementsRecurringMember 2017-12-31 0001065088 us-gaap:WarrantMember us-gaap:FairValueInputsLevel3Member us-gaap:Fai</w:t>
      </w:r>
      <w:r>
        <w:rPr>
          <w:rFonts w:ascii="Times New Roman" w:eastAsia="宋体" w:hAnsi="Times New Roman"/>
          <w:vanish/>
          <w:sz w:val="20"/>
          <w:szCs w:val="20"/>
        </w:rPr>
        <w:t>rValueMeasurementsRecurringMember 2018-12-31 0001065088 us-gaap:WarrantMember us-gaap:FairValueInputsLevel3Member us-gaap:FairValueMeasurementsRecurringMember 2019-12-31 0001065088 us-gaap:ShortTermInvestmentsMember us-gaap:FairValueInputsLevel1Member us-g</w:t>
      </w:r>
      <w:r>
        <w:rPr>
          <w:rFonts w:ascii="Times New Roman" w:eastAsia="宋体" w:hAnsi="Times New Roman"/>
          <w:vanish/>
          <w:sz w:val="20"/>
          <w:szCs w:val="20"/>
        </w:rPr>
        <w:t>aap:FairValueMeasurementsRecurringMember 2018-12-31 0001065088 us-gaap:ShortTermInvestmentsMember us-gaap:FairValueMeasurementsRecurringMember us-gaap:USTreasuryAndGovernmentMember 2018-12-31 0001065088 us-gaap:OtherCurrentAssetsMember us-gaap:FairValueMea</w:t>
      </w:r>
      <w:r>
        <w:rPr>
          <w:rFonts w:ascii="Times New Roman" w:eastAsia="宋体" w:hAnsi="Times New Roman"/>
          <w:vanish/>
          <w:sz w:val="20"/>
          <w:szCs w:val="20"/>
        </w:rPr>
        <w:t xml:space="preserve">surementsRecurringMember 2018-12-31 0001065088 us-gaap:ShortTermInvestmentsMember us-gaap:FairValueInputsLevel2Member us-gaap:FairValueMeasurementsRecurringMember 2018-12-31 0001065088 us-gaap:ShortTermInvestmentsMember us-gaap:FairValueInputsLevel1Member </w:t>
      </w:r>
      <w:r>
        <w:rPr>
          <w:rFonts w:ascii="Times New Roman" w:eastAsia="宋体" w:hAnsi="Times New Roman"/>
          <w:vanish/>
          <w:sz w:val="20"/>
          <w:szCs w:val="20"/>
        </w:rPr>
        <w:t>us-gaap:FairValueMeasurementsRecurringMember us-gaap:USTreasuryAndGovernmentMember 2018-12-31 0001065088 us-gaap:FairValueInputsLevel2Member us-gaap:FairValueMeasurementsRecurringMember 2018-12-31 0001065088 us-gaap:ShortTermInvestmentsMember us-gaap:FairV</w:t>
      </w:r>
      <w:r>
        <w:rPr>
          <w:rFonts w:ascii="Times New Roman" w:eastAsia="宋体" w:hAnsi="Times New Roman"/>
          <w:vanish/>
          <w:sz w:val="20"/>
          <w:szCs w:val="20"/>
        </w:rPr>
        <w:t>alueMeasurementsRecurringMember us-gaap:CorporateDebtSecuritiesMember 2018-12-31 0001065088 ebay:LongTermInvestmentMember us-gaap:FairValueMeasurementsRecurringMember 2018-12-31 0001065088 ebay:LongTermInvestmentMember us-gaap:FairValueInputsLevel2Member u</w:t>
      </w:r>
      <w:r>
        <w:rPr>
          <w:rFonts w:ascii="Times New Roman" w:eastAsia="宋体" w:hAnsi="Times New Roman"/>
          <w:vanish/>
          <w:sz w:val="20"/>
          <w:szCs w:val="20"/>
        </w:rPr>
        <w:t>s-gaap:FairValueMeasurementsRecurringMember us-gaap:CorporateDebtSecuritiesMember 2018-12-31 0001065088 us-gaap:OtherCurrentAssetsMember us-gaap:FairValueInputsLevel2Member us-gaap:FairValueMeasurementsRecurringMember 2018-12-31 0001065088 ebay:LongTermInv</w:t>
      </w:r>
      <w:r>
        <w:rPr>
          <w:rFonts w:ascii="Times New Roman" w:eastAsia="宋体" w:hAnsi="Times New Roman"/>
          <w:vanish/>
          <w:sz w:val="20"/>
          <w:szCs w:val="20"/>
        </w:rPr>
        <w:t>estmentMember us-gaap:FairValueInputsLevel1Member us-gaap:FairValueMeasurementsRecurringMember us-gaap:CorporateDebtSecuritiesMember 2018-12-31 0001065088 us-gaap:ShortTermInvestmentsMember us-gaap:FairValueInputsLevel3Member us-gaap:FairValueMeasurementsR</w:t>
      </w:r>
      <w:r>
        <w:rPr>
          <w:rFonts w:ascii="Times New Roman" w:eastAsia="宋体" w:hAnsi="Times New Roman"/>
          <w:vanish/>
          <w:sz w:val="20"/>
          <w:szCs w:val="20"/>
        </w:rPr>
        <w:t>ecurringMember us-gaap:CorporateDebtSecuritiesMember 2018-12-31 0001065088 ebay:LongTermInvestmentMember us-gaap:FairValueMeasurementsRecurringMember us-gaap:CorporateDebtSecuritiesMember 2018-12-31 0001065088 us-gaap:OtherCurrentLiabilitiesMember us-gaap:</w:t>
      </w:r>
      <w:r>
        <w:rPr>
          <w:rFonts w:ascii="Times New Roman" w:eastAsia="宋体" w:hAnsi="Times New Roman"/>
          <w:vanish/>
          <w:sz w:val="20"/>
          <w:szCs w:val="20"/>
        </w:rPr>
        <w:t>FairValueInputsLevel1Member us-gaap:FairValueMeasurementsRecurringMember 2018-12-31 0001065088 ebay:LongTermInvestmentMember us-gaap:FairValueInputsLevel1Member us-gaap:FairValueMeasurementsRecurringMember 2018-12-31 0001065088 ebay:LongTermInvestmentMembe</w:t>
      </w:r>
      <w:r>
        <w:rPr>
          <w:rFonts w:ascii="Times New Roman" w:eastAsia="宋体" w:hAnsi="Times New Roman"/>
          <w:vanish/>
          <w:sz w:val="20"/>
          <w:szCs w:val="20"/>
        </w:rPr>
        <w:t>r us-gaap:FairValueInputsLevel3Member us-gaap:FairValueMeasurementsRecurringMember 2018-12-31 0001065088 us-gaap:OtherCurrentAssetsMember us-gaap:FairValueInputsLevel3Member us-gaap:FairValueMeasurementsRecurringMember 2018-12-31 0001065088 us-gaap:ShortTe</w:t>
      </w:r>
      <w:r>
        <w:rPr>
          <w:rFonts w:ascii="Times New Roman" w:eastAsia="宋体" w:hAnsi="Times New Roman"/>
          <w:vanish/>
          <w:sz w:val="20"/>
          <w:szCs w:val="20"/>
        </w:rPr>
        <w:t>rmInvestmentsMember us-gaap:FairValueInputsLevel3Member us-gaap:FairValueMeasurementsRecurringMember ebay:RestrictedCashMember 2018-12-31 0001065088 us-gaap:FairValueMeasurementsRecurringMember 2018-12-31 0001065088 us-gaap:ShortTermInvestmentsMember us-ga</w:t>
      </w:r>
      <w:r>
        <w:rPr>
          <w:rFonts w:ascii="Times New Roman" w:eastAsia="宋体" w:hAnsi="Times New Roman"/>
          <w:vanish/>
          <w:sz w:val="20"/>
          <w:szCs w:val="20"/>
        </w:rPr>
        <w:t>ap:FairValueInputsLevel3Member us-gaap:FairValueMeasurementsRecurringMember us-gaap:USTreasuryAndGovernmentMember 2018-12-31 0001065088 ebay:LongTermInvestmentMember us-gaap:FairValueInputsLevel3Member us-gaap:FairValueMeasurementsRecurringMember us-gaap:C</w:t>
      </w:r>
      <w:r>
        <w:rPr>
          <w:rFonts w:ascii="Times New Roman" w:eastAsia="宋体" w:hAnsi="Times New Roman"/>
          <w:vanish/>
          <w:sz w:val="20"/>
          <w:szCs w:val="20"/>
        </w:rPr>
        <w:t>orporateDebtSecuritiesMember 2018-12-31 0001065088 us-gaap:OtherCurrentLiabilitiesMember us-gaap:FairValueMeasurementsRecurringMember 2018-12-31 0001065088 us-gaap:ShortTermInvestmentsMember us-gaap:FairValueInputsLevel2Member us-gaap:FairValueMeasurements</w:t>
      </w:r>
      <w:r>
        <w:rPr>
          <w:rFonts w:ascii="Times New Roman" w:eastAsia="宋体" w:hAnsi="Times New Roman"/>
          <w:vanish/>
          <w:sz w:val="20"/>
          <w:szCs w:val="20"/>
        </w:rPr>
        <w:t>RecurringMember ebay:RestrictedCashMember 2018-12-31 0001065088 us-gaap:FairValueInputsLevel1Member us-gaap:FairValueMeasurementsRecurringMember 2018-12-31 0001065088 ebay:LongTermInvestmentMember us-gaap:FairValueInputsLevel2Member us-gaap:FairValueMeasur</w:t>
      </w:r>
      <w:r>
        <w:rPr>
          <w:rFonts w:ascii="Times New Roman" w:eastAsia="宋体" w:hAnsi="Times New Roman"/>
          <w:vanish/>
          <w:sz w:val="20"/>
          <w:szCs w:val="20"/>
        </w:rPr>
        <w:t>ementsRecurringMember 2018-12-31 0001065088 us-gaap:ShortTermInvestmentsMember us-gaap:FairValueInputsLevel2Member us-gaap:FairValueMeasurementsRecurringMember us-gaap:CorporateDebtSecuritiesMember 2018-12-31 0001065088 us-gaap:ShortTermInvestmentsMember u</w:t>
      </w:r>
      <w:r>
        <w:rPr>
          <w:rFonts w:ascii="Times New Roman" w:eastAsia="宋体" w:hAnsi="Times New Roman"/>
          <w:vanish/>
          <w:sz w:val="20"/>
          <w:szCs w:val="20"/>
        </w:rPr>
        <w:t>s-gaap:FairValueMeasurementsRecurringMember ebay:RestrictedCashMember 2018-12-31 0001065088 us-gaap:ShortTermInvestmentsMember us-gaap:FairValueMeasurementsRecurringMember 2018-12-31 0001065088 us-gaap:ShortTermInvestmentsMember us-gaap:FairValueInputsLeve</w:t>
      </w:r>
      <w:r>
        <w:rPr>
          <w:rFonts w:ascii="Times New Roman" w:eastAsia="宋体" w:hAnsi="Times New Roman"/>
          <w:vanish/>
          <w:sz w:val="20"/>
          <w:szCs w:val="20"/>
        </w:rPr>
        <w:t>l3Member us-gaap:FairValueMeasurementsRecurringMember 2018-12-31 0001065088 us-gaap:ShortTermInvestmentsMember us-gaap:FairValueInputsLevel1Member us-gaap:FairValueMeasurementsRecurringMember us-gaap:CorporateDebtSecuritiesMember 2018-12-31 0001065088 us-g</w:t>
      </w:r>
      <w:r>
        <w:rPr>
          <w:rFonts w:ascii="Times New Roman" w:eastAsia="宋体" w:hAnsi="Times New Roman"/>
          <w:vanish/>
          <w:sz w:val="20"/>
          <w:szCs w:val="20"/>
        </w:rPr>
        <w:t>aap:ShortTermInvestmentsMember us-gaap:FairValueInputsLevel2Member us-gaap:FairValueMeasurementsRecurringMember us-gaap:USTreasuryAndGovernmentMember 2018-12-31 0001065088 us-gaap:FairValueInputsLevel3Member us-gaap:FairValueMeasurementsRecurringMember 201</w:t>
      </w:r>
      <w:r>
        <w:rPr>
          <w:rFonts w:ascii="Times New Roman" w:eastAsia="宋体" w:hAnsi="Times New Roman"/>
          <w:vanish/>
          <w:sz w:val="20"/>
          <w:szCs w:val="20"/>
        </w:rPr>
        <w:t>8-12-31 0001065088 us-gaap:OtherCurrentLiabilitiesMember us-gaap:FairValueInputsLevel3Member us-gaap:FairValueMeasurementsRecurringMember 2018-12-31 0001065088 us-gaap:ShortTermInvestmentsMember us-gaap:FairValueInputsLevel1Member us-gaap:FairValueMeasurem</w:t>
      </w:r>
      <w:r>
        <w:rPr>
          <w:rFonts w:ascii="Times New Roman" w:eastAsia="宋体" w:hAnsi="Times New Roman"/>
          <w:vanish/>
          <w:sz w:val="20"/>
          <w:szCs w:val="20"/>
        </w:rPr>
        <w:t>entsRecurringMember ebay:RestrictedCashMember 2018-12-31 0001065088 us-gaap:OtherCurrentAssetsMember us-gaap:FairValueInputsLevel1Member us-gaap:FairValueMeasurementsRecurringMember 2018-12-31 0001065088 us-gaap:OtherCurrentLiabilitiesMember us-gaap:FairVa</w:t>
      </w:r>
      <w:r>
        <w:rPr>
          <w:rFonts w:ascii="Times New Roman" w:eastAsia="宋体" w:hAnsi="Times New Roman"/>
          <w:vanish/>
          <w:sz w:val="20"/>
          <w:szCs w:val="20"/>
        </w:rPr>
        <w:t>lueInputsLevel2Member us-gaap:FairValueMeasurementsRecurringMember 2018-12-31 0001065088 us-gaap:LandBuildingsAndImprovementsMember 2019-12-31 0001065088 us-gaap:LeaseholdImprovementsMember 2018-12-31 0001065088 ebay:ComputerEquipmentAndSoftwareMember 2018</w:t>
      </w:r>
      <w:r>
        <w:rPr>
          <w:rFonts w:ascii="Times New Roman" w:eastAsia="宋体" w:hAnsi="Times New Roman"/>
          <w:vanish/>
          <w:sz w:val="20"/>
          <w:szCs w:val="20"/>
        </w:rPr>
        <w:t xml:space="preserve">-12-31 0001065088 us-gaap:LeaseholdImprovementsMember 2019-12-31 0001065088 us-gaap:LandBuildingsAndImprovementsMember 2018-12-31 0001065088 ebay:ComputerEquipmentAndSoftwareMember 2019-12-31 0001065088 ebay:ConstructionInProgressAndOtherMember 2019-12-31 </w:t>
      </w:r>
      <w:r>
        <w:rPr>
          <w:rFonts w:ascii="Times New Roman" w:eastAsia="宋体" w:hAnsi="Times New Roman"/>
          <w:vanish/>
          <w:sz w:val="20"/>
          <w:szCs w:val="20"/>
        </w:rPr>
        <w:t>0001065088 ebay:ConstructionInProgressAndOtherMember 2018-12-31 0001065088 us-gaap:FurnitureAndFixturesMember 2018-12-31 0001065088 us-gaap:FurnitureAndFixturesMember 2019-12-31 0001065088 ebay:SixPointZeroPercentSeniorNotesDueOn2056Member us-gaap:SeniorNo</w:t>
      </w:r>
      <w:r>
        <w:rPr>
          <w:rFonts w:ascii="Times New Roman" w:eastAsia="宋体" w:hAnsi="Times New Roman"/>
          <w:vanish/>
          <w:sz w:val="20"/>
          <w:szCs w:val="20"/>
        </w:rPr>
        <w:t>tesMember 2019-12-31 0001065088 ebay:SixPointZeroPercentSeniorNotesDueOn2056Member us-gaap:SeniorNotesMember 2019-01-01 2019-12-31 0001065088 us-gaap:InterestRateSwapMember us-gaap:FairValueHedgingMember us-gaap:DesignatedAsHedgingInstrumentMember 2019-12-</w:t>
      </w:r>
      <w:r>
        <w:rPr>
          <w:rFonts w:ascii="Times New Roman" w:eastAsia="宋体" w:hAnsi="Times New Roman"/>
          <w:vanish/>
          <w:sz w:val="20"/>
          <w:szCs w:val="20"/>
        </w:rPr>
        <w:t>31 0001065088 ebay:ThreePointEightHundredPercentSeniorNotesDueOn2022Member us-gaap:SeniorNotesMember 2019-12-31 0001065088 us-gaap:RevolvingCreditFacilityMember us-gaap:UnsecuredDebtMember 2015-11-30 0001065088 us-gaap:RevolvingCreditFacilityMember us-gaap</w:t>
      </w:r>
      <w:r>
        <w:rPr>
          <w:rFonts w:ascii="Times New Roman" w:eastAsia="宋体" w:hAnsi="Times New Roman"/>
          <w:vanish/>
          <w:sz w:val="20"/>
          <w:szCs w:val="20"/>
        </w:rPr>
        <w:t>:UnsecuredDebtMember 2019-12-31 0001065088 ebay:SeniorNotesFloatingRateDue2019Member us-gaap:SeniorNotesMember 2019-01-01 2019-12-31 0001065088 ebay:EffectiveRateCalculationOption2Member us-gaap:LondonInterbankOfferedRateLIBORMember 2015-11-01 2015-11-30 0</w:t>
      </w:r>
      <w:r>
        <w:rPr>
          <w:rFonts w:ascii="Times New Roman" w:eastAsia="宋体" w:hAnsi="Times New Roman"/>
          <w:vanish/>
          <w:sz w:val="20"/>
          <w:szCs w:val="20"/>
        </w:rPr>
        <w:t>001065088 ebay:TwoPointSevenHundredFiftyPercentSeniorNotesDueOn2023Member us-gaap:SeniorNotesMember 2019-12-31 0001065088 us-gaap:SeniorNotesMember 2018-01-01 2018-12-31 0001065088 us-gaap:SeniorNotesMember 2019-12-31 0001065088 ebay:EffectiveRateCalculati</w:t>
      </w:r>
      <w:r>
        <w:rPr>
          <w:rFonts w:ascii="Times New Roman" w:eastAsia="宋体" w:hAnsi="Times New Roman"/>
          <w:vanish/>
          <w:sz w:val="20"/>
          <w:szCs w:val="20"/>
        </w:rPr>
        <w:t>onOption3Member srt:MinimumMember us-gaap:LondonInterbankOfferedRateLIBORMember 2015-11-01 2015-11-30 0001065088 ebay:EffectiveRateCalculationOption1Member srt:MinimumMember us-gaap:LondonInterbankOfferedRateLIBORMember 2015-11-01 2015-11-30 0001065088 us-</w:t>
      </w:r>
      <w:r>
        <w:rPr>
          <w:rFonts w:ascii="Times New Roman" w:eastAsia="宋体" w:hAnsi="Times New Roman"/>
          <w:vanish/>
          <w:sz w:val="20"/>
          <w:szCs w:val="20"/>
        </w:rPr>
        <w:t>gaap:SeniorNotesMember 2017-01-01 2017-12-31 0001065088 srt:MaximumMember us-gaap:CommercialPaperMember 2019-01-01 2019-12-31 0001065088 us-gaap:SeniorNotesMember 2019-01-01 2019-12-31 0001065088 ebay:EffectiveRateCalculationOption3Member srt:MaximumMember</w:t>
      </w:r>
      <w:r>
        <w:rPr>
          <w:rFonts w:ascii="Times New Roman" w:eastAsia="宋体" w:hAnsi="Times New Roman"/>
          <w:vanish/>
          <w:sz w:val="20"/>
          <w:szCs w:val="20"/>
        </w:rPr>
        <w:t xml:space="preserve"> us-gaap:LondonInterbankOfferedRateLIBORMember 2015-11-01 2015-11-30 0001065088 ebay:TwoPointEightHundredSeventyFivePercentSeniorNotesDueOn2021Member us-gaap:SeniorNotesMember 2019-09-30 0001065088 ebay:ThreePointFourHundredFiftyPercentSeniorNotesDueOn2024</w:t>
      </w:r>
      <w:r>
        <w:rPr>
          <w:rFonts w:ascii="Times New Roman" w:eastAsia="宋体" w:hAnsi="Times New Roman"/>
          <w:vanish/>
          <w:sz w:val="20"/>
          <w:szCs w:val="20"/>
        </w:rPr>
        <w:t>Member us-gaap:SeniorNotesMember 2019-09-30 0001065088 ebay:EffectiveRateCalculationOption1Member srt:MaximumMember us-gaap:LondonInterbankOfferedRateLIBORMember 2015-11-01 2015-11-30 0001065088 us-gaap:FederalFundsEffectiveSwapRateMember 2015-11-01 2015-1</w:t>
      </w:r>
      <w:r>
        <w:rPr>
          <w:rFonts w:ascii="Times New Roman" w:eastAsia="宋体" w:hAnsi="Times New Roman"/>
          <w:vanish/>
          <w:sz w:val="20"/>
          <w:szCs w:val="20"/>
        </w:rPr>
        <w:t>1-30 0001065088 ebay:TwoPointFiveHundredPercentSeniorNotesDueOn2018Member us-gaap:SeniorNotesMember 2018-01-01 2018-12-31 0001065088 ebay:TwoPointFiveHundredPercentSeniorNotesDueOn2018Member us-gaap:SeniorNotesMember 2018-12-31 0001065088 us-gaap:Commercia</w:t>
      </w:r>
      <w:r>
        <w:rPr>
          <w:rFonts w:ascii="Times New Roman" w:eastAsia="宋体" w:hAnsi="Times New Roman"/>
          <w:vanish/>
          <w:sz w:val="20"/>
          <w:szCs w:val="20"/>
        </w:rPr>
        <w:t>lPaperMember 2019-12-31 0001065088 us-gaap:RevolvingCreditFacilityMember us-gaap:CommercialPaperMember 2019-12-31 0001065088 us-gaap:SeniorNotesMember 2018-12-31 0001065088 ebay:TwoPointOneHundredFiftyPercentSeniorNotesDueOn2020Member us-gaap:SeniorNotesMe</w:t>
      </w:r>
      <w:r>
        <w:rPr>
          <w:rFonts w:ascii="Times New Roman" w:eastAsia="宋体" w:hAnsi="Times New Roman"/>
          <w:vanish/>
          <w:sz w:val="20"/>
          <w:szCs w:val="20"/>
        </w:rPr>
        <w:t>mber 2019-12-31 0001065088 ebay:ThreePointSixHundredPercentSeniorNotesDueOn2027Member us-gaap:SeniorNotesMember 2019-12-31 0001065088 ebay:TwoPointTwoPercentSeniorNotesDueOn2019Member us-gaap:SeniorNotesMember 2019-12-31 0001065088 ebay:SeniorNotesFloating</w:t>
      </w:r>
      <w:r>
        <w:rPr>
          <w:rFonts w:ascii="Times New Roman" w:eastAsia="宋体" w:hAnsi="Times New Roman"/>
          <w:vanish/>
          <w:sz w:val="20"/>
          <w:szCs w:val="20"/>
        </w:rPr>
        <w:t>RateDue2019Member us-gaap:SeniorNotesMember 2018-12-31 0001065088 ebay:TwoPointOneHundredFiftyPercentSeniorNotesDueOn2020Member us-gaap:SeniorNotesMember 2018-12-31 0001065088 ebay:TwoPointSixPercentSeniorNotesDueOn2022Member us-gaap:SeniorNotesMember 2019</w:t>
      </w:r>
      <w:r>
        <w:rPr>
          <w:rFonts w:ascii="Times New Roman" w:eastAsia="宋体" w:hAnsi="Times New Roman"/>
          <w:vanish/>
          <w:sz w:val="20"/>
          <w:szCs w:val="20"/>
        </w:rPr>
        <w:t>-12-31 0001065088 ebay:ThreePointTwoHundredFiftyPercentSeniorNotesDueOn2020Member us-gaap:SeniorNotesMember 2019-12-31 0001065088 ebay:SeniorNotesFloatingRateDue2023Member us-gaap:SeniorNotesMember 2019-12-31 0001065088 ebay:TwoPointSixPercentSeniorNotesDu</w:t>
      </w:r>
      <w:r>
        <w:rPr>
          <w:rFonts w:ascii="Times New Roman" w:eastAsia="宋体" w:hAnsi="Times New Roman"/>
          <w:vanish/>
          <w:sz w:val="20"/>
          <w:szCs w:val="20"/>
        </w:rPr>
        <w:t>eOn2022Member us-gaap:SeniorNotesMember 2018-12-31 0001065088 ebay:FourPointZeroPercentSeniorNotesDueOn2042Member us-gaap:SeniorNotesMember 2019-12-31 0001065088 ebay:SeniorNotesFloatingRateDue2019Member us-gaap:SeniorNotesMember 2019-12-31 0001065088 ebay</w:t>
      </w:r>
      <w:r>
        <w:rPr>
          <w:rFonts w:ascii="Times New Roman" w:eastAsia="宋体" w:hAnsi="Times New Roman"/>
          <w:vanish/>
          <w:sz w:val="20"/>
          <w:szCs w:val="20"/>
        </w:rPr>
        <w:t>:ThreePointFourHundredFiftyPercentSeniorNotesDueOn2024Member us-gaap:SeniorNotesMember 2019-12-31 0001065088 ebay:SixPointZeroPercentSeniorNotesDueOn2056Member us-gaap:SeniorNotesMember 2018-12-31 0001065088 ebay:TwoPointEightHundredSeventyFivePercentSenio</w:t>
      </w:r>
      <w:r>
        <w:rPr>
          <w:rFonts w:ascii="Times New Roman" w:eastAsia="宋体" w:hAnsi="Times New Roman"/>
          <w:vanish/>
          <w:sz w:val="20"/>
          <w:szCs w:val="20"/>
        </w:rPr>
        <w:t>rNotesDueOn2021Member us-gaap:SeniorNotesMember 2019-12-31 0001065088 ebay:SeniorNotesFloatingRateDue2023Member us-gaap:SeniorNotesMember 2018-12-31 0001065088 ebay:ThreePointTwoHundredFiftyPercentSeniorNotesDueOn2020Member us-gaap:SeniorNotesMember 2018-1</w:t>
      </w:r>
      <w:r>
        <w:rPr>
          <w:rFonts w:ascii="Times New Roman" w:eastAsia="宋体" w:hAnsi="Times New Roman"/>
          <w:vanish/>
          <w:sz w:val="20"/>
          <w:szCs w:val="20"/>
        </w:rPr>
        <w:t>2-31 0001065088 ebay:ThreePointFourHundredFiftyPercentSeniorNotesDueOn2024Member us-gaap:SeniorNotesMember 2018-12-31 0001065088 ebay:ThreePointSixHundredPercentSeniorNotesDueOn2027Member us-gaap:SeniorNotesMember 2018-12-31 0001065088 ebay:TwoPointEightHu</w:t>
      </w:r>
      <w:r>
        <w:rPr>
          <w:rFonts w:ascii="Times New Roman" w:eastAsia="宋体" w:hAnsi="Times New Roman"/>
          <w:vanish/>
          <w:sz w:val="20"/>
          <w:szCs w:val="20"/>
        </w:rPr>
        <w:t>ndredSeventyFivePercentSeniorNotesDueOn2021Member us-gaap:SeniorNotesMember 2018-12-31 0001065088 ebay:FourPointZeroPercentSeniorNotesDueOn2042Member us-gaap:SeniorNotesMember 2018-12-31 0001065088 ebay:ThreePointEightHundredPercentSeniorNotesDueOn2022Memb</w:t>
      </w:r>
      <w:r>
        <w:rPr>
          <w:rFonts w:ascii="Times New Roman" w:eastAsia="宋体" w:hAnsi="Times New Roman"/>
          <w:vanish/>
          <w:sz w:val="20"/>
          <w:szCs w:val="20"/>
        </w:rPr>
        <w:t>er us-gaap:SeniorNotesMember 2018-12-31 0001065088 ebay:TwoPointTwoPercentSeniorNotesDueOn2019Member us-gaap:SeniorNotesMember 2018-12-31 0001065088 ebay:TwoPointSevenHundredFiftyPercentSeniorNotesDueOn2023Member us-gaap:SeniorNotesMember 2018-12-31 000106</w:t>
      </w:r>
      <w:r>
        <w:rPr>
          <w:rFonts w:ascii="Times New Roman" w:eastAsia="宋体" w:hAnsi="Times New Roman"/>
          <w:vanish/>
          <w:sz w:val="20"/>
          <w:szCs w:val="20"/>
        </w:rPr>
        <w:t>5088 us-gaap:RevolvingCreditFacilityMember us-gaap:UnsecuredDebtMember 2015-11-01 2015-11-30 0001065088 us-gaap:CommercialPaperMember 2018-12-31 0001065088 ebay:SeniorNotesFloatingRateDue2019Member us-gaap:SeniorNotesMember us-gaap:LondonInterbankOfferedRa</w:t>
      </w:r>
      <w:r>
        <w:rPr>
          <w:rFonts w:ascii="Times New Roman" w:eastAsia="宋体" w:hAnsi="Times New Roman"/>
          <w:vanish/>
          <w:sz w:val="20"/>
          <w:szCs w:val="20"/>
        </w:rPr>
        <w:t>teLIBORMember 2019-01-01 2019-12-31 0001065088 ebay:SeniorNotesFloatingRateDue2023Member us-gaap:SeniorNotesMember us-gaap:LondonInterbankOfferedRateLIBORMember 2019-01-01 2019-12-31 0001065088 ebay:StockRepurchaseProgramJanuary2019Member 2019-01-31 000106</w:t>
      </w:r>
      <w:r>
        <w:rPr>
          <w:rFonts w:ascii="Times New Roman" w:eastAsia="宋体" w:hAnsi="Times New Roman"/>
          <w:vanish/>
          <w:sz w:val="20"/>
          <w:szCs w:val="20"/>
        </w:rPr>
        <w:t>5088 ebay:StockRepurchaseProgramJanuary2020Member us-gaap:SubsequentEventMember 2020-01-31 0001065088 ebay:StockRepurchaseProgramJanuary2018Member 2018-01-31 0001065088 us-gaap:SubsequentEventMember 2020-01-01 2020-01-31 0001065088 us-gaap:RestrictedStockU</w:t>
      </w:r>
      <w:r>
        <w:rPr>
          <w:rFonts w:ascii="Times New Roman" w:eastAsia="宋体" w:hAnsi="Times New Roman"/>
          <w:vanish/>
          <w:sz w:val="20"/>
          <w:szCs w:val="20"/>
        </w:rPr>
        <w:t>nitsRSUMember 2019-12-31 0001065088 us-gaap:RestrictedStockUnitsRSUMember 2019-01-01 2019-12-31 0001065088 us-gaap:RestrictedStockUnitsRSUMember 2018-12-31 0001065088 ebay:EmployeeSavingsPlanMember 2019-01-01 2019-12-31 0001065088 us-gaap:EmployeeStockOpti</w:t>
      </w:r>
      <w:r>
        <w:rPr>
          <w:rFonts w:ascii="Times New Roman" w:eastAsia="宋体" w:hAnsi="Times New Roman"/>
          <w:vanish/>
          <w:sz w:val="20"/>
          <w:szCs w:val="20"/>
        </w:rPr>
        <w:t>onMember 2019-01-01 2019-12-31 0001065088 ebay:EmployeeStockPurchasePlanMember 2019-01-01 2019-12-31 0001065088 ebay:EmployeeStockPurchasePlanMember 2017-01-01 2017-12-31 0001065088 ebay:NewEmployeesMember us-gaap:EmployeeStockOptionMember ebay:EquityIncen</w:t>
      </w:r>
      <w:r>
        <w:rPr>
          <w:rFonts w:ascii="Times New Roman" w:eastAsia="宋体" w:hAnsi="Times New Roman"/>
          <w:vanish/>
          <w:sz w:val="20"/>
          <w:szCs w:val="20"/>
        </w:rPr>
        <w:t>tivePlanMember ebay:CliffVestingYearOneMember 2019-01-01 2019-12-31 0001065088 ebay:EmployeeStockPurchasePlanMember 2019-12-31 0001065088 us-gaap:RestrictedStockUnitsRSUMember 2017-01-01 2017-12-31 0001065088 ebay:EmployeeSavingsPlanMember 2018-01-01 2018-</w:t>
      </w:r>
      <w:r>
        <w:rPr>
          <w:rFonts w:ascii="Times New Roman" w:eastAsia="宋体" w:hAnsi="Times New Roman"/>
          <w:vanish/>
          <w:sz w:val="20"/>
          <w:szCs w:val="20"/>
        </w:rPr>
        <w:t>12-31 0001065088 ebay:ExistingEmployeesMember us-gaap:EmployeeStockOptionMember ebay:EquityIncentivePlanMember ebay:CliffVestingSixMonthsMember 2019-01-01 2019-12-31 0001065088 ebay:EmployeeSavingsPlanMember 2017-01-01 2017-12-31 0001065088 ebay:EquityInce</w:t>
      </w:r>
      <w:r>
        <w:rPr>
          <w:rFonts w:ascii="Times New Roman" w:eastAsia="宋体" w:hAnsi="Times New Roman"/>
          <w:vanish/>
          <w:sz w:val="20"/>
          <w:szCs w:val="20"/>
        </w:rPr>
        <w:t>ntivePlanMember 2019-12-31 0001065088 us-gaap:RestrictedStockUnitsRSUMember 2018-01-01 2018-12-31 0001065088 ebay:DeferredStockUnitMember 2019-12-31 0001065088 us-gaap:EmployeeStockOptionMember ebay:EquityIncentivePlanMember ebay:GradedVestingMember 2019-0</w:t>
      </w:r>
      <w:r>
        <w:rPr>
          <w:rFonts w:ascii="Times New Roman" w:eastAsia="宋体" w:hAnsi="Times New Roman"/>
          <w:vanish/>
          <w:sz w:val="20"/>
          <w:szCs w:val="20"/>
        </w:rPr>
        <w:t>1-01 2019-12-31 0001065088 ebay:EmployeeStockPurchasePlanMember 2018-01-01 2018-12-31 0001065088 ebay:DeferredStockUnitMember ebay:GradedVestingMember 2019-01-01 2019-12-31 0001065088 us-gaap:EmployeeStockOptionMember 2018-01-01 2018-12-31 0001065088 us-ga</w:t>
      </w:r>
      <w:r>
        <w:rPr>
          <w:rFonts w:ascii="Times New Roman" w:eastAsia="宋体" w:hAnsi="Times New Roman"/>
          <w:vanish/>
          <w:sz w:val="20"/>
          <w:szCs w:val="20"/>
        </w:rPr>
        <w:t>ap:EmployeeStockOptionMember 2017-01-01 2017-12-31 0001065088 us-gaap:EmployeeStockOptionMember 2019-12-31 0001065088 ebay:DeferredStockUnitMember ebay:CliffVestingMember 2019-01-01 2019-12-31 0001065088 us-gaap:CostOfSalesMember 2019-01-01 2019-12-31 0001</w:t>
      </w:r>
      <w:r>
        <w:rPr>
          <w:rFonts w:ascii="Times New Roman" w:eastAsia="宋体" w:hAnsi="Times New Roman"/>
          <w:vanish/>
          <w:sz w:val="20"/>
          <w:szCs w:val="20"/>
        </w:rPr>
        <w:t>065088 us-gaap:ResearchAndDevelopmentExpenseMember 2018-01-01 2018-12-31 0001065088 us-gaap:CostOfSalesMember 2017-01-01 2017-12-31 0001065088 us-gaap:GeneralAndAdministrativeExpenseMember 2018-01-01 2018-12-31 0001065088 us-gaap:GeneralAndAdministrativeEx</w:t>
      </w:r>
      <w:r>
        <w:rPr>
          <w:rFonts w:ascii="Times New Roman" w:eastAsia="宋体" w:hAnsi="Times New Roman"/>
          <w:vanish/>
          <w:sz w:val="20"/>
          <w:szCs w:val="20"/>
        </w:rPr>
        <w:t>penseMember 2019-01-01 2019-12-31 0001065088 us-gaap:SellingAndMarketingExpenseMember 2018-01-01 2018-12-31 0001065088 us-gaap:ResearchAndDevelopmentExpenseMember 2017-01-01 2017-12-31 0001065088 us-gaap:GeneralAndAdministrativeExpenseMember 2017-01-01 201</w:t>
      </w:r>
      <w:r>
        <w:rPr>
          <w:rFonts w:ascii="Times New Roman" w:eastAsia="宋体" w:hAnsi="Times New Roman"/>
          <w:vanish/>
          <w:sz w:val="20"/>
          <w:szCs w:val="20"/>
        </w:rPr>
        <w:t>7-12-31 0001065088 us-gaap:ResearchAndDevelopmentExpenseMember 2019-01-01 2019-12-31 0001065088 us-gaap:SellingAndMarketingExpenseMember 2017-01-01 2017-12-31 0001065088 us-gaap:SellingAndMarketingExpenseMember 2019-01-01 2019-12-31 0001065088 us-gaap:Cost</w:t>
      </w:r>
      <w:r>
        <w:rPr>
          <w:rFonts w:ascii="Times New Roman" w:eastAsia="宋体" w:hAnsi="Times New Roman"/>
          <w:vanish/>
          <w:sz w:val="20"/>
          <w:szCs w:val="20"/>
        </w:rPr>
        <w:t>OfSalesMember 2018-01-01 2018-12-31 0001065088 srt:MaximumMember us-gaap:EmployeeStockOptionMember ebay:EquityIncentivePlanMember 2019-01-01 2019-12-31 0001065088 srt:MinimumMember us-gaap:RestrictedStockUnitsRSUMember ebay:EquityIncentivePlanMember 2019-0</w:t>
      </w:r>
      <w:r>
        <w:rPr>
          <w:rFonts w:ascii="Times New Roman" w:eastAsia="宋体" w:hAnsi="Times New Roman"/>
          <w:vanish/>
          <w:sz w:val="20"/>
          <w:szCs w:val="20"/>
        </w:rPr>
        <w:t>1-01 2019-12-31 0001065088 us-gaap:RestrictedStockUnitsRSUMember ebay:EquityIncentivePlanMember us-gaap:ExecutiveOfficerMember us-gaap:ShareBasedCompensationAwardTrancheOneMember 2019-01-01 2019-12-31 0001065088 us-gaap:RestrictedStockUnitsRSUMember ebay:E</w:t>
      </w:r>
      <w:r>
        <w:rPr>
          <w:rFonts w:ascii="Times New Roman" w:eastAsia="宋体" w:hAnsi="Times New Roman"/>
          <w:vanish/>
          <w:sz w:val="20"/>
          <w:szCs w:val="20"/>
        </w:rPr>
        <w:t>quityIncentivePlanMember us-gaap:ExecutiveOfficerMember us-gaap:ShareBasedCompensationAwardTrancheTwoMember 2018-01-01 2018-12-31 0001065088 us-gaap:RestrictedStockUnitsRSUMember ebay:EquityIncentivePlanMember us-gaap:ExecutiveOfficerMember us-gaap:ShareBa</w:t>
      </w:r>
      <w:r>
        <w:rPr>
          <w:rFonts w:ascii="Times New Roman" w:eastAsia="宋体" w:hAnsi="Times New Roman"/>
          <w:vanish/>
          <w:sz w:val="20"/>
          <w:szCs w:val="20"/>
        </w:rPr>
        <w:t>sedCompensationAwardTrancheOneMember 2018-01-01 2018-12-31 0001065088 srt:MaximumMember us-gaap:RestrictedStockUnitsRSUMember ebay:EquityIncentivePlanMember 2019-01-01 2019-12-31 0001065088 srt:MinimumMember us-gaap:EmployeeStockOptionMember ebay:EquityInc</w:t>
      </w:r>
      <w:r>
        <w:rPr>
          <w:rFonts w:ascii="Times New Roman" w:eastAsia="宋体" w:hAnsi="Times New Roman"/>
          <w:vanish/>
          <w:sz w:val="20"/>
          <w:szCs w:val="20"/>
        </w:rPr>
        <w:t>entivePlanMember 2019-01-01 2019-12-31 0001065088 us-gaap:RestrictedStockUnitsRSUMember ebay:EquityIncentivePlanMember us-gaap:ExecutiveOfficerMember us-gaap:ShareBasedCompensationAwardTrancheTwoMember 2019-01-01 2019-12-31 0001065088 us-gaap:RestrictedSto</w:t>
      </w:r>
      <w:r>
        <w:rPr>
          <w:rFonts w:ascii="Times New Roman" w:eastAsia="宋体" w:hAnsi="Times New Roman"/>
          <w:vanish/>
          <w:sz w:val="20"/>
          <w:szCs w:val="20"/>
        </w:rPr>
        <w:t>ckUnitsRSUMember ebay:EquityIncentivePlanMember us-gaap:ExecutiveOfficerMember us-gaap:ShareBasedCompensationAwardTrancheTwoMember 2017-01-01 2017-12-31 0001065088 us-gaap:RestrictedStockUnitsRSUMember ebay:EquityIncentivePlanMember us-gaap:ExecutiveOffice</w:t>
      </w:r>
      <w:r>
        <w:rPr>
          <w:rFonts w:ascii="Times New Roman" w:eastAsia="宋体" w:hAnsi="Times New Roman"/>
          <w:vanish/>
          <w:sz w:val="20"/>
          <w:szCs w:val="20"/>
        </w:rPr>
        <w:t>rMember us-gaap:ShareBasedCompensationAwardTrancheOneMember 2017-01-01 2017-12-31 0001065088 us-gaap:ForeignCountryMember 2019-12-31 0001065088 ebay:TaxPeriodTwoThousandandTwentyFourMember 2019-12-31 0001065088 us-gaap:DomesticCountryMember 2019-12-31 0001</w:t>
      </w:r>
      <w:r>
        <w:rPr>
          <w:rFonts w:ascii="Times New Roman" w:eastAsia="宋体" w:hAnsi="Times New Roman"/>
          <w:vanish/>
          <w:sz w:val="20"/>
          <w:szCs w:val="20"/>
        </w:rPr>
        <w:t>065088 us-gaap:StateAndLocalJurisdictionMember 2019-12-31 0001065088 srt:AffiliatedEntityMember 2019-12-31 0001065088 ebay:StateTaxCreditCarryforwardMember 2019-12-31 0001065088 us-gaap:OtherLiabilitiesMember 2018-12-31 0001065088 2018-10-01 2018-12-31 000</w:t>
      </w:r>
      <w:r>
        <w:rPr>
          <w:rFonts w:ascii="Times New Roman" w:eastAsia="宋体" w:hAnsi="Times New Roman"/>
          <w:vanish/>
          <w:sz w:val="20"/>
          <w:szCs w:val="20"/>
        </w:rPr>
        <w:t>1065088 us-gaap:OtherLiabilitiesMember 2019-12-31 0001065088 us-gaap:SwissFederalTaxAdministrationFTAMember 2018-10-01 2018-10-31 0001065088 2017-10-01 2017-12-31 0001065088 ebay:TaxPeriodTwoThousandandTwentyMember 2019-12-31 0001065088 2017-01-01 2017-06-</w:t>
      </w:r>
      <w:r>
        <w:rPr>
          <w:rFonts w:ascii="Times New Roman" w:eastAsia="宋体" w:hAnsi="Times New Roman"/>
          <w:vanish/>
          <w:sz w:val="20"/>
          <w:szCs w:val="20"/>
        </w:rPr>
        <w:t xml:space="preserve">30 0001065088 2017-01-01 2017-03-31 0001065088 ebay:Brands4friendsMember 2019-01-01 2019-12-31 0001065088 us-gaap:ReclassificationOutOfAccumulatedOtherComprehensiveIncomeMember us-gaap:AccumulatedNetUnrealizedInvestmentGainLossMember 2018-01-01 2018-12-31 </w:t>
      </w:r>
      <w:r>
        <w:rPr>
          <w:rFonts w:ascii="Times New Roman" w:eastAsia="宋体" w:hAnsi="Times New Roman"/>
          <w:vanish/>
          <w:sz w:val="20"/>
          <w:szCs w:val="20"/>
        </w:rPr>
        <w:t>0001065088 us-gaap:ForeignExchangeContractMember us-gaap:ReclassificationOutOfAccumulatedOtherComprehensiveIncomeMember us-gaap:AccumulatedGainLossNetCashFlowHedgeParentMember 2018-01-01 2018-12-31 0001065088 us-gaap:ReclassificationOutOfAccumulatedOtherCo</w:t>
      </w:r>
      <w:r>
        <w:rPr>
          <w:rFonts w:ascii="Times New Roman" w:eastAsia="宋体" w:hAnsi="Times New Roman"/>
          <w:vanish/>
          <w:sz w:val="20"/>
          <w:szCs w:val="20"/>
        </w:rPr>
        <w:t xml:space="preserve">mprehensiveIncomeMember 2018-01-01 2018-12-31 0001065088 us-gaap:ReclassificationOutOfAccumulatedOtherComprehensiveIncomeMember us-gaap:AccumulatedNetUnrealizedInvestmentGainLossMember 2019-01-01 2019-12-31 0001065088 us-gaap:ForeignExchangeContractMember </w:t>
      </w:r>
      <w:r>
        <w:rPr>
          <w:rFonts w:ascii="Times New Roman" w:eastAsia="宋体" w:hAnsi="Times New Roman"/>
          <w:vanish/>
          <w:sz w:val="20"/>
          <w:szCs w:val="20"/>
        </w:rPr>
        <w:t>us-gaap:ReclassificationOutOfAccumulatedOtherComprehensiveIncomeMember us-gaap:AccumulatedGainLossNetCashFlowHedgeParentMember 2019-01-01 2019-12-31 0001065088 us-gaap:ReclassificationOutOfAccumulatedOtherComprehensiveIncomeMember 2019-01-01 2019-12-31 000</w:t>
      </w:r>
      <w:r>
        <w:rPr>
          <w:rFonts w:ascii="Times New Roman" w:eastAsia="宋体" w:hAnsi="Times New Roman"/>
          <w:vanish/>
          <w:sz w:val="20"/>
          <w:szCs w:val="20"/>
        </w:rPr>
        <w:t>1065088 us-gaap:AccumulatedTranslationAdjustmentMember 2019-01-01 2019-12-31 0001065088 us-gaap:AccumulatedGainLossNetCashFlowHedgeParentMember 2019-01-01 2019-12-31 0001065088 us-gaap:AccumulatedGainLossNetCashFlowHedgeParentMember 2019-12-31 0001065088 u</w:t>
      </w:r>
      <w:r>
        <w:rPr>
          <w:rFonts w:ascii="Times New Roman" w:eastAsia="宋体" w:hAnsi="Times New Roman"/>
          <w:vanish/>
          <w:sz w:val="20"/>
          <w:szCs w:val="20"/>
        </w:rPr>
        <w:t>s-gaap:AccumulatedNetUnrealizedInvestmentGainLossMember 2019-01-01 2019-12-31 0001065088 us-gaap:AccumulatedTranslationAdjustmentMember 2019-12-31 0001065088 us-gaap:AccumulatedNetUnrealizedInvestmentGainLossMember 2019-12-31 0001065088 us-gaap:Accumulated</w:t>
      </w:r>
      <w:r>
        <w:rPr>
          <w:rFonts w:ascii="Times New Roman" w:eastAsia="宋体" w:hAnsi="Times New Roman"/>
          <w:vanish/>
          <w:sz w:val="20"/>
          <w:szCs w:val="20"/>
        </w:rPr>
        <w:t>GainLossNetCashFlowHedgeParentMember 2018-12-31 0001065088 us-gaap:AccumulatedNetUnrealizedInvestmentGainLossMember 2018-12-31 0001065088 us-gaap:AccumulatedTranslationAdjustmentMember 2018-12-31 0001065088 us-gaap:AociIncludingPortionAttributableToNoncont</w:t>
      </w:r>
      <w:r>
        <w:rPr>
          <w:rFonts w:ascii="Times New Roman" w:eastAsia="宋体" w:hAnsi="Times New Roman"/>
          <w:vanish/>
          <w:sz w:val="20"/>
          <w:szCs w:val="20"/>
        </w:rPr>
        <w:t>rollingInterestMember 2019-12-31 0001065088 us-gaap:AociIncludingPortionAttributableToNoncontrollingInterestMember 2018-12-31 0001065088 us-gaap:AociIncludingPortionAttributableToNoncontrollingInterestMember 2017-12-31 0001065088 us-gaap:AccumulatedNetUnre</w:t>
      </w:r>
      <w:r>
        <w:rPr>
          <w:rFonts w:ascii="Times New Roman" w:eastAsia="宋体" w:hAnsi="Times New Roman"/>
          <w:vanish/>
          <w:sz w:val="20"/>
          <w:szCs w:val="20"/>
        </w:rPr>
        <w:t>alizedInvestmentGainLossMember 2017-12-31 0001065088 us-gaap:AccumulatedTranslationAdjustmentMember 2018-01-01 2018-12-31 0001065088 us-gaap:AccumulatedGainLossNetCashFlowHedgeParentMember 2018-01-01 2018-12-31 0001065088 us-gaap:AccumulatedNetUnrealizedIn</w:t>
      </w:r>
      <w:r>
        <w:rPr>
          <w:rFonts w:ascii="Times New Roman" w:eastAsia="宋体" w:hAnsi="Times New Roman"/>
          <w:vanish/>
          <w:sz w:val="20"/>
          <w:szCs w:val="20"/>
        </w:rPr>
        <w:t>vestmentGainLossMember 2018-01-01 2018-12-31 0001065088 us-gaap:AccumulatedTranslationAdjustmentMember 2017-12-31 0001065088 us-gaap:AccumulatedGainLossNetCashFlowHedgeParentMember 2017-12-31 0001065088 2018-06-01 2018-06-30 0001065088 2019-10-01 2019-12-3</w:t>
      </w:r>
      <w:r>
        <w:rPr>
          <w:rFonts w:ascii="Times New Roman" w:eastAsia="宋体" w:hAnsi="Times New Roman"/>
          <w:vanish/>
          <w:sz w:val="20"/>
          <w:szCs w:val="20"/>
        </w:rPr>
        <w:t>1 0001065088 2019-04-01 2019-06-30 0001065088 2019-07-01 2019-09-30 0001065088 2018-07-01 2018-09-30 0001065088 2018-01-01 2018-03-31 0001065088 2018-04-01 2018-06-30 0001065088 ebay:SECSchedule1209AllowanceAccountsReceivableMember 2017-12-31 0001065088 eb</w:t>
      </w:r>
      <w:r>
        <w:rPr>
          <w:rFonts w:ascii="Times New Roman" w:eastAsia="宋体" w:hAnsi="Times New Roman"/>
          <w:vanish/>
          <w:sz w:val="20"/>
          <w:szCs w:val="20"/>
        </w:rPr>
        <w:t>ay:AllowanceForTrasactionLoanAndInterestLossesMember 2019-01-01 2019-12-31 0001065088 us-gaap:ValuationAllowanceOfDeferredTaxAssetsMember 2016-12-31 0001065088 ebay:SECSchedule1209AllowanceAccountsReceivableMember 2017-01-01 2017-12-31 0001065088 us-gaap:V</w:t>
      </w:r>
      <w:r>
        <w:rPr>
          <w:rFonts w:ascii="Times New Roman" w:eastAsia="宋体" w:hAnsi="Times New Roman"/>
          <w:vanish/>
          <w:sz w:val="20"/>
          <w:szCs w:val="20"/>
        </w:rPr>
        <w:t>aluationAllowanceOfDeferredTaxAssetsMember 2018-12-31 0001065088 us-gaap:ValuationAllowanceOfDeferredTaxAssetsMember 2019-01-01 2019-12-31 0001065088 us-gaap:ValuationAllowanceOfDeferredTaxAssetsMember 2017-01-01 2017-12-31 0001065088 ebay:AllowanceForTras</w:t>
      </w:r>
      <w:r>
        <w:rPr>
          <w:rFonts w:ascii="Times New Roman" w:eastAsia="宋体" w:hAnsi="Times New Roman"/>
          <w:vanish/>
          <w:sz w:val="20"/>
          <w:szCs w:val="20"/>
        </w:rPr>
        <w:t>actionLoanAndInterestLossesMember 2018-12-31 0001065088 us-gaap:ValuationAllowanceOfDeferredTaxAssetsMember 2018-01-01 2018-12-31 0001065088 ebay:AllowanceForTrasactionLoanAndInterestLossesMember 2017-01-01 2017-12-31 0001065088 ebay:SECSchedule1209Allowan</w:t>
      </w:r>
      <w:r>
        <w:rPr>
          <w:rFonts w:ascii="Times New Roman" w:eastAsia="宋体" w:hAnsi="Times New Roman"/>
          <w:vanish/>
          <w:sz w:val="20"/>
          <w:szCs w:val="20"/>
        </w:rPr>
        <w:t>ceAccountsReceivableMember 2019-01-01 2019-12-31 0001065088 us-gaap:ValuationAllowanceOfDeferredTaxAssetsMember 2019-12-31 0001065088 ebay:SECSchedule1209AllowanceAccountsReceivableMember 2018-01-01 2018-12-31 0001065088 ebay:AllowanceForTrasactionLoanAndI</w:t>
      </w:r>
      <w:r>
        <w:rPr>
          <w:rFonts w:ascii="Times New Roman" w:eastAsia="宋体" w:hAnsi="Times New Roman"/>
          <w:vanish/>
          <w:sz w:val="20"/>
          <w:szCs w:val="20"/>
        </w:rPr>
        <w:t>nterestLossesMember 2018-01-01 2018-12-31 0001065088 ebay:AllowanceForTrasactionLoanAndInterestLossesMember 2019-12-31 0001065088 us-gaap:ValuationAllowanceOfDeferredTaxAssetsMember 2017-12-31 0001065088 ebay:AllowanceForTrasactionLoanAndInterestLossesMemb</w:t>
      </w:r>
      <w:r>
        <w:rPr>
          <w:rFonts w:ascii="Times New Roman" w:eastAsia="宋体" w:hAnsi="Times New Roman"/>
          <w:vanish/>
          <w:sz w:val="20"/>
          <w:szCs w:val="20"/>
        </w:rPr>
        <w:t>er 2017-12-31 0001065088 ebay:SECSchedule1209AllowanceAccountsReceivableMember 2018-12-31 0001065088 ebay:AllowanceForTrasactionLoanAndInterestLossesMember 2016-12-31 0001065088 ebay:SECSchedule1209AllowanceAccountsReceivableMember 2019-12-31 0001065088 eb</w:t>
      </w:r>
      <w:r>
        <w:rPr>
          <w:rFonts w:ascii="Times New Roman" w:eastAsia="宋体" w:hAnsi="Times New Roman"/>
          <w:vanish/>
          <w:sz w:val="20"/>
          <w:szCs w:val="20"/>
        </w:rPr>
        <w:t xml:space="preserve">ay:SECSchedule1209AllowanceAccountsReceivableMember 2016-12-31 xbrli:pure ebay:segment iso4217:USD xbrli:shares iso4217:USD xbrli:shares ebay:tranche </w:t>
      </w:r>
    </w:p>
    <w:p w14:paraId="0BC9752B" w14:textId="77777777" w:rsidR="009F0928" w:rsidRDefault="009F0928">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9F0928" w14:paraId="0BC9752D" w14:textId="77777777">
        <w:trPr>
          <w:jc w:val="center"/>
        </w:trPr>
        <w:tc>
          <w:tcPr>
            <w:tcW w:w="0" w:type="auto"/>
            <w:shd w:val="clear" w:color="auto" w:fill="auto"/>
            <w:vAlign w:val="center"/>
          </w:tcPr>
          <w:p w14:paraId="0BC9752C" w14:textId="77777777" w:rsidR="009F0928" w:rsidRDefault="009F0928">
            <w:pPr>
              <w:rPr>
                <w:rFonts w:ascii="Times New Roman" w:hAnsi="Times New Roman"/>
                <w:sz w:val="20"/>
                <w:szCs w:val="20"/>
              </w:rPr>
            </w:pPr>
          </w:p>
        </w:tc>
      </w:tr>
      <w:tr w:rsidR="009F0928" w14:paraId="0BC9752F" w14:textId="77777777">
        <w:trPr>
          <w:jc w:val="center"/>
        </w:trPr>
        <w:tc>
          <w:tcPr>
            <w:tcW w:w="5000" w:type="pct"/>
            <w:shd w:val="clear" w:color="auto" w:fill="auto"/>
            <w:vAlign w:val="center"/>
          </w:tcPr>
          <w:p w14:paraId="0BC9752E" w14:textId="77777777" w:rsidR="009F0928" w:rsidRDefault="009F0928">
            <w:pPr>
              <w:rPr>
                <w:rFonts w:ascii="Times New Roman" w:hAnsi="Times New Roman"/>
                <w:sz w:val="20"/>
                <w:szCs w:val="20"/>
              </w:rPr>
            </w:pPr>
          </w:p>
        </w:tc>
      </w:tr>
      <w:tr w:rsidR="009F0928" w14:paraId="0BC97531" w14:textId="77777777">
        <w:trPr>
          <w:jc w:val="center"/>
        </w:trPr>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53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7533" w14:textId="77777777">
        <w:trPr>
          <w:jc w:val="center"/>
        </w:trPr>
        <w:tc>
          <w:tcPr>
            <w:tcW w:w="0" w:type="auto"/>
            <w:shd w:val="clear" w:color="auto" w:fill="auto"/>
            <w:tcMar>
              <w:top w:w="40" w:type="dxa"/>
              <w:left w:w="40" w:type="dxa"/>
              <w:bottom w:w="40" w:type="dxa"/>
              <w:right w:w="40" w:type="dxa"/>
            </w:tcMar>
            <w:vAlign w:val="bottom"/>
          </w:tcPr>
          <w:p w14:paraId="0BC9753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7534" w14:textId="77777777" w:rsidR="009F0928" w:rsidRDefault="002112BD">
      <w:pPr>
        <w:spacing w:line="288" w:lineRule="auto"/>
        <w:jc w:val="center"/>
        <w:rPr>
          <w:rFonts w:ascii="Times New Roman" w:hAnsi="Times New Roman"/>
          <w:sz w:val="28"/>
          <w:szCs w:val="28"/>
        </w:rPr>
      </w:pPr>
      <w:r>
        <w:rPr>
          <w:rFonts w:ascii="Arial" w:eastAsia="宋体" w:hAnsi="Arial" w:cs="Arial"/>
          <w:b/>
          <w:bCs/>
          <w:sz w:val="28"/>
          <w:szCs w:val="28"/>
        </w:rPr>
        <w:t>UNITED STATES</w:t>
      </w:r>
    </w:p>
    <w:p w14:paraId="0BC97535" w14:textId="77777777" w:rsidR="009F0928" w:rsidRDefault="002112BD">
      <w:pPr>
        <w:spacing w:line="288" w:lineRule="auto"/>
        <w:jc w:val="center"/>
        <w:rPr>
          <w:rFonts w:ascii="Times New Roman" w:hAnsi="Times New Roman"/>
          <w:sz w:val="28"/>
          <w:szCs w:val="28"/>
        </w:rPr>
      </w:pPr>
      <w:r>
        <w:rPr>
          <w:rFonts w:ascii="Arial" w:eastAsia="宋体" w:hAnsi="Arial" w:cs="Arial"/>
          <w:b/>
          <w:bCs/>
          <w:sz w:val="28"/>
          <w:szCs w:val="28"/>
        </w:rPr>
        <w:t xml:space="preserve">SECURITIES AND EXCHANGE COMMISSION </w:t>
      </w:r>
    </w:p>
    <w:p w14:paraId="0BC97536" w14:textId="77777777" w:rsidR="009F0928" w:rsidRDefault="002112BD">
      <w:pPr>
        <w:spacing w:line="288" w:lineRule="auto"/>
        <w:jc w:val="center"/>
        <w:rPr>
          <w:rFonts w:ascii="Times New Roman" w:hAnsi="Times New Roman"/>
          <w:sz w:val="18"/>
          <w:szCs w:val="18"/>
        </w:rPr>
      </w:pPr>
      <w:r>
        <w:rPr>
          <w:rFonts w:ascii="Arial" w:eastAsia="宋体" w:hAnsi="Arial" w:cs="Arial"/>
          <w:b/>
          <w:bCs/>
          <w:sz w:val="18"/>
          <w:szCs w:val="18"/>
        </w:rPr>
        <w:t xml:space="preserve">Washington, D.C. 20549 </w:t>
      </w:r>
    </w:p>
    <w:tbl>
      <w:tblPr>
        <w:tblW w:w="4000" w:type="dxa"/>
        <w:jc w:val="center"/>
        <w:tblCellMar>
          <w:left w:w="0" w:type="dxa"/>
          <w:right w:w="0" w:type="dxa"/>
        </w:tblCellMar>
        <w:tblLook w:val="04A0" w:firstRow="1" w:lastRow="0" w:firstColumn="1" w:lastColumn="0" w:noHBand="0" w:noVBand="1"/>
      </w:tblPr>
      <w:tblGrid>
        <w:gridCol w:w="4000"/>
      </w:tblGrid>
      <w:tr w:rsidR="009F0928" w14:paraId="0BC97538" w14:textId="77777777">
        <w:trPr>
          <w:jc w:val="center"/>
        </w:trPr>
        <w:tc>
          <w:tcPr>
            <w:tcW w:w="0" w:type="auto"/>
            <w:shd w:val="clear" w:color="auto" w:fill="auto"/>
            <w:vAlign w:val="center"/>
          </w:tcPr>
          <w:p w14:paraId="0BC97537" w14:textId="77777777" w:rsidR="009F0928" w:rsidRDefault="009F0928">
            <w:pPr>
              <w:rPr>
                <w:rFonts w:ascii="Times New Roman" w:hAnsi="Times New Roman"/>
                <w:sz w:val="20"/>
                <w:szCs w:val="20"/>
              </w:rPr>
            </w:pPr>
          </w:p>
        </w:tc>
      </w:tr>
      <w:tr w:rsidR="009F0928" w14:paraId="0BC9753A" w14:textId="77777777">
        <w:trPr>
          <w:jc w:val="center"/>
        </w:trPr>
        <w:tc>
          <w:tcPr>
            <w:tcW w:w="4000" w:type="dxa"/>
            <w:shd w:val="clear" w:color="auto" w:fill="auto"/>
            <w:vAlign w:val="center"/>
          </w:tcPr>
          <w:p w14:paraId="0BC97539" w14:textId="77777777" w:rsidR="009F0928" w:rsidRDefault="009F0928">
            <w:pPr>
              <w:rPr>
                <w:rFonts w:ascii="Times New Roman" w:hAnsi="Times New Roman"/>
                <w:sz w:val="20"/>
                <w:szCs w:val="20"/>
              </w:rPr>
            </w:pPr>
          </w:p>
        </w:tc>
      </w:tr>
      <w:tr w:rsidR="009F0928" w14:paraId="0BC9753C"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0BC9753B" w14:textId="77777777" w:rsidR="009F0928" w:rsidRDefault="009F0928">
            <w:pPr>
              <w:textAlignment w:val="bottom"/>
              <w:rPr>
                <w:rFonts w:ascii="Times New Roman" w:hAnsi="Times New Roman"/>
                <w:sz w:val="20"/>
                <w:szCs w:val="20"/>
              </w:rPr>
            </w:pPr>
          </w:p>
        </w:tc>
      </w:tr>
    </w:tbl>
    <w:p w14:paraId="0BC9753D" w14:textId="77777777" w:rsidR="009F0928" w:rsidRDefault="002112BD">
      <w:pPr>
        <w:spacing w:line="288" w:lineRule="auto"/>
        <w:jc w:val="center"/>
        <w:rPr>
          <w:rFonts w:ascii="Times New Roman" w:hAnsi="Times New Roman"/>
          <w:sz w:val="28"/>
          <w:szCs w:val="28"/>
        </w:rPr>
      </w:pPr>
      <w:r>
        <w:rPr>
          <w:rFonts w:ascii="Arial" w:eastAsia="宋体" w:hAnsi="Arial" w:cs="Arial"/>
          <w:b/>
          <w:bCs/>
          <w:sz w:val="28"/>
          <w:szCs w:val="28"/>
        </w:rPr>
        <w:t xml:space="preserve">Form 10-K </w:t>
      </w:r>
    </w:p>
    <w:tbl>
      <w:tblPr>
        <w:tblW w:w="4000" w:type="dxa"/>
        <w:jc w:val="center"/>
        <w:tblCellMar>
          <w:left w:w="0" w:type="dxa"/>
          <w:right w:w="0" w:type="dxa"/>
        </w:tblCellMar>
        <w:tblLook w:val="04A0" w:firstRow="1" w:lastRow="0" w:firstColumn="1" w:lastColumn="0" w:noHBand="0" w:noVBand="1"/>
      </w:tblPr>
      <w:tblGrid>
        <w:gridCol w:w="4000"/>
      </w:tblGrid>
      <w:tr w:rsidR="009F0928" w14:paraId="0BC9753F" w14:textId="77777777">
        <w:trPr>
          <w:jc w:val="center"/>
        </w:trPr>
        <w:tc>
          <w:tcPr>
            <w:tcW w:w="0" w:type="auto"/>
            <w:shd w:val="clear" w:color="auto" w:fill="auto"/>
            <w:vAlign w:val="center"/>
          </w:tcPr>
          <w:p w14:paraId="0BC9753E" w14:textId="77777777" w:rsidR="009F0928" w:rsidRDefault="009F0928">
            <w:pPr>
              <w:rPr>
                <w:rFonts w:ascii="Times New Roman" w:hAnsi="Times New Roman"/>
                <w:sz w:val="20"/>
                <w:szCs w:val="20"/>
              </w:rPr>
            </w:pPr>
          </w:p>
        </w:tc>
      </w:tr>
      <w:tr w:rsidR="009F0928" w14:paraId="0BC97541" w14:textId="77777777">
        <w:trPr>
          <w:jc w:val="center"/>
        </w:trPr>
        <w:tc>
          <w:tcPr>
            <w:tcW w:w="4000" w:type="dxa"/>
            <w:shd w:val="clear" w:color="auto" w:fill="auto"/>
            <w:vAlign w:val="center"/>
          </w:tcPr>
          <w:p w14:paraId="0BC97540" w14:textId="77777777" w:rsidR="009F0928" w:rsidRDefault="009F0928">
            <w:pPr>
              <w:rPr>
                <w:rFonts w:ascii="Times New Roman" w:hAnsi="Times New Roman"/>
                <w:sz w:val="20"/>
                <w:szCs w:val="20"/>
              </w:rPr>
            </w:pPr>
          </w:p>
        </w:tc>
      </w:tr>
      <w:tr w:rsidR="009F0928" w14:paraId="0BC97543"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0BC9754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7544" w14:textId="77777777" w:rsidR="009F0928" w:rsidRDefault="002112BD">
      <w:pPr>
        <w:spacing w:line="288" w:lineRule="auto"/>
        <w:jc w:val="center"/>
        <w:rPr>
          <w:rFonts w:ascii="Times New Roman" w:hAnsi="Times New Roman"/>
          <w:sz w:val="20"/>
          <w:szCs w:val="20"/>
        </w:rPr>
      </w:pPr>
      <w:r>
        <w:rPr>
          <w:rFonts w:ascii="Arial" w:eastAsia="宋体" w:hAnsi="Arial" w:cs="Arial"/>
          <w:sz w:val="20"/>
          <w:szCs w:val="20"/>
        </w:rPr>
        <w:t> </w:t>
      </w:r>
    </w:p>
    <w:tbl>
      <w:tblPr>
        <w:tblW w:w="5000" w:type="pct"/>
        <w:jc w:val="center"/>
        <w:tblCellMar>
          <w:left w:w="0" w:type="dxa"/>
          <w:right w:w="0" w:type="dxa"/>
        </w:tblCellMar>
        <w:tblLook w:val="04A0" w:firstRow="1" w:lastRow="0" w:firstColumn="1" w:lastColumn="0" w:noHBand="0" w:noVBand="1"/>
      </w:tblPr>
      <w:tblGrid>
        <w:gridCol w:w="415"/>
        <w:gridCol w:w="7891"/>
      </w:tblGrid>
      <w:tr w:rsidR="009F0928" w14:paraId="0BC97546" w14:textId="77777777">
        <w:trPr>
          <w:jc w:val="center"/>
        </w:trPr>
        <w:tc>
          <w:tcPr>
            <w:tcW w:w="0" w:type="auto"/>
            <w:gridSpan w:val="2"/>
            <w:shd w:val="clear" w:color="auto" w:fill="auto"/>
            <w:vAlign w:val="center"/>
          </w:tcPr>
          <w:p w14:paraId="0BC97545" w14:textId="77777777" w:rsidR="009F0928" w:rsidRDefault="009F0928">
            <w:pPr>
              <w:rPr>
                <w:rFonts w:ascii="Times New Roman" w:hAnsi="Times New Roman"/>
                <w:sz w:val="20"/>
                <w:szCs w:val="20"/>
              </w:rPr>
            </w:pPr>
          </w:p>
        </w:tc>
      </w:tr>
      <w:tr w:rsidR="009F0928" w14:paraId="0BC97549" w14:textId="77777777">
        <w:trPr>
          <w:jc w:val="center"/>
        </w:trPr>
        <w:tc>
          <w:tcPr>
            <w:tcW w:w="250" w:type="pct"/>
            <w:shd w:val="clear" w:color="auto" w:fill="auto"/>
            <w:vAlign w:val="center"/>
          </w:tcPr>
          <w:p w14:paraId="0BC97547" w14:textId="77777777" w:rsidR="009F0928" w:rsidRDefault="009F0928">
            <w:pPr>
              <w:rPr>
                <w:rFonts w:ascii="Times New Roman" w:hAnsi="Times New Roman"/>
                <w:sz w:val="20"/>
                <w:szCs w:val="20"/>
              </w:rPr>
            </w:pPr>
          </w:p>
        </w:tc>
        <w:tc>
          <w:tcPr>
            <w:tcW w:w="4750" w:type="pct"/>
            <w:shd w:val="clear" w:color="auto" w:fill="auto"/>
            <w:vAlign w:val="center"/>
          </w:tcPr>
          <w:p w14:paraId="0BC97548" w14:textId="77777777" w:rsidR="009F0928" w:rsidRDefault="009F0928">
            <w:pPr>
              <w:rPr>
                <w:rFonts w:ascii="Times New Roman" w:hAnsi="Times New Roman"/>
                <w:sz w:val="20"/>
                <w:szCs w:val="20"/>
              </w:rPr>
            </w:pPr>
          </w:p>
        </w:tc>
      </w:tr>
      <w:tr w:rsidR="009F0928" w14:paraId="0BC9754C" w14:textId="77777777">
        <w:trPr>
          <w:jc w:val="center"/>
        </w:trPr>
        <w:tc>
          <w:tcPr>
            <w:tcW w:w="0" w:type="auto"/>
            <w:shd w:val="clear" w:color="auto" w:fill="auto"/>
            <w:tcMar>
              <w:top w:w="40" w:type="dxa"/>
              <w:left w:w="40" w:type="dxa"/>
              <w:bottom w:w="40" w:type="dxa"/>
              <w:right w:w="40" w:type="dxa"/>
            </w:tcMar>
            <w:vAlign w:val="bottom"/>
          </w:tcPr>
          <w:p w14:paraId="0BC9754A" w14:textId="77777777" w:rsidR="009F0928" w:rsidRDefault="002112BD">
            <w:pPr>
              <w:textAlignment w:val="bottom"/>
              <w:rPr>
                <w:rFonts w:ascii="Times New Roman" w:hAnsi="Times New Roman"/>
              </w:rPr>
            </w:pPr>
            <w:r>
              <w:rPr>
                <w:rFonts w:ascii="Arial Unicode MS" w:eastAsia="Arial Unicode MS" w:hAnsi="Arial Unicode MS" w:cs="Arial Unicode MS"/>
              </w:rPr>
              <w:t>☒</w:t>
            </w:r>
          </w:p>
        </w:tc>
        <w:tc>
          <w:tcPr>
            <w:tcW w:w="0" w:type="auto"/>
            <w:shd w:val="clear" w:color="auto" w:fill="auto"/>
            <w:tcMar>
              <w:top w:w="40" w:type="dxa"/>
              <w:left w:w="40" w:type="dxa"/>
              <w:bottom w:w="40" w:type="dxa"/>
              <w:right w:w="40" w:type="dxa"/>
            </w:tcMar>
            <w:vAlign w:val="bottom"/>
          </w:tcPr>
          <w:p w14:paraId="0BC9754B"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ANNUAL REPORT PURSUANT TO SECTION 13 OR 15(d) OF THE SECURITIES EXCHANGE ACT OF 1934</w:t>
            </w:r>
          </w:p>
        </w:tc>
      </w:tr>
    </w:tbl>
    <w:p w14:paraId="0BC9754D" w14:textId="77777777" w:rsidR="009F0928" w:rsidRDefault="002112BD">
      <w:pPr>
        <w:spacing w:line="288" w:lineRule="auto"/>
        <w:ind w:firstLine="640"/>
        <w:rPr>
          <w:rFonts w:ascii="Times New Roman" w:hAnsi="Times New Roman"/>
          <w:sz w:val="18"/>
          <w:szCs w:val="18"/>
        </w:rPr>
      </w:pPr>
      <w:r>
        <w:rPr>
          <w:rFonts w:ascii="Arial" w:eastAsia="宋体" w:hAnsi="Arial" w:cs="Arial"/>
          <w:b/>
          <w:bCs/>
          <w:sz w:val="18"/>
          <w:szCs w:val="18"/>
        </w:rPr>
        <w:t xml:space="preserve">For the fiscal year ended December 31, 2019. </w:t>
      </w:r>
    </w:p>
    <w:p w14:paraId="0BC9754E" w14:textId="77777777" w:rsidR="009F0928" w:rsidRDefault="002112BD">
      <w:pPr>
        <w:spacing w:line="288" w:lineRule="auto"/>
        <w:jc w:val="center"/>
        <w:rPr>
          <w:rFonts w:ascii="Times New Roman" w:hAnsi="Times New Roman"/>
          <w:sz w:val="18"/>
          <w:szCs w:val="18"/>
        </w:rPr>
      </w:pPr>
      <w:r>
        <w:rPr>
          <w:rFonts w:ascii="Arial" w:eastAsia="宋体" w:hAnsi="Arial" w:cs="Arial"/>
          <w:b/>
          <w:bCs/>
          <w:sz w:val="18"/>
          <w:szCs w:val="18"/>
        </w:rPr>
        <w:t xml:space="preserve">OR </w:t>
      </w:r>
    </w:p>
    <w:tbl>
      <w:tblPr>
        <w:tblW w:w="5000" w:type="pct"/>
        <w:jc w:val="center"/>
        <w:tblCellMar>
          <w:left w:w="0" w:type="dxa"/>
          <w:right w:w="0" w:type="dxa"/>
        </w:tblCellMar>
        <w:tblLook w:val="04A0" w:firstRow="1" w:lastRow="0" w:firstColumn="1" w:lastColumn="0" w:noHBand="0" w:noVBand="1"/>
      </w:tblPr>
      <w:tblGrid>
        <w:gridCol w:w="415"/>
        <w:gridCol w:w="7891"/>
      </w:tblGrid>
      <w:tr w:rsidR="009F0928" w14:paraId="0BC97550" w14:textId="77777777">
        <w:trPr>
          <w:jc w:val="center"/>
        </w:trPr>
        <w:tc>
          <w:tcPr>
            <w:tcW w:w="0" w:type="auto"/>
            <w:gridSpan w:val="2"/>
            <w:shd w:val="clear" w:color="auto" w:fill="auto"/>
            <w:vAlign w:val="center"/>
          </w:tcPr>
          <w:p w14:paraId="0BC9754F" w14:textId="77777777" w:rsidR="009F0928" w:rsidRDefault="009F0928">
            <w:pPr>
              <w:rPr>
                <w:rFonts w:ascii="Times New Roman" w:hAnsi="Times New Roman"/>
                <w:sz w:val="20"/>
                <w:szCs w:val="20"/>
              </w:rPr>
            </w:pPr>
          </w:p>
        </w:tc>
      </w:tr>
      <w:tr w:rsidR="009F0928" w14:paraId="0BC97553" w14:textId="77777777">
        <w:trPr>
          <w:jc w:val="center"/>
        </w:trPr>
        <w:tc>
          <w:tcPr>
            <w:tcW w:w="250" w:type="pct"/>
            <w:shd w:val="clear" w:color="auto" w:fill="auto"/>
            <w:vAlign w:val="center"/>
          </w:tcPr>
          <w:p w14:paraId="0BC97551" w14:textId="77777777" w:rsidR="009F0928" w:rsidRDefault="009F0928">
            <w:pPr>
              <w:rPr>
                <w:rFonts w:ascii="Times New Roman" w:hAnsi="Times New Roman"/>
                <w:sz w:val="20"/>
                <w:szCs w:val="20"/>
              </w:rPr>
            </w:pPr>
          </w:p>
        </w:tc>
        <w:tc>
          <w:tcPr>
            <w:tcW w:w="4750" w:type="pct"/>
            <w:shd w:val="clear" w:color="auto" w:fill="auto"/>
            <w:vAlign w:val="center"/>
          </w:tcPr>
          <w:p w14:paraId="0BC97552" w14:textId="77777777" w:rsidR="009F0928" w:rsidRDefault="009F0928">
            <w:pPr>
              <w:rPr>
                <w:rFonts w:ascii="Times New Roman" w:hAnsi="Times New Roman"/>
                <w:sz w:val="20"/>
                <w:szCs w:val="20"/>
              </w:rPr>
            </w:pPr>
          </w:p>
        </w:tc>
      </w:tr>
      <w:tr w:rsidR="009F0928" w14:paraId="0BC97556" w14:textId="77777777">
        <w:trPr>
          <w:jc w:val="center"/>
        </w:trPr>
        <w:tc>
          <w:tcPr>
            <w:tcW w:w="0" w:type="auto"/>
            <w:shd w:val="clear" w:color="auto" w:fill="auto"/>
            <w:tcMar>
              <w:top w:w="40" w:type="dxa"/>
              <w:left w:w="40" w:type="dxa"/>
              <w:bottom w:w="40" w:type="dxa"/>
              <w:right w:w="40" w:type="dxa"/>
            </w:tcMar>
            <w:vAlign w:val="bottom"/>
          </w:tcPr>
          <w:p w14:paraId="0BC97554" w14:textId="77777777" w:rsidR="009F0928" w:rsidRDefault="002112BD">
            <w:pPr>
              <w:textAlignment w:val="bottom"/>
              <w:rPr>
                <w:rFonts w:ascii="Times New Roman" w:hAnsi="Times New Roman"/>
              </w:rPr>
            </w:pPr>
            <w:r>
              <w:rPr>
                <w:rFonts w:ascii="Arial Unicode MS" w:eastAsia="Arial Unicode MS" w:hAnsi="Arial Unicode MS" w:cs="Arial Unicode MS" w:hint="eastAsia"/>
              </w:rPr>
              <w:t>☐</w:t>
            </w:r>
          </w:p>
        </w:tc>
        <w:tc>
          <w:tcPr>
            <w:tcW w:w="0" w:type="auto"/>
            <w:shd w:val="clear" w:color="auto" w:fill="auto"/>
            <w:tcMar>
              <w:top w:w="40" w:type="dxa"/>
              <w:left w:w="40" w:type="dxa"/>
              <w:bottom w:w="40" w:type="dxa"/>
              <w:right w:w="40" w:type="dxa"/>
            </w:tcMar>
            <w:vAlign w:val="bottom"/>
          </w:tcPr>
          <w:p w14:paraId="0BC97555"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 xml:space="preserve">TRANSITION REPORT PURSUANT TO SECTION 13 OR 15(d) OF </w:t>
            </w:r>
            <w:r>
              <w:rPr>
                <w:rFonts w:ascii="Arial" w:eastAsia="宋体" w:hAnsi="Arial" w:cs="Arial"/>
                <w:b/>
                <w:bCs/>
                <w:sz w:val="18"/>
                <w:szCs w:val="18"/>
              </w:rPr>
              <w:t>THE SECURITIES EXCHANGE ACT OF 1934</w:t>
            </w:r>
          </w:p>
        </w:tc>
      </w:tr>
    </w:tbl>
    <w:p w14:paraId="0BC97557" w14:textId="77777777" w:rsidR="009F0928" w:rsidRDefault="002112BD">
      <w:pPr>
        <w:spacing w:line="288" w:lineRule="auto"/>
        <w:ind w:firstLine="640"/>
        <w:rPr>
          <w:rFonts w:ascii="Times New Roman" w:hAnsi="Times New Roman"/>
          <w:sz w:val="18"/>
          <w:szCs w:val="18"/>
        </w:rPr>
      </w:pPr>
      <w:r>
        <w:rPr>
          <w:rFonts w:ascii="Arial" w:eastAsia="宋体" w:hAnsi="Arial" w:cs="Arial"/>
          <w:b/>
          <w:bCs/>
          <w:sz w:val="18"/>
          <w:szCs w:val="18"/>
        </w:rPr>
        <w:t xml:space="preserve">For the Transition Period from             to             . </w:t>
      </w:r>
    </w:p>
    <w:p w14:paraId="0BC97558" w14:textId="77777777" w:rsidR="009F0928" w:rsidRDefault="002112BD">
      <w:pPr>
        <w:spacing w:line="288" w:lineRule="auto"/>
        <w:jc w:val="center"/>
        <w:rPr>
          <w:rFonts w:ascii="Times New Roman" w:hAnsi="Times New Roman"/>
          <w:sz w:val="18"/>
          <w:szCs w:val="18"/>
        </w:rPr>
      </w:pPr>
      <w:r>
        <w:rPr>
          <w:rFonts w:ascii="Arial" w:eastAsia="宋体" w:hAnsi="Arial" w:cs="Arial"/>
          <w:b/>
          <w:bCs/>
          <w:sz w:val="18"/>
          <w:szCs w:val="18"/>
        </w:rPr>
        <w:t xml:space="preserve">Commission file number 001-37713 </w:t>
      </w:r>
    </w:p>
    <w:tbl>
      <w:tblPr>
        <w:tblW w:w="4000" w:type="dxa"/>
        <w:jc w:val="center"/>
        <w:tblCellMar>
          <w:left w:w="0" w:type="dxa"/>
          <w:right w:w="0" w:type="dxa"/>
        </w:tblCellMar>
        <w:tblLook w:val="04A0" w:firstRow="1" w:lastRow="0" w:firstColumn="1" w:lastColumn="0" w:noHBand="0" w:noVBand="1"/>
      </w:tblPr>
      <w:tblGrid>
        <w:gridCol w:w="4000"/>
      </w:tblGrid>
      <w:tr w:rsidR="009F0928" w14:paraId="0BC9755A" w14:textId="77777777">
        <w:trPr>
          <w:jc w:val="center"/>
        </w:trPr>
        <w:tc>
          <w:tcPr>
            <w:tcW w:w="0" w:type="auto"/>
            <w:shd w:val="clear" w:color="auto" w:fill="auto"/>
            <w:vAlign w:val="center"/>
          </w:tcPr>
          <w:p w14:paraId="0BC97559" w14:textId="77777777" w:rsidR="009F0928" w:rsidRDefault="009F0928">
            <w:pPr>
              <w:rPr>
                <w:rFonts w:ascii="Times New Roman" w:hAnsi="Times New Roman"/>
                <w:sz w:val="20"/>
                <w:szCs w:val="20"/>
              </w:rPr>
            </w:pPr>
          </w:p>
        </w:tc>
      </w:tr>
      <w:tr w:rsidR="009F0928" w14:paraId="0BC9755C" w14:textId="77777777">
        <w:trPr>
          <w:jc w:val="center"/>
        </w:trPr>
        <w:tc>
          <w:tcPr>
            <w:tcW w:w="4000" w:type="dxa"/>
            <w:shd w:val="clear" w:color="auto" w:fill="auto"/>
            <w:vAlign w:val="center"/>
          </w:tcPr>
          <w:p w14:paraId="0BC9755B" w14:textId="77777777" w:rsidR="009F0928" w:rsidRDefault="009F0928">
            <w:pPr>
              <w:rPr>
                <w:rFonts w:ascii="Times New Roman" w:hAnsi="Times New Roman"/>
                <w:sz w:val="20"/>
                <w:szCs w:val="20"/>
              </w:rPr>
            </w:pPr>
          </w:p>
        </w:tc>
      </w:tr>
      <w:tr w:rsidR="009F0928" w14:paraId="0BC9755E"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0BC9755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755F" w14:textId="77777777" w:rsidR="009F0928" w:rsidRDefault="002112BD">
      <w:pPr>
        <w:spacing w:line="288" w:lineRule="auto"/>
        <w:jc w:val="center"/>
        <w:rPr>
          <w:rFonts w:ascii="Times New Roman" w:hAnsi="Times New Roman"/>
          <w:sz w:val="20"/>
          <w:szCs w:val="20"/>
        </w:rPr>
      </w:pPr>
      <w:r>
        <w:rPr>
          <w:rFonts w:ascii="Arial" w:eastAsia="宋体" w:hAnsi="Arial" w:cs="Arial"/>
          <w:sz w:val="20"/>
          <w:szCs w:val="20"/>
        </w:rPr>
        <w:t> </w:t>
      </w:r>
    </w:p>
    <w:p w14:paraId="0BC97560" w14:textId="77777777" w:rsidR="009F0928" w:rsidRDefault="002112BD">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/Ebay/./Inline XBRL Viewer14_files/ebaynotma03.jpg"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0BC9B4B9" wp14:editId="0BC9B4BA">
            <wp:extent cx="304800" cy="304800"/>
            <wp:effectExtent l="0" t="0" r="0" b="0"/>
            <wp:docPr id="10"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0BC97561" w14:textId="77777777" w:rsidR="009F0928" w:rsidRDefault="002112BD">
      <w:pPr>
        <w:spacing w:line="288" w:lineRule="auto"/>
        <w:jc w:val="center"/>
        <w:rPr>
          <w:rFonts w:ascii="Times New Roman" w:hAnsi="Times New Roman"/>
          <w:sz w:val="16"/>
          <w:szCs w:val="16"/>
        </w:rPr>
      </w:pPr>
      <w:r>
        <w:rPr>
          <w:rFonts w:ascii="Arial" w:eastAsia="宋体" w:hAnsi="Arial" w:cs="Arial"/>
          <w:b/>
          <w:bCs/>
          <w:sz w:val="16"/>
          <w:szCs w:val="16"/>
        </w:rPr>
        <w:t xml:space="preserve">eBay Inc. </w:t>
      </w:r>
    </w:p>
    <w:p w14:paraId="0BC97562" w14:textId="77777777" w:rsidR="009F0928" w:rsidRDefault="002112BD">
      <w:pPr>
        <w:spacing w:line="288" w:lineRule="auto"/>
        <w:jc w:val="center"/>
        <w:rPr>
          <w:rFonts w:ascii="Times New Roman" w:hAnsi="Times New Roman"/>
          <w:sz w:val="16"/>
          <w:szCs w:val="16"/>
        </w:rPr>
      </w:pPr>
      <w:r>
        <w:rPr>
          <w:rFonts w:ascii="Arial" w:eastAsia="宋体" w:hAnsi="Arial" w:cs="Arial"/>
          <w:sz w:val="16"/>
          <w:szCs w:val="16"/>
        </w:rPr>
        <w:t xml:space="preserve">(Exact name of registrant as specified in its charter) </w:t>
      </w:r>
    </w:p>
    <w:p w14:paraId="0BC97563" w14:textId="77777777" w:rsidR="009F0928" w:rsidRDefault="002112BD">
      <w:pPr>
        <w:spacing w:line="288" w:lineRule="auto"/>
        <w:jc w:val="center"/>
        <w:rPr>
          <w:rFonts w:ascii="Times New Roman" w:hAnsi="Times New Roman"/>
          <w:sz w:val="20"/>
          <w:szCs w:val="20"/>
        </w:rPr>
      </w:pPr>
      <w:r>
        <w:rPr>
          <w:rFonts w:ascii="Arial" w:eastAsia="宋体" w:hAnsi="Arial" w:cs="Arial"/>
          <w:sz w:val="16"/>
          <w:szCs w:val="16"/>
        </w:rPr>
        <w:t> </w:t>
      </w:r>
    </w:p>
    <w:tbl>
      <w:tblPr>
        <w:tblW w:w="4000" w:type="dxa"/>
        <w:jc w:val="center"/>
        <w:tblCellMar>
          <w:left w:w="0" w:type="dxa"/>
          <w:right w:w="0" w:type="dxa"/>
        </w:tblCellMar>
        <w:tblLook w:val="04A0" w:firstRow="1" w:lastRow="0" w:firstColumn="1" w:lastColumn="0" w:noHBand="0" w:noVBand="1"/>
      </w:tblPr>
      <w:tblGrid>
        <w:gridCol w:w="4000"/>
      </w:tblGrid>
      <w:tr w:rsidR="009F0928" w14:paraId="0BC97565" w14:textId="77777777">
        <w:trPr>
          <w:jc w:val="center"/>
        </w:trPr>
        <w:tc>
          <w:tcPr>
            <w:tcW w:w="0" w:type="auto"/>
            <w:shd w:val="clear" w:color="auto" w:fill="auto"/>
            <w:vAlign w:val="center"/>
          </w:tcPr>
          <w:p w14:paraId="0BC97564" w14:textId="77777777" w:rsidR="009F0928" w:rsidRDefault="009F0928">
            <w:pPr>
              <w:rPr>
                <w:rFonts w:ascii="Times New Roman" w:hAnsi="Times New Roman"/>
                <w:sz w:val="20"/>
                <w:szCs w:val="20"/>
              </w:rPr>
            </w:pPr>
          </w:p>
        </w:tc>
      </w:tr>
      <w:tr w:rsidR="009F0928" w14:paraId="0BC97567" w14:textId="77777777">
        <w:trPr>
          <w:jc w:val="center"/>
        </w:trPr>
        <w:tc>
          <w:tcPr>
            <w:tcW w:w="4000" w:type="dxa"/>
            <w:shd w:val="clear" w:color="auto" w:fill="auto"/>
            <w:vAlign w:val="center"/>
          </w:tcPr>
          <w:p w14:paraId="0BC97566" w14:textId="77777777" w:rsidR="009F0928" w:rsidRDefault="009F0928">
            <w:pPr>
              <w:rPr>
                <w:rFonts w:ascii="Times New Roman" w:hAnsi="Times New Roman"/>
                <w:sz w:val="20"/>
                <w:szCs w:val="20"/>
              </w:rPr>
            </w:pPr>
          </w:p>
        </w:tc>
      </w:tr>
      <w:tr w:rsidR="009F0928" w14:paraId="0BC97569"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0BC9756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756A" w14:textId="77777777" w:rsidR="009F0928" w:rsidRDefault="009F0928">
      <w:pPr>
        <w:rPr>
          <w:vanish/>
        </w:rPr>
      </w:pPr>
    </w:p>
    <w:tbl>
      <w:tblPr>
        <w:tblW w:w="4365" w:type="pct"/>
        <w:jc w:val="center"/>
        <w:tblCellMar>
          <w:left w:w="0" w:type="dxa"/>
          <w:right w:w="0" w:type="dxa"/>
        </w:tblCellMar>
        <w:tblLook w:val="04A0" w:firstRow="1" w:lastRow="0" w:firstColumn="1" w:lastColumn="0" w:noHBand="0" w:noVBand="1"/>
      </w:tblPr>
      <w:tblGrid>
        <w:gridCol w:w="1508"/>
        <w:gridCol w:w="130"/>
        <w:gridCol w:w="1508"/>
        <w:gridCol w:w="929"/>
        <w:gridCol w:w="3176"/>
      </w:tblGrid>
      <w:tr w:rsidR="009F0928" w14:paraId="0BC9756C" w14:textId="77777777">
        <w:trPr>
          <w:jc w:val="center"/>
        </w:trPr>
        <w:tc>
          <w:tcPr>
            <w:tcW w:w="0" w:type="auto"/>
            <w:gridSpan w:val="5"/>
            <w:shd w:val="clear" w:color="auto" w:fill="auto"/>
            <w:vAlign w:val="center"/>
          </w:tcPr>
          <w:p w14:paraId="0BC9756B" w14:textId="77777777" w:rsidR="009F0928" w:rsidRDefault="009F0928">
            <w:pPr>
              <w:rPr>
                <w:rFonts w:ascii="Times New Roman" w:hAnsi="Times New Roman"/>
                <w:sz w:val="20"/>
                <w:szCs w:val="20"/>
              </w:rPr>
            </w:pPr>
          </w:p>
        </w:tc>
      </w:tr>
      <w:tr w:rsidR="009F0928" w14:paraId="0BC97572" w14:textId="77777777">
        <w:trPr>
          <w:jc w:val="center"/>
        </w:trPr>
        <w:tc>
          <w:tcPr>
            <w:tcW w:w="1050" w:type="pct"/>
            <w:shd w:val="clear" w:color="auto" w:fill="auto"/>
            <w:vAlign w:val="center"/>
          </w:tcPr>
          <w:p w14:paraId="0BC9756D" w14:textId="77777777" w:rsidR="009F0928" w:rsidRDefault="009F0928">
            <w:pPr>
              <w:rPr>
                <w:rFonts w:ascii="Times New Roman" w:hAnsi="Times New Roman"/>
                <w:sz w:val="20"/>
                <w:szCs w:val="20"/>
              </w:rPr>
            </w:pPr>
          </w:p>
        </w:tc>
        <w:tc>
          <w:tcPr>
            <w:tcW w:w="50" w:type="pct"/>
            <w:shd w:val="clear" w:color="auto" w:fill="auto"/>
            <w:vAlign w:val="center"/>
          </w:tcPr>
          <w:p w14:paraId="0BC9756E" w14:textId="77777777" w:rsidR="009F0928" w:rsidRDefault="009F0928">
            <w:pPr>
              <w:rPr>
                <w:rFonts w:ascii="Times New Roman" w:hAnsi="Times New Roman"/>
                <w:sz w:val="20"/>
                <w:szCs w:val="20"/>
              </w:rPr>
            </w:pPr>
          </w:p>
        </w:tc>
        <w:tc>
          <w:tcPr>
            <w:tcW w:w="1050" w:type="pct"/>
            <w:shd w:val="clear" w:color="auto" w:fill="auto"/>
            <w:vAlign w:val="center"/>
          </w:tcPr>
          <w:p w14:paraId="0BC9756F" w14:textId="77777777" w:rsidR="009F0928" w:rsidRDefault="009F0928">
            <w:pPr>
              <w:rPr>
                <w:rFonts w:ascii="Times New Roman" w:hAnsi="Times New Roman"/>
                <w:sz w:val="20"/>
                <w:szCs w:val="20"/>
              </w:rPr>
            </w:pPr>
          </w:p>
        </w:tc>
        <w:tc>
          <w:tcPr>
            <w:tcW w:w="650" w:type="pct"/>
            <w:shd w:val="clear" w:color="auto" w:fill="auto"/>
            <w:vAlign w:val="center"/>
          </w:tcPr>
          <w:p w14:paraId="0BC97570" w14:textId="77777777" w:rsidR="009F0928" w:rsidRDefault="009F0928">
            <w:pPr>
              <w:rPr>
                <w:rFonts w:ascii="Times New Roman" w:hAnsi="Times New Roman"/>
                <w:sz w:val="20"/>
                <w:szCs w:val="20"/>
              </w:rPr>
            </w:pPr>
          </w:p>
        </w:tc>
        <w:tc>
          <w:tcPr>
            <w:tcW w:w="2200" w:type="pct"/>
            <w:shd w:val="clear" w:color="auto" w:fill="auto"/>
            <w:vAlign w:val="center"/>
          </w:tcPr>
          <w:p w14:paraId="0BC97571" w14:textId="77777777" w:rsidR="009F0928" w:rsidRDefault="009F0928">
            <w:pPr>
              <w:rPr>
                <w:rFonts w:ascii="Times New Roman" w:hAnsi="Times New Roman"/>
                <w:sz w:val="20"/>
                <w:szCs w:val="20"/>
              </w:rPr>
            </w:pPr>
          </w:p>
        </w:tc>
      </w:tr>
      <w:tr w:rsidR="009F0928" w14:paraId="0BC97576" w14:textId="77777777">
        <w:trPr>
          <w:jc w:val="center"/>
        </w:trPr>
        <w:tc>
          <w:tcPr>
            <w:tcW w:w="0" w:type="auto"/>
            <w:gridSpan w:val="3"/>
            <w:shd w:val="clear" w:color="auto" w:fill="auto"/>
            <w:tcMar>
              <w:top w:w="40" w:type="dxa"/>
              <w:left w:w="40" w:type="dxa"/>
              <w:bottom w:w="40" w:type="dxa"/>
              <w:right w:w="40" w:type="dxa"/>
            </w:tcMar>
            <w:vAlign w:val="bottom"/>
          </w:tcPr>
          <w:p w14:paraId="0BC9757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Delaware</w:t>
            </w:r>
          </w:p>
        </w:tc>
        <w:tc>
          <w:tcPr>
            <w:tcW w:w="0" w:type="auto"/>
            <w:shd w:val="clear" w:color="auto" w:fill="auto"/>
            <w:tcMar>
              <w:top w:w="40" w:type="dxa"/>
              <w:left w:w="40" w:type="dxa"/>
              <w:bottom w:w="40" w:type="dxa"/>
              <w:right w:w="40" w:type="dxa"/>
            </w:tcMar>
            <w:vAlign w:val="bottom"/>
          </w:tcPr>
          <w:p w14:paraId="0BC9757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575"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77-0430924</w:t>
            </w:r>
          </w:p>
        </w:tc>
      </w:tr>
      <w:tr w:rsidR="009F0928" w14:paraId="0BC9757C" w14:textId="77777777">
        <w:trPr>
          <w:jc w:val="center"/>
        </w:trPr>
        <w:tc>
          <w:tcPr>
            <w:tcW w:w="0" w:type="auto"/>
            <w:gridSpan w:val="3"/>
            <w:shd w:val="clear" w:color="auto" w:fill="auto"/>
            <w:tcMar>
              <w:top w:w="40" w:type="dxa"/>
              <w:left w:w="40" w:type="dxa"/>
              <w:bottom w:w="40" w:type="dxa"/>
              <w:right w:w="40" w:type="dxa"/>
            </w:tcMar>
            <w:vAlign w:val="bottom"/>
          </w:tcPr>
          <w:p w14:paraId="0BC97577"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(State or other jurisdiction of</w:t>
            </w:r>
          </w:p>
          <w:p w14:paraId="0BC97578"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incorporation or organization)</w:t>
            </w:r>
          </w:p>
        </w:tc>
        <w:tc>
          <w:tcPr>
            <w:tcW w:w="0" w:type="auto"/>
            <w:shd w:val="clear" w:color="auto" w:fill="auto"/>
            <w:tcMar>
              <w:top w:w="40" w:type="dxa"/>
              <w:left w:w="40" w:type="dxa"/>
              <w:bottom w:w="40" w:type="dxa"/>
              <w:right w:w="40" w:type="dxa"/>
            </w:tcMar>
            <w:vAlign w:val="bottom"/>
          </w:tcPr>
          <w:p w14:paraId="0BC975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57A"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(I.R.S. Employer</w:t>
            </w:r>
          </w:p>
          <w:p w14:paraId="0BC9757B"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Identification No.)</w:t>
            </w:r>
          </w:p>
        </w:tc>
      </w:tr>
      <w:tr w:rsidR="009F0928" w14:paraId="0BC97582" w14:textId="77777777">
        <w:trPr>
          <w:jc w:val="center"/>
        </w:trPr>
        <w:tc>
          <w:tcPr>
            <w:tcW w:w="0" w:type="auto"/>
            <w:shd w:val="clear" w:color="auto" w:fill="auto"/>
            <w:tcMar>
              <w:top w:w="40" w:type="dxa"/>
              <w:left w:w="40" w:type="dxa"/>
              <w:bottom w:w="40" w:type="dxa"/>
              <w:right w:w="40" w:type="dxa"/>
            </w:tcMar>
            <w:vAlign w:val="bottom"/>
          </w:tcPr>
          <w:p w14:paraId="0BC9757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57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57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58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58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7586" w14:textId="77777777">
        <w:trPr>
          <w:jc w:val="center"/>
        </w:trPr>
        <w:tc>
          <w:tcPr>
            <w:tcW w:w="0" w:type="auto"/>
            <w:gridSpan w:val="3"/>
            <w:shd w:val="clear" w:color="auto" w:fill="auto"/>
            <w:tcMar>
              <w:top w:w="40" w:type="dxa"/>
              <w:left w:w="40" w:type="dxa"/>
              <w:bottom w:w="40" w:type="dxa"/>
              <w:right w:w="40" w:type="dxa"/>
            </w:tcMar>
            <w:vAlign w:val="bottom"/>
          </w:tcPr>
          <w:p w14:paraId="0BC9758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2025 Hamilton Avenue</w:t>
            </w:r>
          </w:p>
        </w:tc>
        <w:tc>
          <w:tcPr>
            <w:tcW w:w="0" w:type="auto"/>
            <w:shd w:val="clear" w:color="auto" w:fill="auto"/>
            <w:tcMar>
              <w:top w:w="40" w:type="dxa"/>
              <w:left w:w="40" w:type="dxa"/>
              <w:bottom w:w="40" w:type="dxa"/>
              <w:right w:w="40" w:type="dxa"/>
            </w:tcMar>
            <w:vAlign w:val="bottom"/>
          </w:tcPr>
          <w:p w14:paraId="0BC9758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58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758C" w14:textId="77777777">
        <w:trPr>
          <w:jc w:val="center"/>
        </w:trPr>
        <w:tc>
          <w:tcPr>
            <w:tcW w:w="0" w:type="auto"/>
            <w:shd w:val="clear" w:color="auto" w:fill="auto"/>
            <w:tcMar>
              <w:top w:w="40" w:type="dxa"/>
              <w:left w:w="40" w:type="dxa"/>
              <w:bottom w:w="40" w:type="dxa"/>
              <w:right w:w="40" w:type="dxa"/>
            </w:tcMar>
            <w:vAlign w:val="bottom"/>
          </w:tcPr>
          <w:p w14:paraId="0BC97587" w14:textId="77777777" w:rsidR="009F0928" w:rsidRDefault="002112BD">
            <w:pPr>
              <w:jc w:val="right"/>
              <w:textAlignment w:val="bottom"/>
              <w:rPr>
                <w:rFonts w:ascii="Times New Roman" w:hAnsi="Times New Roman"/>
                <w:sz w:val="16"/>
                <w:szCs w:val="16"/>
              </w:rPr>
            </w:pPr>
            <w:r>
              <w:rPr>
                <w:rFonts w:ascii="Arial" w:eastAsia="宋体" w:hAnsi="Arial" w:cs="Arial"/>
                <w:b/>
                <w:bCs/>
                <w:sz w:val="16"/>
                <w:szCs w:val="16"/>
              </w:rPr>
              <w:t>San Jose</w:t>
            </w:r>
          </w:p>
        </w:tc>
        <w:tc>
          <w:tcPr>
            <w:tcW w:w="0" w:type="auto"/>
            <w:shd w:val="clear" w:color="auto" w:fill="auto"/>
            <w:tcMar>
              <w:top w:w="40" w:type="dxa"/>
              <w:left w:w="40" w:type="dxa"/>
              <w:bottom w:w="40" w:type="dxa"/>
              <w:right w:w="40" w:type="dxa"/>
            </w:tcMar>
            <w:vAlign w:val="bottom"/>
          </w:tcPr>
          <w:p w14:paraId="0BC97588"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 </w:t>
            </w:r>
          </w:p>
        </w:tc>
        <w:tc>
          <w:tcPr>
            <w:tcW w:w="0" w:type="auto"/>
            <w:shd w:val="clear" w:color="auto" w:fill="auto"/>
            <w:tcMar>
              <w:top w:w="40" w:type="dxa"/>
              <w:left w:w="40" w:type="dxa"/>
              <w:bottom w:w="40" w:type="dxa"/>
              <w:right w:w="40" w:type="dxa"/>
            </w:tcMar>
            <w:vAlign w:val="bottom"/>
          </w:tcPr>
          <w:p w14:paraId="0BC97589" w14:textId="77777777" w:rsidR="009F0928" w:rsidRDefault="002112BD">
            <w:pPr>
              <w:textAlignment w:val="bottom"/>
              <w:rPr>
                <w:rFonts w:ascii="Times New Roman" w:hAnsi="Times New Roman"/>
                <w:sz w:val="16"/>
                <w:szCs w:val="16"/>
              </w:rPr>
            </w:pPr>
            <w:r>
              <w:rPr>
                <w:rFonts w:ascii="Arial" w:eastAsia="宋体" w:hAnsi="Arial" w:cs="Arial"/>
                <w:b/>
                <w:bCs/>
                <w:sz w:val="16"/>
                <w:szCs w:val="16"/>
              </w:rPr>
              <w:t>California</w:t>
            </w:r>
          </w:p>
        </w:tc>
        <w:tc>
          <w:tcPr>
            <w:tcW w:w="0" w:type="auto"/>
            <w:shd w:val="clear" w:color="auto" w:fill="auto"/>
            <w:tcMar>
              <w:top w:w="40" w:type="dxa"/>
              <w:left w:w="40" w:type="dxa"/>
              <w:bottom w:w="40" w:type="dxa"/>
              <w:right w:w="40" w:type="dxa"/>
            </w:tcMar>
            <w:vAlign w:val="bottom"/>
          </w:tcPr>
          <w:p w14:paraId="0BC9758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58B"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95125</w:t>
            </w:r>
          </w:p>
        </w:tc>
      </w:tr>
      <w:tr w:rsidR="009F0928" w14:paraId="0BC97590" w14:textId="77777777">
        <w:trPr>
          <w:jc w:val="center"/>
        </w:trPr>
        <w:tc>
          <w:tcPr>
            <w:tcW w:w="0" w:type="auto"/>
            <w:gridSpan w:val="3"/>
            <w:shd w:val="clear" w:color="auto" w:fill="auto"/>
            <w:tcMar>
              <w:top w:w="40" w:type="dxa"/>
              <w:left w:w="40" w:type="dxa"/>
              <w:bottom w:w="40" w:type="dxa"/>
              <w:right w:w="40" w:type="dxa"/>
            </w:tcMar>
            <w:vAlign w:val="bottom"/>
          </w:tcPr>
          <w:p w14:paraId="0BC9758D"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(Address of principal executive offices)</w:t>
            </w:r>
          </w:p>
        </w:tc>
        <w:tc>
          <w:tcPr>
            <w:tcW w:w="0" w:type="auto"/>
            <w:shd w:val="clear" w:color="auto" w:fill="auto"/>
            <w:tcMar>
              <w:top w:w="40" w:type="dxa"/>
              <w:left w:w="40" w:type="dxa"/>
              <w:bottom w:w="40" w:type="dxa"/>
              <w:right w:w="40" w:type="dxa"/>
            </w:tcMar>
            <w:vAlign w:val="bottom"/>
          </w:tcPr>
          <w:p w14:paraId="0BC9758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758F" w14:textId="77777777" w:rsidR="009F0928" w:rsidRDefault="002112BD">
            <w:pPr>
              <w:jc w:val="center"/>
              <w:textAlignment w:val="top"/>
              <w:rPr>
                <w:rFonts w:ascii="Times New Roman" w:hAnsi="Times New Roman"/>
                <w:sz w:val="16"/>
                <w:szCs w:val="16"/>
              </w:rPr>
            </w:pPr>
            <w:r>
              <w:rPr>
                <w:rFonts w:ascii="Arial" w:eastAsia="宋体" w:hAnsi="Arial" w:cs="Arial"/>
                <w:sz w:val="16"/>
                <w:szCs w:val="16"/>
              </w:rPr>
              <w:t>(Zip Code)</w:t>
            </w:r>
          </w:p>
        </w:tc>
      </w:tr>
    </w:tbl>
    <w:p w14:paraId="0BC97591" w14:textId="77777777" w:rsidR="009F0928" w:rsidRDefault="002112BD">
      <w:pPr>
        <w:spacing w:line="288" w:lineRule="auto"/>
        <w:jc w:val="center"/>
        <w:rPr>
          <w:rFonts w:ascii="Times New Roman" w:hAnsi="Times New Roman"/>
          <w:sz w:val="16"/>
          <w:szCs w:val="16"/>
        </w:rPr>
      </w:pPr>
      <w:r>
        <w:rPr>
          <w:rFonts w:ascii="Arial" w:eastAsia="宋体" w:hAnsi="Arial" w:cs="Arial"/>
          <w:sz w:val="16"/>
          <w:szCs w:val="16"/>
        </w:rPr>
        <w:t xml:space="preserve">Registrant’s telephone number, including area code: </w:t>
      </w:r>
    </w:p>
    <w:p w14:paraId="0BC97592" w14:textId="77777777" w:rsidR="009F0928" w:rsidRDefault="002112BD">
      <w:pPr>
        <w:spacing w:line="288" w:lineRule="auto"/>
        <w:jc w:val="center"/>
        <w:rPr>
          <w:rFonts w:ascii="Times New Roman" w:hAnsi="Times New Roman"/>
          <w:sz w:val="16"/>
          <w:szCs w:val="16"/>
        </w:rPr>
      </w:pPr>
      <w:r>
        <w:rPr>
          <w:rFonts w:ascii="Arial" w:eastAsia="宋体" w:hAnsi="Arial" w:cs="Arial"/>
          <w:b/>
          <w:bCs/>
          <w:sz w:val="16"/>
          <w:szCs w:val="16"/>
        </w:rPr>
        <w:t xml:space="preserve">(408) 376-7008 </w:t>
      </w:r>
    </w:p>
    <w:p w14:paraId="0BC97593" w14:textId="77777777" w:rsidR="009F0928" w:rsidRDefault="002112BD">
      <w:pPr>
        <w:spacing w:line="288" w:lineRule="auto"/>
        <w:jc w:val="center"/>
        <w:rPr>
          <w:rFonts w:ascii="Times New Roman" w:hAnsi="Times New Roman"/>
          <w:sz w:val="20"/>
          <w:szCs w:val="20"/>
        </w:rPr>
      </w:pPr>
      <w:r>
        <w:rPr>
          <w:rFonts w:ascii="Arial" w:eastAsia="宋体" w:hAnsi="Arial" w:cs="Arial"/>
          <w:sz w:val="16"/>
          <w:szCs w:val="16"/>
        </w:rPr>
        <w:t> </w:t>
      </w:r>
    </w:p>
    <w:tbl>
      <w:tblPr>
        <w:tblW w:w="4000" w:type="dxa"/>
        <w:jc w:val="center"/>
        <w:tblCellMar>
          <w:left w:w="0" w:type="dxa"/>
          <w:right w:w="0" w:type="dxa"/>
        </w:tblCellMar>
        <w:tblLook w:val="04A0" w:firstRow="1" w:lastRow="0" w:firstColumn="1" w:lastColumn="0" w:noHBand="0" w:noVBand="1"/>
      </w:tblPr>
      <w:tblGrid>
        <w:gridCol w:w="4000"/>
      </w:tblGrid>
      <w:tr w:rsidR="009F0928" w14:paraId="0BC97595" w14:textId="77777777">
        <w:trPr>
          <w:jc w:val="center"/>
        </w:trPr>
        <w:tc>
          <w:tcPr>
            <w:tcW w:w="0" w:type="auto"/>
            <w:shd w:val="clear" w:color="auto" w:fill="auto"/>
            <w:vAlign w:val="center"/>
          </w:tcPr>
          <w:p w14:paraId="0BC97594" w14:textId="77777777" w:rsidR="009F0928" w:rsidRDefault="009F0928">
            <w:pPr>
              <w:rPr>
                <w:rFonts w:ascii="Times New Roman" w:hAnsi="Times New Roman"/>
                <w:sz w:val="20"/>
                <w:szCs w:val="20"/>
              </w:rPr>
            </w:pPr>
          </w:p>
        </w:tc>
      </w:tr>
      <w:tr w:rsidR="009F0928" w14:paraId="0BC97597" w14:textId="77777777">
        <w:trPr>
          <w:jc w:val="center"/>
        </w:trPr>
        <w:tc>
          <w:tcPr>
            <w:tcW w:w="4000" w:type="dxa"/>
            <w:shd w:val="clear" w:color="auto" w:fill="auto"/>
            <w:vAlign w:val="center"/>
          </w:tcPr>
          <w:p w14:paraId="0BC97596" w14:textId="77777777" w:rsidR="009F0928" w:rsidRDefault="009F0928">
            <w:pPr>
              <w:rPr>
                <w:rFonts w:ascii="Times New Roman" w:hAnsi="Times New Roman"/>
                <w:sz w:val="20"/>
                <w:szCs w:val="20"/>
              </w:rPr>
            </w:pPr>
          </w:p>
        </w:tc>
      </w:tr>
      <w:tr w:rsidR="009F0928" w14:paraId="0BC97599"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0BC9759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759A" w14:textId="77777777" w:rsidR="009F0928" w:rsidRDefault="002112BD">
      <w:pPr>
        <w:spacing w:line="288" w:lineRule="auto"/>
        <w:jc w:val="center"/>
        <w:rPr>
          <w:rFonts w:ascii="Times New Roman" w:hAnsi="Times New Roman"/>
          <w:sz w:val="16"/>
          <w:szCs w:val="16"/>
        </w:rPr>
      </w:pPr>
      <w:r>
        <w:rPr>
          <w:rFonts w:ascii="Arial" w:eastAsia="宋体" w:hAnsi="Arial" w:cs="Arial"/>
          <w:b/>
          <w:bCs/>
          <w:sz w:val="16"/>
          <w:szCs w:val="16"/>
        </w:rPr>
        <w:t xml:space="preserve">Securities registered pursuant to Section 12(b) of the Act: </w:t>
      </w: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9F0928" w14:paraId="0BC9759C" w14:textId="77777777">
        <w:trPr>
          <w:jc w:val="center"/>
        </w:trPr>
        <w:tc>
          <w:tcPr>
            <w:tcW w:w="0" w:type="auto"/>
            <w:gridSpan w:val="3"/>
            <w:shd w:val="clear" w:color="auto" w:fill="auto"/>
            <w:vAlign w:val="center"/>
          </w:tcPr>
          <w:p w14:paraId="0BC9759B" w14:textId="77777777" w:rsidR="009F0928" w:rsidRDefault="009F0928">
            <w:pPr>
              <w:rPr>
                <w:rFonts w:ascii="Times New Roman" w:hAnsi="Times New Roman"/>
                <w:sz w:val="20"/>
                <w:szCs w:val="20"/>
              </w:rPr>
            </w:pPr>
          </w:p>
        </w:tc>
      </w:tr>
      <w:tr w:rsidR="009F0928" w14:paraId="0BC975A0" w14:textId="77777777">
        <w:trPr>
          <w:jc w:val="center"/>
        </w:trPr>
        <w:tc>
          <w:tcPr>
            <w:tcW w:w="1700" w:type="pct"/>
            <w:shd w:val="clear" w:color="auto" w:fill="auto"/>
            <w:vAlign w:val="center"/>
          </w:tcPr>
          <w:p w14:paraId="0BC9759D" w14:textId="77777777" w:rsidR="009F0928" w:rsidRDefault="009F0928">
            <w:pPr>
              <w:rPr>
                <w:rFonts w:ascii="Times New Roman" w:hAnsi="Times New Roman"/>
                <w:sz w:val="20"/>
                <w:szCs w:val="20"/>
              </w:rPr>
            </w:pPr>
          </w:p>
        </w:tc>
        <w:tc>
          <w:tcPr>
            <w:tcW w:w="1650" w:type="pct"/>
            <w:shd w:val="clear" w:color="auto" w:fill="auto"/>
            <w:vAlign w:val="center"/>
          </w:tcPr>
          <w:p w14:paraId="0BC9759E" w14:textId="77777777" w:rsidR="009F0928" w:rsidRDefault="009F0928">
            <w:pPr>
              <w:rPr>
                <w:rFonts w:ascii="Times New Roman" w:hAnsi="Times New Roman"/>
                <w:sz w:val="20"/>
                <w:szCs w:val="20"/>
              </w:rPr>
            </w:pPr>
          </w:p>
        </w:tc>
        <w:tc>
          <w:tcPr>
            <w:tcW w:w="1650" w:type="pct"/>
            <w:shd w:val="clear" w:color="auto" w:fill="auto"/>
            <w:vAlign w:val="center"/>
          </w:tcPr>
          <w:p w14:paraId="0BC9759F" w14:textId="77777777" w:rsidR="009F0928" w:rsidRDefault="009F0928">
            <w:pPr>
              <w:rPr>
                <w:rFonts w:ascii="Times New Roman" w:hAnsi="Times New Roman"/>
                <w:sz w:val="20"/>
                <w:szCs w:val="20"/>
              </w:rPr>
            </w:pPr>
          </w:p>
        </w:tc>
      </w:tr>
      <w:tr w:rsidR="009F0928" w14:paraId="0BC975A4" w14:textId="77777777">
        <w:trPr>
          <w:jc w:val="center"/>
        </w:trPr>
        <w:tc>
          <w:tcPr>
            <w:tcW w:w="0" w:type="auto"/>
            <w:shd w:val="clear" w:color="auto" w:fill="auto"/>
            <w:tcMar>
              <w:top w:w="40" w:type="dxa"/>
              <w:left w:w="40" w:type="dxa"/>
              <w:bottom w:w="40" w:type="dxa"/>
              <w:right w:w="40" w:type="dxa"/>
            </w:tcMar>
            <w:vAlign w:val="bottom"/>
          </w:tcPr>
          <w:p w14:paraId="0BC975A1"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u w:val="single"/>
              </w:rPr>
              <w:t>Title of each class</w:t>
            </w:r>
          </w:p>
        </w:tc>
        <w:tc>
          <w:tcPr>
            <w:tcW w:w="0" w:type="auto"/>
            <w:shd w:val="clear" w:color="auto" w:fill="auto"/>
            <w:tcMar>
              <w:top w:w="40" w:type="dxa"/>
              <w:left w:w="40" w:type="dxa"/>
              <w:bottom w:w="40" w:type="dxa"/>
              <w:right w:w="40" w:type="dxa"/>
            </w:tcMar>
            <w:vAlign w:val="bottom"/>
          </w:tcPr>
          <w:p w14:paraId="0BC975A2"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u w:val="single"/>
              </w:rPr>
              <w:t>Trading symbol</w:t>
            </w:r>
          </w:p>
        </w:tc>
        <w:tc>
          <w:tcPr>
            <w:tcW w:w="0" w:type="auto"/>
            <w:shd w:val="clear" w:color="auto" w:fill="auto"/>
            <w:tcMar>
              <w:top w:w="40" w:type="dxa"/>
              <w:left w:w="40" w:type="dxa"/>
              <w:bottom w:w="40" w:type="dxa"/>
              <w:right w:w="40" w:type="dxa"/>
            </w:tcMar>
            <w:vAlign w:val="bottom"/>
          </w:tcPr>
          <w:p w14:paraId="0BC975A3"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u w:val="single"/>
              </w:rPr>
              <w:t>Name of exchange on which registered</w:t>
            </w:r>
          </w:p>
        </w:tc>
      </w:tr>
      <w:tr w:rsidR="009F0928" w14:paraId="0BC975A8" w14:textId="77777777">
        <w:trPr>
          <w:jc w:val="center"/>
        </w:trPr>
        <w:tc>
          <w:tcPr>
            <w:tcW w:w="0" w:type="auto"/>
            <w:shd w:val="clear" w:color="auto" w:fill="auto"/>
            <w:tcMar>
              <w:top w:w="40" w:type="dxa"/>
              <w:left w:w="40" w:type="dxa"/>
              <w:bottom w:w="40" w:type="dxa"/>
              <w:right w:w="40" w:type="dxa"/>
            </w:tcMar>
            <w:vAlign w:val="bottom"/>
          </w:tcPr>
          <w:p w14:paraId="0BC975A5"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Common stock</w:t>
            </w:r>
          </w:p>
        </w:tc>
        <w:tc>
          <w:tcPr>
            <w:tcW w:w="0" w:type="auto"/>
            <w:shd w:val="clear" w:color="auto" w:fill="auto"/>
            <w:tcMar>
              <w:top w:w="40" w:type="dxa"/>
              <w:left w:w="40" w:type="dxa"/>
              <w:bottom w:w="40" w:type="dxa"/>
              <w:right w:w="40" w:type="dxa"/>
            </w:tcMar>
            <w:vAlign w:val="bottom"/>
          </w:tcPr>
          <w:p w14:paraId="0BC975A6"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EBAY</w:t>
            </w:r>
          </w:p>
        </w:tc>
        <w:tc>
          <w:tcPr>
            <w:tcW w:w="0" w:type="auto"/>
            <w:shd w:val="clear" w:color="auto" w:fill="auto"/>
            <w:tcMar>
              <w:top w:w="40" w:type="dxa"/>
              <w:left w:w="40" w:type="dxa"/>
              <w:bottom w:w="40" w:type="dxa"/>
              <w:right w:w="40" w:type="dxa"/>
            </w:tcMar>
            <w:vAlign w:val="bottom"/>
          </w:tcPr>
          <w:p w14:paraId="0BC975A7"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The Nasdaq Global Select Market</w:t>
            </w:r>
          </w:p>
        </w:tc>
      </w:tr>
      <w:tr w:rsidR="009F0928" w14:paraId="0BC975AC" w14:textId="77777777">
        <w:trPr>
          <w:jc w:val="center"/>
        </w:trPr>
        <w:tc>
          <w:tcPr>
            <w:tcW w:w="0" w:type="auto"/>
            <w:shd w:val="clear" w:color="auto" w:fill="auto"/>
            <w:tcMar>
              <w:top w:w="40" w:type="dxa"/>
              <w:left w:w="40" w:type="dxa"/>
              <w:bottom w:w="40" w:type="dxa"/>
              <w:right w:w="40" w:type="dxa"/>
            </w:tcMar>
            <w:vAlign w:val="bottom"/>
          </w:tcPr>
          <w:p w14:paraId="0BC975A9"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6.00% Notes due 2056</w:t>
            </w:r>
          </w:p>
        </w:tc>
        <w:tc>
          <w:tcPr>
            <w:tcW w:w="0" w:type="auto"/>
            <w:shd w:val="clear" w:color="auto" w:fill="auto"/>
            <w:tcMar>
              <w:top w:w="40" w:type="dxa"/>
              <w:left w:w="40" w:type="dxa"/>
              <w:bottom w:w="40" w:type="dxa"/>
              <w:right w:w="40" w:type="dxa"/>
            </w:tcMar>
            <w:vAlign w:val="bottom"/>
          </w:tcPr>
          <w:p w14:paraId="0BC975AA"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EBAYL</w:t>
            </w:r>
          </w:p>
        </w:tc>
        <w:tc>
          <w:tcPr>
            <w:tcW w:w="0" w:type="auto"/>
            <w:shd w:val="clear" w:color="auto" w:fill="auto"/>
            <w:tcMar>
              <w:top w:w="40" w:type="dxa"/>
              <w:left w:w="40" w:type="dxa"/>
              <w:bottom w:w="40" w:type="dxa"/>
              <w:right w:w="40" w:type="dxa"/>
            </w:tcMar>
            <w:vAlign w:val="bottom"/>
          </w:tcPr>
          <w:p w14:paraId="0BC975AB"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The Nasdaq Global Select Market</w:t>
            </w:r>
          </w:p>
        </w:tc>
      </w:tr>
      <w:tr w:rsidR="009F0928" w14:paraId="0BC975B0" w14:textId="77777777">
        <w:trPr>
          <w:jc w:val="center"/>
        </w:trPr>
        <w:tc>
          <w:tcPr>
            <w:tcW w:w="0" w:type="auto"/>
            <w:shd w:val="clear" w:color="auto" w:fill="auto"/>
            <w:tcMar>
              <w:top w:w="40" w:type="dxa"/>
              <w:left w:w="40" w:type="dxa"/>
              <w:bottom w:w="40" w:type="dxa"/>
              <w:right w:w="40" w:type="dxa"/>
            </w:tcMar>
            <w:vAlign w:val="bottom"/>
          </w:tcPr>
          <w:p w14:paraId="0BC975A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5A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5A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75B2" w14:textId="77777777">
        <w:trPr>
          <w:jc w:val="center"/>
        </w:trPr>
        <w:tc>
          <w:tcPr>
            <w:tcW w:w="0" w:type="auto"/>
            <w:gridSpan w:val="3"/>
            <w:shd w:val="clear" w:color="auto" w:fill="auto"/>
            <w:tcMar>
              <w:top w:w="40" w:type="dxa"/>
              <w:left w:w="40" w:type="dxa"/>
              <w:bottom w:w="40" w:type="dxa"/>
              <w:right w:w="40" w:type="dxa"/>
            </w:tcMar>
            <w:vAlign w:val="bottom"/>
          </w:tcPr>
          <w:p w14:paraId="0BC975B1"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Securities registered pursuant to Section 12(g) of the Act: </w:t>
            </w:r>
          </w:p>
        </w:tc>
      </w:tr>
      <w:tr w:rsidR="009F0928" w14:paraId="0BC975B4" w14:textId="77777777">
        <w:trPr>
          <w:jc w:val="center"/>
        </w:trPr>
        <w:tc>
          <w:tcPr>
            <w:tcW w:w="0" w:type="auto"/>
            <w:gridSpan w:val="3"/>
            <w:shd w:val="clear" w:color="auto" w:fill="auto"/>
            <w:tcMar>
              <w:top w:w="40" w:type="dxa"/>
              <w:left w:w="40" w:type="dxa"/>
              <w:bottom w:w="40" w:type="dxa"/>
              <w:right w:w="40" w:type="dxa"/>
            </w:tcMar>
            <w:vAlign w:val="bottom"/>
          </w:tcPr>
          <w:p w14:paraId="0BC975B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None </w:t>
            </w:r>
          </w:p>
        </w:tc>
      </w:tr>
    </w:tbl>
    <w:p w14:paraId="0BC975B5" w14:textId="77777777" w:rsidR="009F0928" w:rsidRDefault="009F0928">
      <w:pPr>
        <w:rPr>
          <w:vanish/>
        </w:rPr>
      </w:pPr>
    </w:p>
    <w:tbl>
      <w:tblPr>
        <w:tblW w:w="4000" w:type="dxa"/>
        <w:jc w:val="center"/>
        <w:tblCellMar>
          <w:left w:w="0" w:type="dxa"/>
          <w:right w:w="0" w:type="dxa"/>
        </w:tblCellMar>
        <w:tblLook w:val="04A0" w:firstRow="1" w:lastRow="0" w:firstColumn="1" w:lastColumn="0" w:noHBand="0" w:noVBand="1"/>
      </w:tblPr>
      <w:tblGrid>
        <w:gridCol w:w="4000"/>
      </w:tblGrid>
      <w:tr w:rsidR="009F0928" w14:paraId="0BC975B7" w14:textId="77777777">
        <w:trPr>
          <w:jc w:val="center"/>
        </w:trPr>
        <w:tc>
          <w:tcPr>
            <w:tcW w:w="0" w:type="auto"/>
            <w:shd w:val="clear" w:color="auto" w:fill="auto"/>
            <w:vAlign w:val="center"/>
          </w:tcPr>
          <w:p w14:paraId="0BC975B6" w14:textId="77777777" w:rsidR="009F0928" w:rsidRDefault="009F0928">
            <w:pPr>
              <w:rPr>
                <w:rFonts w:ascii="Times New Roman" w:hAnsi="Times New Roman"/>
                <w:sz w:val="20"/>
                <w:szCs w:val="20"/>
              </w:rPr>
            </w:pPr>
          </w:p>
        </w:tc>
      </w:tr>
      <w:tr w:rsidR="009F0928" w14:paraId="0BC975B9" w14:textId="77777777">
        <w:trPr>
          <w:jc w:val="center"/>
        </w:trPr>
        <w:tc>
          <w:tcPr>
            <w:tcW w:w="4000" w:type="dxa"/>
            <w:shd w:val="clear" w:color="auto" w:fill="auto"/>
            <w:vAlign w:val="center"/>
          </w:tcPr>
          <w:p w14:paraId="0BC975B8" w14:textId="77777777" w:rsidR="009F0928" w:rsidRDefault="009F0928">
            <w:pPr>
              <w:rPr>
                <w:rFonts w:ascii="Times New Roman" w:hAnsi="Times New Roman"/>
                <w:sz w:val="20"/>
                <w:szCs w:val="20"/>
              </w:rPr>
            </w:pPr>
          </w:p>
        </w:tc>
      </w:tr>
      <w:tr w:rsidR="009F0928" w14:paraId="0BC975BB"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0BC975B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75BC" w14:textId="77777777" w:rsidR="009F0928" w:rsidRDefault="009F0928">
      <w:pPr>
        <w:spacing w:line="288" w:lineRule="auto"/>
        <w:jc w:val="center"/>
        <w:rPr>
          <w:rFonts w:ascii="Times New Roman" w:hAnsi="Times New Roman"/>
          <w:sz w:val="14"/>
          <w:szCs w:val="14"/>
        </w:rPr>
      </w:pPr>
    </w:p>
    <w:p w14:paraId="0BC975BD" w14:textId="77777777" w:rsidR="009F0928" w:rsidRDefault="002112BD">
      <w:pPr>
        <w:spacing w:line="288" w:lineRule="auto"/>
        <w:jc w:val="both"/>
        <w:rPr>
          <w:rFonts w:ascii="Times New Roman" w:hAnsi="Times New Roman"/>
          <w:sz w:val="18"/>
          <w:szCs w:val="18"/>
        </w:rPr>
      </w:pPr>
      <w:r>
        <w:rPr>
          <w:rFonts w:ascii="Arial" w:eastAsia="宋体" w:hAnsi="Arial" w:cs="Arial"/>
          <w:sz w:val="14"/>
          <w:szCs w:val="14"/>
        </w:rPr>
        <w:t xml:space="preserve">Indicate by check mark if the registrant is a well-known seasoned issuer, as defined in Rule 405 of the Securities Act.     Yes </w:t>
      </w:r>
      <w:r>
        <w:rPr>
          <w:rFonts w:ascii="Arial Unicode MS" w:eastAsia="Arial Unicode MS" w:hAnsi="Arial Unicode MS" w:cs="Arial Unicode MS" w:hint="eastAsia"/>
          <w:sz w:val="18"/>
          <w:szCs w:val="18"/>
        </w:rPr>
        <w:t>☒</w:t>
      </w:r>
      <w:r>
        <w:rPr>
          <w:rFonts w:ascii="Arial" w:eastAsia="宋体" w:hAnsi="Arial" w:cs="Arial"/>
          <w:sz w:val="14"/>
          <w:szCs w:val="14"/>
        </w:rPr>
        <w:t xml:space="preserve">  No </w:t>
      </w:r>
      <w:r>
        <w:rPr>
          <w:rFonts w:ascii="Arial Unicode MS" w:eastAsia="Arial Unicode MS" w:hAnsi="Arial Unicode MS" w:cs="Arial Unicode MS" w:hint="eastAsia"/>
          <w:sz w:val="18"/>
          <w:szCs w:val="18"/>
        </w:rPr>
        <w:t>☐</w:t>
      </w:r>
      <w:r>
        <w:rPr>
          <w:rFonts w:ascii="Arial" w:eastAsia="宋体" w:hAnsi="Arial" w:cs="Arial"/>
          <w:sz w:val="14"/>
          <w:szCs w:val="14"/>
        </w:rPr>
        <w:t xml:space="preserve"> </w:t>
      </w:r>
    </w:p>
    <w:p w14:paraId="0BC975BE" w14:textId="77777777" w:rsidR="009F0928" w:rsidRDefault="009F0928">
      <w:pPr>
        <w:spacing w:line="288" w:lineRule="auto"/>
        <w:jc w:val="both"/>
        <w:rPr>
          <w:rFonts w:ascii="Times New Roman" w:hAnsi="Times New Roman"/>
          <w:sz w:val="14"/>
          <w:szCs w:val="14"/>
        </w:rPr>
      </w:pPr>
    </w:p>
    <w:p w14:paraId="0BC975BF" w14:textId="77777777" w:rsidR="009F0928" w:rsidRDefault="002112BD">
      <w:pPr>
        <w:spacing w:line="288" w:lineRule="auto"/>
        <w:jc w:val="both"/>
        <w:rPr>
          <w:rFonts w:ascii="Times New Roman" w:hAnsi="Times New Roman"/>
          <w:sz w:val="18"/>
          <w:szCs w:val="18"/>
        </w:rPr>
      </w:pPr>
      <w:r>
        <w:rPr>
          <w:rFonts w:ascii="Arial" w:eastAsia="宋体" w:hAnsi="Arial" w:cs="Arial"/>
          <w:sz w:val="14"/>
          <w:szCs w:val="14"/>
        </w:rPr>
        <w:t>Indicate by check mark if the registrant is not required to file reports pursuant to Section 13 or Section 15(d) of th</w:t>
      </w:r>
      <w:r>
        <w:rPr>
          <w:rFonts w:ascii="Arial" w:eastAsia="宋体" w:hAnsi="Arial" w:cs="Arial"/>
          <w:sz w:val="14"/>
          <w:szCs w:val="14"/>
        </w:rPr>
        <w:t xml:space="preserve">e Act.    Yes </w:t>
      </w:r>
      <w:r>
        <w:rPr>
          <w:rFonts w:ascii="Arial Unicode MS" w:eastAsia="Arial Unicode MS" w:hAnsi="Arial Unicode MS" w:cs="Arial Unicode MS" w:hint="eastAsia"/>
          <w:sz w:val="18"/>
          <w:szCs w:val="18"/>
        </w:rPr>
        <w:t>☐</w:t>
      </w:r>
      <w:r>
        <w:rPr>
          <w:rFonts w:ascii="Arial" w:eastAsia="宋体" w:hAnsi="Arial" w:cs="Arial"/>
          <w:sz w:val="14"/>
          <w:szCs w:val="14"/>
        </w:rPr>
        <w:t xml:space="preserve">  No </w:t>
      </w:r>
      <w:r>
        <w:rPr>
          <w:rFonts w:ascii="Arial Unicode MS" w:eastAsia="Arial Unicode MS" w:hAnsi="Arial Unicode MS" w:cs="Arial Unicode MS" w:hint="eastAsia"/>
          <w:sz w:val="18"/>
          <w:szCs w:val="18"/>
        </w:rPr>
        <w:t>☒</w:t>
      </w:r>
      <w:r>
        <w:rPr>
          <w:rFonts w:ascii="Arial" w:eastAsia="宋体" w:hAnsi="Arial" w:cs="Arial"/>
          <w:sz w:val="14"/>
          <w:szCs w:val="14"/>
        </w:rPr>
        <w:t xml:space="preserve"> </w:t>
      </w:r>
    </w:p>
    <w:p w14:paraId="0BC975C0" w14:textId="77777777" w:rsidR="009F0928" w:rsidRDefault="002112BD">
      <w:pPr>
        <w:spacing w:line="288" w:lineRule="auto"/>
        <w:jc w:val="both"/>
        <w:rPr>
          <w:rFonts w:ascii="Times New Roman" w:hAnsi="Times New Roman"/>
          <w:sz w:val="18"/>
          <w:szCs w:val="18"/>
        </w:rPr>
      </w:pPr>
      <w:r>
        <w:rPr>
          <w:rFonts w:ascii="Arial" w:eastAsia="宋体" w:hAnsi="Arial" w:cs="Arial"/>
          <w:sz w:val="14"/>
          <w:szCs w:val="14"/>
        </w:rPr>
        <w:t>Indicate by check mark whether the registrant (1) has filed all reports required to be filed by Section 13 or 15(d) of the Securities Exchange Act of 1934 during the preceding 12 months (or for such shorter period that the registrant</w:t>
      </w:r>
      <w:r>
        <w:rPr>
          <w:rFonts w:ascii="Arial" w:eastAsia="宋体" w:hAnsi="Arial" w:cs="Arial"/>
          <w:sz w:val="14"/>
          <w:szCs w:val="14"/>
        </w:rPr>
        <w:t xml:space="preserve"> was required to file such reports), and (2) has been subject to such filing requirements for the past 90 days. Yes </w:t>
      </w:r>
      <w:r>
        <w:rPr>
          <w:rFonts w:ascii="Arial Unicode MS" w:eastAsia="Arial Unicode MS" w:hAnsi="Arial Unicode MS" w:cs="Arial Unicode MS" w:hint="eastAsia"/>
          <w:sz w:val="18"/>
          <w:szCs w:val="18"/>
        </w:rPr>
        <w:t>☒</w:t>
      </w:r>
      <w:r>
        <w:rPr>
          <w:rFonts w:ascii="Arial" w:eastAsia="宋体" w:hAnsi="Arial" w:cs="Arial"/>
          <w:sz w:val="14"/>
          <w:szCs w:val="14"/>
        </w:rPr>
        <w:t xml:space="preserve">  No </w:t>
      </w:r>
      <w:r>
        <w:rPr>
          <w:rFonts w:ascii="Arial Unicode MS" w:eastAsia="Arial Unicode MS" w:hAnsi="Arial Unicode MS" w:cs="Arial Unicode MS" w:hint="eastAsia"/>
          <w:sz w:val="18"/>
          <w:szCs w:val="18"/>
        </w:rPr>
        <w:t>☐</w:t>
      </w:r>
      <w:r>
        <w:rPr>
          <w:rFonts w:ascii="Arial" w:eastAsia="宋体" w:hAnsi="Arial" w:cs="Arial"/>
          <w:sz w:val="14"/>
          <w:szCs w:val="14"/>
        </w:rPr>
        <w:t xml:space="preserve"> </w:t>
      </w:r>
    </w:p>
    <w:p w14:paraId="0BC975C1" w14:textId="77777777" w:rsidR="009F0928" w:rsidRDefault="002112BD">
      <w:pPr>
        <w:spacing w:line="288" w:lineRule="auto"/>
        <w:jc w:val="both"/>
        <w:rPr>
          <w:rFonts w:ascii="Times New Roman" w:hAnsi="Times New Roman"/>
          <w:sz w:val="18"/>
          <w:szCs w:val="18"/>
        </w:rPr>
      </w:pPr>
      <w:r>
        <w:rPr>
          <w:rFonts w:ascii="Arial" w:eastAsia="宋体" w:hAnsi="Arial" w:cs="Arial"/>
          <w:sz w:val="14"/>
          <w:szCs w:val="14"/>
        </w:rPr>
        <w:t>Indicate by check mark whether the registrant has submitted electronically every Interactive Data File required to be submitted pursuant to Rule 405 of Regulation S-T (§ 232.405 of this chapter) during the preceding 12 months (or for such shorter period th</w:t>
      </w:r>
      <w:r>
        <w:rPr>
          <w:rFonts w:ascii="Arial" w:eastAsia="宋体" w:hAnsi="Arial" w:cs="Arial"/>
          <w:sz w:val="14"/>
          <w:szCs w:val="14"/>
        </w:rPr>
        <w:t xml:space="preserve">at the registrant was required to submit such files).  Yes </w:t>
      </w:r>
      <w:r>
        <w:rPr>
          <w:rFonts w:ascii="Arial Unicode MS" w:eastAsia="Arial Unicode MS" w:hAnsi="Arial Unicode MS" w:cs="Arial Unicode MS" w:hint="eastAsia"/>
          <w:sz w:val="18"/>
          <w:szCs w:val="18"/>
        </w:rPr>
        <w:t>☒</w:t>
      </w:r>
      <w:r>
        <w:rPr>
          <w:rFonts w:ascii="Arial" w:eastAsia="宋体" w:hAnsi="Arial" w:cs="Arial"/>
          <w:sz w:val="14"/>
          <w:szCs w:val="14"/>
        </w:rPr>
        <w:t xml:space="preserve">  No </w:t>
      </w:r>
      <w:r>
        <w:rPr>
          <w:rFonts w:ascii="Arial Unicode MS" w:eastAsia="Arial Unicode MS" w:hAnsi="Arial Unicode MS" w:cs="Arial Unicode MS" w:hint="eastAsia"/>
          <w:sz w:val="14"/>
          <w:szCs w:val="14"/>
        </w:rPr>
        <w:t>☐</w:t>
      </w:r>
    </w:p>
    <w:p w14:paraId="0BC975C2" w14:textId="77777777" w:rsidR="009F0928" w:rsidRDefault="009F0928">
      <w:pPr>
        <w:spacing w:line="288" w:lineRule="auto"/>
        <w:jc w:val="both"/>
        <w:rPr>
          <w:rFonts w:ascii="Times New Roman" w:hAnsi="Times New Roman"/>
          <w:sz w:val="14"/>
          <w:szCs w:val="14"/>
        </w:rPr>
      </w:pPr>
    </w:p>
    <w:p w14:paraId="0BC975C3" w14:textId="77777777" w:rsidR="009F0928" w:rsidRDefault="009F0928">
      <w:pPr>
        <w:rPr>
          <w:rFonts w:ascii="Times New Roman" w:hAnsi="Times New Roman"/>
          <w:sz w:val="20"/>
          <w:szCs w:val="20"/>
        </w:rPr>
      </w:pPr>
    </w:p>
    <w:p w14:paraId="0BC975C4" w14:textId="77777777" w:rsidR="009F0928" w:rsidRDefault="002112BD">
      <w:r>
        <w:rPr>
          <w:rFonts w:ascii="Times New Roman" w:hAnsi="Times New Roman"/>
          <w:sz w:val="20"/>
          <w:szCs w:val="20"/>
        </w:rPr>
        <w:pict w14:anchorId="0BC9B4BB">
          <v:rect id="_x0000_i1025" style="width:415.3pt;height:1.5pt" o:hralign="center" o:hrstd="t" o:hr="t" fillcolor="#a0a0a0" stroked="f"/>
        </w:pict>
      </w:r>
    </w:p>
    <w:p w14:paraId="0BC975C5" w14:textId="77777777" w:rsidR="009F0928" w:rsidRDefault="009F0928">
      <w:pPr>
        <w:spacing w:line="288" w:lineRule="auto"/>
        <w:rPr>
          <w:rFonts w:ascii="Times New Roman" w:hAnsi="Times New Roman"/>
          <w:sz w:val="20"/>
          <w:szCs w:val="20"/>
        </w:rPr>
      </w:pPr>
    </w:p>
    <w:p w14:paraId="0BC975C6" w14:textId="77777777" w:rsidR="009F0928" w:rsidRDefault="009F0928">
      <w:pPr>
        <w:rPr>
          <w:rFonts w:ascii="Times New Roman" w:hAnsi="Times New Roman"/>
          <w:sz w:val="20"/>
          <w:szCs w:val="20"/>
        </w:rPr>
      </w:pPr>
    </w:p>
    <w:p w14:paraId="0BC975C7" w14:textId="77777777" w:rsidR="009F0928" w:rsidRDefault="002112BD">
      <w:pPr>
        <w:spacing w:line="288" w:lineRule="auto"/>
        <w:jc w:val="both"/>
        <w:rPr>
          <w:rFonts w:ascii="Times New Roman" w:hAnsi="Times New Roman"/>
          <w:sz w:val="14"/>
          <w:szCs w:val="14"/>
        </w:rPr>
      </w:pPr>
      <w:r>
        <w:rPr>
          <w:rFonts w:ascii="Arial" w:eastAsia="宋体" w:hAnsi="Arial" w:cs="Arial"/>
          <w:sz w:val="14"/>
          <w:szCs w:val="14"/>
        </w:rPr>
        <w:t xml:space="preserve">Indicate by check mark whether the registrant is a large accelerated filer, an accelerated filer, a non-accelerated filer, a smaller reporting company, or an emerging growth company. </w:t>
      </w:r>
      <w:r>
        <w:rPr>
          <w:rFonts w:ascii="Arial" w:eastAsia="宋体" w:hAnsi="Arial" w:cs="Arial"/>
          <w:sz w:val="14"/>
          <w:szCs w:val="14"/>
        </w:rPr>
        <w:t xml:space="preserve">See the definitions of “large accelerated filer,” “accelerated filer,” “smaller reporting company” and “emerging growth company” in Rule 12b-2 of the Exchange Act. </w:t>
      </w:r>
    </w:p>
    <w:tbl>
      <w:tblPr>
        <w:tblW w:w="5000" w:type="pct"/>
        <w:jc w:val="center"/>
        <w:tblCellMar>
          <w:left w:w="0" w:type="dxa"/>
          <w:right w:w="0" w:type="dxa"/>
        </w:tblCellMar>
        <w:tblLook w:val="04A0" w:firstRow="1" w:lastRow="0" w:firstColumn="1" w:lastColumn="0" w:noHBand="0" w:noVBand="1"/>
      </w:tblPr>
      <w:tblGrid>
        <w:gridCol w:w="1744"/>
        <w:gridCol w:w="332"/>
        <w:gridCol w:w="3821"/>
        <w:gridCol w:w="2077"/>
        <w:gridCol w:w="332"/>
      </w:tblGrid>
      <w:tr w:rsidR="009F0928" w14:paraId="0BC975C9" w14:textId="77777777">
        <w:trPr>
          <w:jc w:val="center"/>
        </w:trPr>
        <w:tc>
          <w:tcPr>
            <w:tcW w:w="0" w:type="auto"/>
            <w:gridSpan w:val="5"/>
            <w:shd w:val="clear" w:color="auto" w:fill="auto"/>
            <w:vAlign w:val="center"/>
          </w:tcPr>
          <w:p w14:paraId="0BC975C8" w14:textId="77777777" w:rsidR="009F0928" w:rsidRDefault="009F0928">
            <w:pPr>
              <w:rPr>
                <w:rFonts w:ascii="Times New Roman" w:hAnsi="Times New Roman"/>
                <w:sz w:val="20"/>
                <w:szCs w:val="20"/>
              </w:rPr>
            </w:pPr>
          </w:p>
        </w:tc>
      </w:tr>
      <w:tr w:rsidR="009F0928" w14:paraId="0BC975CF" w14:textId="77777777">
        <w:trPr>
          <w:jc w:val="center"/>
        </w:trPr>
        <w:tc>
          <w:tcPr>
            <w:tcW w:w="1050" w:type="pct"/>
            <w:shd w:val="clear" w:color="auto" w:fill="auto"/>
            <w:vAlign w:val="center"/>
          </w:tcPr>
          <w:p w14:paraId="0BC975CA" w14:textId="77777777" w:rsidR="009F0928" w:rsidRDefault="009F0928">
            <w:pPr>
              <w:rPr>
                <w:rFonts w:ascii="Times New Roman" w:hAnsi="Times New Roman"/>
                <w:sz w:val="20"/>
                <w:szCs w:val="20"/>
              </w:rPr>
            </w:pPr>
          </w:p>
        </w:tc>
        <w:tc>
          <w:tcPr>
            <w:tcW w:w="200" w:type="pct"/>
            <w:shd w:val="clear" w:color="auto" w:fill="auto"/>
            <w:vAlign w:val="center"/>
          </w:tcPr>
          <w:p w14:paraId="0BC975CB" w14:textId="77777777" w:rsidR="009F0928" w:rsidRDefault="009F0928">
            <w:pPr>
              <w:rPr>
                <w:rFonts w:ascii="Times New Roman" w:hAnsi="Times New Roman"/>
                <w:sz w:val="20"/>
                <w:szCs w:val="20"/>
              </w:rPr>
            </w:pPr>
          </w:p>
        </w:tc>
        <w:tc>
          <w:tcPr>
            <w:tcW w:w="2300" w:type="pct"/>
            <w:shd w:val="clear" w:color="auto" w:fill="auto"/>
            <w:vAlign w:val="center"/>
          </w:tcPr>
          <w:p w14:paraId="0BC975CC" w14:textId="77777777" w:rsidR="009F0928" w:rsidRDefault="009F0928">
            <w:pPr>
              <w:rPr>
                <w:rFonts w:ascii="Times New Roman" w:hAnsi="Times New Roman"/>
                <w:sz w:val="20"/>
                <w:szCs w:val="20"/>
              </w:rPr>
            </w:pPr>
          </w:p>
        </w:tc>
        <w:tc>
          <w:tcPr>
            <w:tcW w:w="1250" w:type="pct"/>
            <w:shd w:val="clear" w:color="auto" w:fill="auto"/>
            <w:vAlign w:val="center"/>
          </w:tcPr>
          <w:p w14:paraId="0BC975CD" w14:textId="77777777" w:rsidR="009F0928" w:rsidRDefault="009F0928">
            <w:pPr>
              <w:rPr>
                <w:rFonts w:ascii="Times New Roman" w:hAnsi="Times New Roman"/>
                <w:sz w:val="20"/>
                <w:szCs w:val="20"/>
              </w:rPr>
            </w:pPr>
          </w:p>
        </w:tc>
        <w:tc>
          <w:tcPr>
            <w:tcW w:w="200" w:type="pct"/>
            <w:shd w:val="clear" w:color="auto" w:fill="auto"/>
            <w:vAlign w:val="center"/>
          </w:tcPr>
          <w:p w14:paraId="0BC975CE" w14:textId="77777777" w:rsidR="009F0928" w:rsidRDefault="009F0928">
            <w:pPr>
              <w:rPr>
                <w:rFonts w:ascii="Times New Roman" w:hAnsi="Times New Roman"/>
                <w:sz w:val="20"/>
                <w:szCs w:val="20"/>
              </w:rPr>
            </w:pPr>
          </w:p>
        </w:tc>
      </w:tr>
      <w:tr w:rsidR="009F0928" w14:paraId="0BC975D5" w14:textId="77777777">
        <w:trPr>
          <w:jc w:val="center"/>
        </w:trPr>
        <w:tc>
          <w:tcPr>
            <w:tcW w:w="0" w:type="auto"/>
            <w:shd w:val="clear" w:color="auto" w:fill="auto"/>
            <w:tcMar>
              <w:top w:w="40" w:type="dxa"/>
              <w:left w:w="40" w:type="dxa"/>
              <w:bottom w:w="40" w:type="dxa"/>
              <w:right w:w="40" w:type="dxa"/>
            </w:tcMar>
            <w:vAlign w:val="bottom"/>
          </w:tcPr>
          <w:p w14:paraId="0BC975D0" w14:textId="77777777" w:rsidR="009F0928" w:rsidRDefault="002112BD">
            <w:pPr>
              <w:textAlignment w:val="bottom"/>
              <w:rPr>
                <w:rFonts w:ascii="Times New Roman" w:hAnsi="Times New Roman"/>
                <w:sz w:val="14"/>
                <w:szCs w:val="14"/>
              </w:rPr>
            </w:pPr>
            <w:r>
              <w:rPr>
                <w:rFonts w:ascii="Arial" w:eastAsia="宋体" w:hAnsi="Arial" w:cs="Arial"/>
                <w:sz w:val="14"/>
                <w:szCs w:val="14"/>
              </w:rPr>
              <w:t>Large accelerated filer</w:t>
            </w:r>
          </w:p>
        </w:tc>
        <w:tc>
          <w:tcPr>
            <w:tcW w:w="0" w:type="auto"/>
            <w:shd w:val="clear" w:color="auto" w:fill="auto"/>
            <w:tcMar>
              <w:top w:w="40" w:type="dxa"/>
              <w:left w:w="40" w:type="dxa"/>
              <w:bottom w:w="40" w:type="dxa"/>
              <w:right w:w="40" w:type="dxa"/>
            </w:tcMar>
            <w:vAlign w:val="bottom"/>
          </w:tcPr>
          <w:p w14:paraId="0BC975D1" w14:textId="77777777" w:rsidR="009F0928" w:rsidRDefault="002112BD">
            <w:pPr>
              <w:jc w:val="center"/>
              <w:textAlignment w:val="bottom"/>
              <w:rPr>
                <w:rFonts w:ascii="Times New Roman" w:hAnsi="Times New Roman"/>
                <w:sz w:val="18"/>
                <w:szCs w:val="18"/>
              </w:rPr>
            </w:pPr>
            <w:r>
              <w:rPr>
                <w:rFonts w:ascii="Arial Unicode MS" w:eastAsia="Arial Unicode MS" w:hAnsi="Arial Unicode MS" w:cs="Arial Unicode MS" w:hint="eastAsia"/>
                <w:sz w:val="18"/>
                <w:szCs w:val="18"/>
              </w:rPr>
              <w:t>☒</w:t>
            </w:r>
          </w:p>
        </w:tc>
        <w:tc>
          <w:tcPr>
            <w:tcW w:w="0" w:type="auto"/>
            <w:shd w:val="clear" w:color="auto" w:fill="auto"/>
            <w:tcMar>
              <w:top w:w="40" w:type="dxa"/>
              <w:left w:w="40" w:type="dxa"/>
              <w:bottom w:w="40" w:type="dxa"/>
              <w:right w:w="40" w:type="dxa"/>
            </w:tcMar>
            <w:vAlign w:val="bottom"/>
          </w:tcPr>
          <w:p w14:paraId="0BC975D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5D3" w14:textId="77777777" w:rsidR="009F0928" w:rsidRDefault="002112BD">
            <w:pPr>
              <w:textAlignment w:val="bottom"/>
              <w:rPr>
                <w:rFonts w:ascii="Times New Roman" w:hAnsi="Times New Roman"/>
                <w:sz w:val="14"/>
                <w:szCs w:val="14"/>
              </w:rPr>
            </w:pPr>
            <w:r>
              <w:rPr>
                <w:rFonts w:ascii="Arial" w:eastAsia="宋体" w:hAnsi="Arial" w:cs="Arial"/>
                <w:sz w:val="14"/>
                <w:szCs w:val="14"/>
              </w:rPr>
              <w:t>Accelerated filer</w:t>
            </w:r>
          </w:p>
        </w:tc>
        <w:tc>
          <w:tcPr>
            <w:tcW w:w="0" w:type="auto"/>
            <w:shd w:val="clear" w:color="auto" w:fill="auto"/>
            <w:tcMar>
              <w:top w:w="40" w:type="dxa"/>
              <w:left w:w="40" w:type="dxa"/>
              <w:bottom w:w="40" w:type="dxa"/>
              <w:right w:w="40" w:type="dxa"/>
            </w:tcMar>
            <w:vAlign w:val="bottom"/>
          </w:tcPr>
          <w:p w14:paraId="0BC975D4" w14:textId="77777777" w:rsidR="009F0928" w:rsidRDefault="002112BD">
            <w:pPr>
              <w:jc w:val="center"/>
              <w:textAlignment w:val="bottom"/>
              <w:rPr>
                <w:rFonts w:ascii="Times New Roman" w:hAnsi="Times New Roman"/>
                <w:sz w:val="18"/>
                <w:szCs w:val="18"/>
              </w:rPr>
            </w:pPr>
            <w:r>
              <w:rPr>
                <w:rFonts w:ascii="Arial Unicode MS" w:eastAsia="Arial Unicode MS" w:hAnsi="Arial Unicode MS" w:cs="Arial Unicode MS" w:hint="eastAsia"/>
                <w:sz w:val="18"/>
                <w:szCs w:val="18"/>
              </w:rPr>
              <w:t>☐</w:t>
            </w:r>
          </w:p>
        </w:tc>
      </w:tr>
      <w:tr w:rsidR="009F0928" w14:paraId="0BC975DB" w14:textId="77777777">
        <w:trPr>
          <w:jc w:val="center"/>
        </w:trPr>
        <w:tc>
          <w:tcPr>
            <w:tcW w:w="0" w:type="auto"/>
            <w:shd w:val="clear" w:color="auto" w:fill="auto"/>
            <w:tcMar>
              <w:top w:w="40" w:type="dxa"/>
              <w:left w:w="40" w:type="dxa"/>
              <w:bottom w:w="40" w:type="dxa"/>
              <w:right w:w="40" w:type="dxa"/>
            </w:tcMar>
            <w:vAlign w:val="bottom"/>
          </w:tcPr>
          <w:p w14:paraId="0BC975D6" w14:textId="77777777" w:rsidR="009F0928" w:rsidRDefault="002112BD">
            <w:pPr>
              <w:textAlignment w:val="bottom"/>
              <w:rPr>
                <w:rFonts w:ascii="Times New Roman" w:hAnsi="Times New Roman"/>
                <w:sz w:val="14"/>
                <w:szCs w:val="14"/>
              </w:rPr>
            </w:pPr>
            <w:r>
              <w:rPr>
                <w:rFonts w:ascii="Arial" w:eastAsia="宋体" w:hAnsi="Arial" w:cs="Arial"/>
                <w:sz w:val="14"/>
                <w:szCs w:val="14"/>
              </w:rPr>
              <w:t>Non-accelerated filer</w:t>
            </w:r>
          </w:p>
        </w:tc>
        <w:tc>
          <w:tcPr>
            <w:tcW w:w="0" w:type="auto"/>
            <w:shd w:val="clear" w:color="auto" w:fill="auto"/>
            <w:tcMar>
              <w:top w:w="40" w:type="dxa"/>
              <w:left w:w="40" w:type="dxa"/>
              <w:bottom w:w="40" w:type="dxa"/>
              <w:right w:w="40" w:type="dxa"/>
            </w:tcMar>
            <w:vAlign w:val="bottom"/>
          </w:tcPr>
          <w:p w14:paraId="0BC975D7" w14:textId="77777777" w:rsidR="009F0928" w:rsidRDefault="002112BD">
            <w:pPr>
              <w:jc w:val="center"/>
              <w:textAlignment w:val="bottom"/>
              <w:rPr>
                <w:rFonts w:ascii="Times New Roman" w:hAnsi="Times New Roman"/>
                <w:sz w:val="18"/>
                <w:szCs w:val="18"/>
              </w:rPr>
            </w:pPr>
            <w:r>
              <w:rPr>
                <w:rFonts w:ascii="Arial Unicode MS" w:eastAsia="Arial Unicode MS" w:hAnsi="Arial Unicode MS" w:cs="Arial Unicode MS" w:hint="eastAsia"/>
                <w:sz w:val="18"/>
                <w:szCs w:val="18"/>
              </w:rPr>
              <w:t>☐</w:t>
            </w:r>
          </w:p>
        </w:tc>
        <w:tc>
          <w:tcPr>
            <w:tcW w:w="0" w:type="auto"/>
            <w:shd w:val="clear" w:color="auto" w:fill="auto"/>
            <w:tcMar>
              <w:top w:w="40" w:type="dxa"/>
              <w:left w:w="40" w:type="dxa"/>
              <w:bottom w:w="40" w:type="dxa"/>
              <w:right w:w="40" w:type="dxa"/>
            </w:tcMar>
            <w:vAlign w:val="bottom"/>
          </w:tcPr>
          <w:p w14:paraId="0BC975D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5D9" w14:textId="77777777" w:rsidR="009F0928" w:rsidRDefault="002112BD">
            <w:pPr>
              <w:textAlignment w:val="bottom"/>
              <w:rPr>
                <w:rFonts w:ascii="Times New Roman" w:hAnsi="Times New Roman"/>
                <w:sz w:val="14"/>
                <w:szCs w:val="14"/>
              </w:rPr>
            </w:pPr>
            <w:r>
              <w:rPr>
                <w:rFonts w:ascii="Arial" w:eastAsia="宋体" w:hAnsi="Arial" w:cs="Arial"/>
                <w:sz w:val="14"/>
                <w:szCs w:val="14"/>
              </w:rPr>
              <w:t>Smaller reporting company</w:t>
            </w:r>
          </w:p>
        </w:tc>
        <w:tc>
          <w:tcPr>
            <w:tcW w:w="0" w:type="auto"/>
            <w:shd w:val="clear" w:color="auto" w:fill="auto"/>
            <w:tcMar>
              <w:top w:w="40" w:type="dxa"/>
              <w:left w:w="40" w:type="dxa"/>
              <w:bottom w:w="40" w:type="dxa"/>
              <w:right w:w="40" w:type="dxa"/>
            </w:tcMar>
            <w:vAlign w:val="bottom"/>
          </w:tcPr>
          <w:p w14:paraId="0BC975DA" w14:textId="77777777" w:rsidR="009F0928" w:rsidRDefault="002112BD">
            <w:pPr>
              <w:jc w:val="center"/>
              <w:textAlignment w:val="bottom"/>
              <w:rPr>
                <w:rFonts w:ascii="Times New Roman" w:hAnsi="Times New Roman"/>
                <w:sz w:val="18"/>
                <w:szCs w:val="18"/>
              </w:rPr>
            </w:pPr>
            <w:r>
              <w:rPr>
                <w:rFonts w:ascii="Arial Unicode MS" w:eastAsia="Arial Unicode MS" w:hAnsi="Arial Unicode MS" w:cs="Arial Unicode MS" w:hint="eastAsia"/>
                <w:sz w:val="18"/>
                <w:szCs w:val="18"/>
              </w:rPr>
              <w:t>☐</w:t>
            </w:r>
          </w:p>
        </w:tc>
      </w:tr>
      <w:tr w:rsidR="009F0928" w14:paraId="0BC975E1" w14:textId="77777777">
        <w:trPr>
          <w:jc w:val="center"/>
        </w:trPr>
        <w:tc>
          <w:tcPr>
            <w:tcW w:w="0" w:type="auto"/>
            <w:shd w:val="clear" w:color="auto" w:fill="auto"/>
            <w:tcMar>
              <w:top w:w="40" w:type="dxa"/>
              <w:left w:w="40" w:type="dxa"/>
              <w:bottom w:w="40" w:type="dxa"/>
              <w:right w:w="40" w:type="dxa"/>
            </w:tcMar>
            <w:vAlign w:val="bottom"/>
          </w:tcPr>
          <w:p w14:paraId="0BC975D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5D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5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5DF" w14:textId="77777777" w:rsidR="009F0928" w:rsidRDefault="002112BD">
            <w:pPr>
              <w:textAlignment w:val="bottom"/>
              <w:rPr>
                <w:rFonts w:ascii="Times New Roman" w:hAnsi="Times New Roman"/>
                <w:sz w:val="14"/>
                <w:szCs w:val="14"/>
              </w:rPr>
            </w:pPr>
            <w:r>
              <w:rPr>
                <w:rFonts w:ascii="Arial" w:eastAsia="宋体" w:hAnsi="Arial" w:cs="Arial"/>
                <w:sz w:val="14"/>
                <w:szCs w:val="14"/>
              </w:rPr>
              <w:t>Emerging growth company</w:t>
            </w:r>
          </w:p>
        </w:tc>
        <w:tc>
          <w:tcPr>
            <w:tcW w:w="0" w:type="auto"/>
            <w:shd w:val="clear" w:color="auto" w:fill="auto"/>
            <w:tcMar>
              <w:top w:w="40" w:type="dxa"/>
              <w:left w:w="40" w:type="dxa"/>
              <w:bottom w:w="40" w:type="dxa"/>
              <w:right w:w="40" w:type="dxa"/>
            </w:tcMar>
            <w:vAlign w:val="bottom"/>
          </w:tcPr>
          <w:p w14:paraId="0BC975E0" w14:textId="77777777" w:rsidR="009F0928" w:rsidRDefault="002112BD">
            <w:pPr>
              <w:jc w:val="center"/>
              <w:textAlignment w:val="bottom"/>
              <w:rPr>
                <w:rFonts w:ascii="Times New Roman" w:hAnsi="Times New Roman"/>
                <w:sz w:val="18"/>
                <w:szCs w:val="18"/>
              </w:rPr>
            </w:pPr>
            <w:r>
              <w:rPr>
                <w:rFonts w:ascii="Arial Unicode MS" w:eastAsia="Arial Unicode MS" w:hAnsi="Arial Unicode MS" w:cs="Arial Unicode MS" w:hint="eastAsia"/>
                <w:sz w:val="18"/>
                <w:szCs w:val="18"/>
              </w:rPr>
              <w:t>☐</w:t>
            </w:r>
          </w:p>
        </w:tc>
      </w:tr>
    </w:tbl>
    <w:p w14:paraId="0BC975E2" w14:textId="77777777" w:rsidR="009F0928" w:rsidRDefault="009F0928">
      <w:pPr>
        <w:spacing w:line="288" w:lineRule="auto"/>
        <w:jc w:val="center"/>
        <w:rPr>
          <w:rFonts w:ascii="Times New Roman" w:hAnsi="Times New Roman"/>
          <w:sz w:val="14"/>
          <w:szCs w:val="14"/>
        </w:rPr>
      </w:pPr>
    </w:p>
    <w:p w14:paraId="0BC975E3" w14:textId="77777777" w:rsidR="009F0928" w:rsidRDefault="002112BD">
      <w:pPr>
        <w:spacing w:line="288" w:lineRule="auto"/>
        <w:jc w:val="both"/>
        <w:rPr>
          <w:rFonts w:ascii="Times New Roman" w:hAnsi="Times New Roman"/>
          <w:sz w:val="18"/>
          <w:szCs w:val="18"/>
        </w:rPr>
      </w:pPr>
      <w:r>
        <w:rPr>
          <w:rFonts w:ascii="Arial" w:eastAsia="宋体" w:hAnsi="Arial" w:cs="Arial"/>
          <w:sz w:val="14"/>
          <w:szCs w:val="14"/>
        </w:rPr>
        <w:t xml:space="preserve">If an emerging growth company, indicate by check mark if the registrant has elected not to use the extended transition period for complying with any new or revised financial </w:t>
      </w:r>
      <w:r>
        <w:rPr>
          <w:rFonts w:ascii="Arial" w:eastAsia="宋体" w:hAnsi="Arial" w:cs="Arial"/>
          <w:sz w:val="14"/>
          <w:szCs w:val="14"/>
        </w:rPr>
        <w:t>accounting standards provided pursuant to Section 13(a) of the Exchange Act.  </w:t>
      </w:r>
      <w:r>
        <w:rPr>
          <w:rFonts w:ascii="Arial Unicode MS" w:eastAsia="Arial Unicode MS" w:hAnsi="Arial Unicode MS" w:cs="Arial Unicode MS" w:hint="eastAsia"/>
          <w:sz w:val="18"/>
          <w:szCs w:val="18"/>
        </w:rPr>
        <w:t>☐</w:t>
      </w:r>
      <w:r>
        <w:rPr>
          <w:rFonts w:ascii="Arial" w:eastAsia="宋体" w:hAnsi="Arial" w:cs="Arial"/>
          <w:sz w:val="14"/>
          <w:szCs w:val="14"/>
        </w:rPr>
        <w:t xml:space="preserve"> </w:t>
      </w:r>
    </w:p>
    <w:p w14:paraId="0BC975E4" w14:textId="77777777" w:rsidR="009F0928" w:rsidRDefault="002112BD">
      <w:pPr>
        <w:spacing w:line="288" w:lineRule="auto"/>
        <w:jc w:val="both"/>
        <w:rPr>
          <w:rFonts w:ascii="Times New Roman" w:hAnsi="Times New Roman"/>
          <w:sz w:val="18"/>
          <w:szCs w:val="18"/>
        </w:rPr>
      </w:pPr>
      <w:r>
        <w:rPr>
          <w:rFonts w:ascii="Arial" w:eastAsia="宋体" w:hAnsi="Arial" w:cs="Arial"/>
          <w:sz w:val="14"/>
          <w:szCs w:val="14"/>
        </w:rPr>
        <w:t xml:space="preserve">Indicate by check mark whether the registrant is a shell company (as defined in Rule 12b-2 of the Act).   Yes  </w:t>
      </w:r>
      <w:r>
        <w:rPr>
          <w:rFonts w:ascii="Arial Unicode MS" w:eastAsia="Arial Unicode MS" w:hAnsi="Arial Unicode MS" w:cs="Arial Unicode MS" w:hint="eastAsia"/>
          <w:sz w:val="18"/>
          <w:szCs w:val="18"/>
        </w:rPr>
        <w:t>☐</w:t>
      </w:r>
      <w:r>
        <w:rPr>
          <w:rFonts w:ascii="Arial" w:eastAsia="宋体" w:hAnsi="Arial" w:cs="Arial"/>
          <w:sz w:val="14"/>
          <w:szCs w:val="14"/>
        </w:rPr>
        <w:t xml:space="preserve">  No  </w:t>
      </w:r>
      <w:r>
        <w:rPr>
          <w:rFonts w:ascii="Arial Unicode MS" w:eastAsia="Arial Unicode MS" w:hAnsi="Arial Unicode MS" w:cs="Arial Unicode MS" w:hint="eastAsia"/>
          <w:sz w:val="18"/>
          <w:szCs w:val="18"/>
        </w:rPr>
        <w:t>☒</w:t>
      </w:r>
    </w:p>
    <w:p w14:paraId="0BC975E5" w14:textId="77777777" w:rsidR="009F0928" w:rsidRDefault="002112BD">
      <w:pPr>
        <w:spacing w:line="288" w:lineRule="auto"/>
        <w:jc w:val="both"/>
        <w:rPr>
          <w:rFonts w:ascii="Times New Roman" w:hAnsi="Times New Roman"/>
          <w:sz w:val="14"/>
          <w:szCs w:val="14"/>
        </w:rPr>
      </w:pPr>
      <w:r>
        <w:rPr>
          <w:rFonts w:ascii="Arial" w:eastAsia="宋体" w:hAnsi="Arial" w:cs="Arial"/>
          <w:sz w:val="14"/>
          <w:szCs w:val="14"/>
        </w:rPr>
        <w:t xml:space="preserve">As of </w:t>
      </w:r>
      <w:r>
        <w:rPr>
          <w:rFonts w:ascii="Arial" w:eastAsia="宋体" w:hAnsi="Arial" w:cs="Arial"/>
          <w:color w:val="000000"/>
          <w:sz w:val="14"/>
          <w:szCs w:val="14"/>
        </w:rPr>
        <w:t>June 30, 2019</w:t>
      </w:r>
      <w:r>
        <w:rPr>
          <w:rFonts w:ascii="Arial" w:eastAsia="宋体" w:hAnsi="Arial" w:cs="Arial"/>
          <w:sz w:val="14"/>
          <w:szCs w:val="14"/>
        </w:rPr>
        <w:t xml:space="preserve">, the aggregate market value of the </w:t>
      </w:r>
      <w:r>
        <w:rPr>
          <w:rFonts w:ascii="Arial" w:eastAsia="宋体" w:hAnsi="Arial" w:cs="Arial"/>
          <w:sz w:val="14"/>
          <w:szCs w:val="14"/>
        </w:rPr>
        <w:t xml:space="preserve">registrant’s common stock held by non-affiliates of the registrant was $31,354,367,947 based on the closing sale price as reported on The Nasdaq Global Select Market. </w:t>
      </w:r>
    </w:p>
    <w:p w14:paraId="0BC975E6" w14:textId="77777777" w:rsidR="009F0928" w:rsidRDefault="002112BD">
      <w:pPr>
        <w:spacing w:line="288" w:lineRule="auto"/>
        <w:jc w:val="center"/>
        <w:rPr>
          <w:rFonts w:ascii="Times New Roman" w:hAnsi="Times New Roman"/>
          <w:sz w:val="14"/>
          <w:szCs w:val="14"/>
        </w:rPr>
      </w:pPr>
      <w:r>
        <w:rPr>
          <w:rFonts w:ascii="Arial" w:eastAsia="宋体" w:hAnsi="Arial" w:cs="Arial"/>
          <w:sz w:val="14"/>
          <w:szCs w:val="14"/>
        </w:rPr>
        <w:t xml:space="preserve">796,080,826 shares of common stock issued and outstanding as of January 27, 2020. </w:t>
      </w:r>
    </w:p>
    <w:p w14:paraId="0BC975E7" w14:textId="77777777" w:rsidR="009F0928" w:rsidRDefault="002112BD">
      <w:pPr>
        <w:spacing w:line="288" w:lineRule="auto"/>
        <w:jc w:val="center"/>
        <w:rPr>
          <w:rFonts w:ascii="Times New Roman" w:hAnsi="Times New Roman"/>
          <w:sz w:val="14"/>
          <w:szCs w:val="14"/>
        </w:rPr>
      </w:pPr>
      <w:r>
        <w:rPr>
          <w:rFonts w:ascii="Arial" w:eastAsia="宋体" w:hAnsi="Arial" w:cs="Arial"/>
          <w:b/>
          <w:bCs/>
          <w:sz w:val="14"/>
          <w:szCs w:val="14"/>
        </w:rPr>
        <w:t>DOCUM</w:t>
      </w:r>
      <w:r>
        <w:rPr>
          <w:rFonts w:ascii="Arial" w:eastAsia="宋体" w:hAnsi="Arial" w:cs="Arial"/>
          <w:b/>
          <w:bCs/>
          <w:sz w:val="14"/>
          <w:szCs w:val="14"/>
        </w:rPr>
        <w:t xml:space="preserve">ENTS INCORPORATED BY REFERENCE </w:t>
      </w:r>
    </w:p>
    <w:p w14:paraId="0BC975E8" w14:textId="77777777" w:rsidR="009F0928" w:rsidRDefault="002112BD">
      <w:pPr>
        <w:spacing w:line="288" w:lineRule="auto"/>
        <w:jc w:val="both"/>
        <w:rPr>
          <w:rFonts w:ascii="Times New Roman" w:hAnsi="Times New Roman"/>
          <w:sz w:val="14"/>
          <w:szCs w:val="14"/>
        </w:rPr>
      </w:pPr>
      <w:r>
        <w:rPr>
          <w:rFonts w:ascii="Arial" w:eastAsia="宋体" w:hAnsi="Arial" w:cs="Arial"/>
          <w:sz w:val="14"/>
          <w:szCs w:val="14"/>
        </w:rPr>
        <w:t>Part III incorporates information by reference from the definitive proxy statement for the registrant’s Annual Meeting of Stockholders expected to be held on June 16, 2020.</w:t>
      </w:r>
    </w:p>
    <w:p w14:paraId="0BC975E9" w14:textId="77777777" w:rsidR="009F0928" w:rsidRDefault="002112BD">
      <w:pPr>
        <w:spacing w:line="288" w:lineRule="auto"/>
        <w:jc w:val="center"/>
      </w:pPr>
      <w:r>
        <w:rPr>
          <w:rFonts w:ascii="Times New Roman" w:hAnsi="Times New Roman"/>
          <w:sz w:val="14"/>
          <w:szCs w:val="14"/>
        </w:rPr>
        <w:pict w14:anchorId="0BC9B4BC">
          <v:rect id="_x0000_i1026" style="width:415.3pt;height:1.5pt" o:hralign="center" o:hrstd="t" o:hr="t" fillcolor="#a0a0a0" stroked="f"/>
        </w:pict>
      </w:r>
    </w:p>
    <w:p w14:paraId="0BC975EA" w14:textId="77777777" w:rsidR="009F0928" w:rsidRDefault="009F0928">
      <w:pPr>
        <w:spacing w:line="288" w:lineRule="auto"/>
        <w:jc w:val="center"/>
        <w:rPr>
          <w:rFonts w:ascii="Times New Roman" w:hAnsi="Times New Roman"/>
          <w:sz w:val="16"/>
          <w:szCs w:val="16"/>
        </w:rPr>
      </w:pPr>
    </w:p>
    <w:p w14:paraId="0BC975EB" w14:textId="77777777" w:rsidR="009F0928" w:rsidRDefault="009F0928">
      <w:pPr>
        <w:rPr>
          <w:rFonts w:ascii="Times New Roman" w:hAnsi="Times New Roman"/>
          <w:sz w:val="20"/>
          <w:szCs w:val="20"/>
        </w:rPr>
      </w:pPr>
    </w:p>
    <w:p w14:paraId="0BC975EC" w14:textId="77777777" w:rsidR="009F0928" w:rsidRDefault="002112BD">
      <w:r>
        <w:rPr>
          <w:rFonts w:ascii="Times New Roman" w:hAnsi="Times New Roman"/>
          <w:sz w:val="20"/>
          <w:szCs w:val="20"/>
        </w:rPr>
        <w:pict w14:anchorId="0BC9B4BD">
          <v:rect id="_x0000_i1027" style="width:415.3pt;height:1.5pt" o:hralign="center" o:hrstd="t" o:hr="t" fillcolor="#a0a0a0" stroked="f"/>
        </w:pict>
      </w:r>
    </w:p>
    <w:p w14:paraId="0BC975ED" w14:textId="77777777" w:rsidR="009F0928" w:rsidRDefault="009F0928">
      <w:pPr>
        <w:spacing w:line="288" w:lineRule="auto"/>
        <w:rPr>
          <w:rFonts w:ascii="Times New Roman" w:hAnsi="Times New Roman"/>
          <w:sz w:val="20"/>
          <w:szCs w:val="20"/>
        </w:rPr>
      </w:pPr>
    </w:p>
    <w:p w14:paraId="0BC975EE" w14:textId="77777777" w:rsidR="009F0928" w:rsidRDefault="009F0928">
      <w:pPr>
        <w:rPr>
          <w:rFonts w:ascii="Times New Roman" w:hAnsi="Times New Roman"/>
          <w:sz w:val="20"/>
          <w:szCs w:val="20"/>
        </w:rPr>
      </w:pPr>
    </w:p>
    <w:p w14:paraId="0BC975EF"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eBay Inc. </w:t>
      </w:r>
    </w:p>
    <w:p w14:paraId="0BC975F0"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lastRenderedPageBreak/>
        <w:t xml:space="preserve">Form 10-K </w:t>
      </w:r>
    </w:p>
    <w:p w14:paraId="0BC975F1"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For the Fiscal Year Ended December 31, 2019 </w:t>
      </w:r>
    </w:p>
    <w:p w14:paraId="0BC975F2"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TABLE OF CONTENTS </w:t>
      </w:r>
    </w:p>
    <w:tbl>
      <w:tblPr>
        <w:tblW w:w="5000" w:type="pct"/>
        <w:jc w:val="center"/>
        <w:tblCellMar>
          <w:left w:w="0" w:type="dxa"/>
          <w:right w:w="0" w:type="dxa"/>
        </w:tblCellMar>
        <w:tblLook w:val="04A0" w:firstRow="1" w:lastRow="0" w:firstColumn="1" w:lastColumn="0" w:noHBand="0" w:noVBand="1"/>
      </w:tblPr>
      <w:tblGrid>
        <w:gridCol w:w="831"/>
        <w:gridCol w:w="6146"/>
        <w:gridCol w:w="1329"/>
      </w:tblGrid>
      <w:tr w:rsidR="009F0928" w14:paraId="0BC975F4" w14:textId="77777777">
        <w:trPr>
          <w:jc w:val="center"/>
        </w:trPr>
        <w:tc>
          <w:tcPr>
            <w:tcW w:w="0" w:type="auto"/>
            <w:gridSpan w:val="3"/>
            <w:shd w:val="clear" w:color="auto" w:fill="auto"/>
            <w:vAlign w:val="center"/>
          </w:tcPr>
          <w:p w14:paraId="0BC975F3" w14:textId="77777777" w:rsidR="009F0928" w:rsidRDefault="009F0928">
            <w:pPr>
              <w:rPr>
                <w:rFonts w:ascii="Times New Roman" w:hAnsi="Times New Roman"/>
                <w:sz w:val="20"/>
                <w:szCs w:val="20"/>
              </w:rPr>
            </w:pPr>
          </w:p>
        </w:tc>
      </w:tr>
      <w:tr w:rsidR="009F0928" w14:paraId="0BC975F8" w14:textId="77777777">
        <w:trPr>
          <w:jc w:val="center"/>
        </w:trPr>
        <w:tc>
          <w:tcPr>
            <w:tcW w:w="500" w:type="pct"/>
            <w:shd w:val="clear" w:color="auto" w:fill="auto"/>
            <w:vAlign w:val="center"/>
          </w:tcPr>
          <w:p w14:paraId="0BC975F5" w14:textId="77777777" w:rsidR="009F0928" w:rsidRDefault="009F0928">
            <w:pPr>
              <w:rPr>
                <w:rFonts w:ascii="Times New Roman" w:hAnsi="Times New Roman"/>
                <w:sz w:val="20"/>
                <w:szCs w:val="20"/>
              </w:rPr>
            </w:pPr>
          </w:p>
        </w:tc>
        <w:tc>
          <w:tcPr>
            <w:tcW w:w="3700" w:type="pct"/>
            <w:shd w:val="clear" w:color="auto" w:fill="auto"/>
            <w:vAlign w:val="center"/>
          </w:tcPr>
          <w:p w14:paraId="0BC975F6" w14:textId="77777777" w:rsidR="009F0928" w:rsidRDefault="009F0928">
            <w:pPr>
              <w:rPr>
                <w:rFonts w:ascii="Times New Roman" w:hAnsi="Times New Roman"/>
                <w:sz w:val="20"/>
                <w:szCs w:val="20"/>
              </w:rPr>
            </w:pPr>
          </w:p>
        </w:tc>
        <w:tc>
          <w:tcPr>
            <w:tcW w:w="800" w:type="pct"/>
            <w:shd w:val="clear" w:color="auto" w:fill="auto"/>
            <w:vAlign w:val="center"/>
          </w:tcPr>
          <w:p w14:paraId="0BC975F7" w14:textId="77777777" w:rsidR="009F0928" w:rsidRDefault="009F0928">
            <w:pPr>
              <w:rPr>
                <w:rFonts w:ascii="Times New Roman" w:hAnsi="Times New Roman"/>
                <w:sz w:val="20"/>
                <w:szCs w:val="20"/>
              </w:rPr>
            </w:pPr>
          </w:p>
        </w:tc>
      </w:tr>
      <w:tr w:rsidR="009F0928" w14:paraId="0BC975FC" w14:textId="77777777">
        <w:trPr>
          <w:jc w:val="center"/>
        </w:trPr>
        <w:tc>
          <w:tcPr>
            <w:tcW w:w="0" w:type="auto"/>
            <w:shd w:val="clear" w:color="auto" w:fill="auto"/>
            <w:tcMar>
              <w:top w:w="40" w:type="dxa"/>
              <w:left w:w="40" w:type="dxa"/>
              <w:bottom w:w="40" w:type="dxa"/>
              <w:right w:w="40" w:type="dxa"/>
            </w:tcMar>
            <w:vAlign w:val="bottom"/>
          </w:tcPr>
          <w:p w14:paraId="0BC975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5F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75FB" w14:textId="77777777" w:rsidR="009F0928" w:rsidRDefault="002112BD">
            <w:pPr>
              <w:jc w:val="center"/>
              <w:textAlignment w:val="bottom"/>
              <w:rPr>
                <w:rFonts w:ascii="Times New Roman" w:hAnsi="Times New Roman"/>
                <w:sz w:val="20"/>
                <w:szCs w:val="20"/>
              </w:rPr>
            </w:pPr>
            <w:r>
              <w:rPr>
                <w:rFonts w:ascii="Arial" w:eastAsia="宋体" w:hAnsi="Arial" w:cs="Arial"/>
                <w:b/>
                <w:bCs/>
                <w:sz w:val="20"/>
                <w:szCs w:val="20"/>
              </w:rPr>
              <w:t>Page</w:t>
            </w:r>
          </w:p>
        </w:tc>
      </w:tr>
      <w:tr w:rsidR="009F0928" w14:paraId="0BC975FE" w14:textId="77777777">
        <w:trPr>
          <w:jc w:val="center"/>
        </w:trPr>
        <w:tc>
          <w:tcPr>
            <w:tcW w:w="0" w:type="auto"/>
            <w:gridSpan w:val="3"/>
            <w:shd w:val="clear" w:color="auto" w:fill="auto"/>
            <w:tcMar>
              <w:top w:w="40" w:type="dxa"/>
              <w:left w:w="40" w:type="dxa"/>
              <w:bottom w:w="40" w:type="dxa"/>
              <w:right w:w="40" w:type="dxa"/>
            </w:tcMar>
            <w:vAlign w:val="bottom"/>
          </w:tcPr>
          <w:p w14:paraId="0BC975FD" w14:textId="77777777" w:rsidR="009F0928" w:rsidRDefault="002112BD">
            <w:pPr>
              <w:jc w:val="center"/>
              <w:textAlignment w:val="bottom"/>
              <w:rPr>
                <w:rFonts w:ascii="Times New Roman" w:hAnsi="Times New Roman"/>
                <w:sz w:val="20"/>
                <w:szCs w:val="20"/>
              </w:rPr>
            </w:pPr>
            <w:r>
              <w:rPr>
                <w:rFonts w:ascii="Arial" w:eastAsia="宋体" w:hAnsi="Arial" w:cs="Arial"/>
                <w:b/>
                <w:bCs/>
                <w:sz w:val="20"/>
                <w:szCs w:val="20"/>
              </w:rPr>
              <w:t>Part I</w:t>
            </w:r>
          </w:p>
        </w:tc>
      </w:tr>
      <w:tr w:rsidR="009F0928" w14:paraId="0BC97602" w14:textId="77777777">
        <w:trPr>
          <w:jc w:val="center"/>
        </w:trPr>
        <w:tc>
          <w:tcPr>
            <w:tcW w:w="0" w:type="auto"/>
            <w:shd w:val="clear" w:color="auto" w:fill="auto"/>
            <w:tcMar>
              <w:top w:w="40" w:type="dxa"/>
              <w:left w:w="40" w:type="dxa"/>
              <w:bottom w:w="40" w:type="dxa"/>
              <w:right w:w="40" w:type="dxa"/>
            </w:tcMar>
          </w:tcPr>
          <w:p w14:paraId="0BC975FF" w14:textId="77777777" w:rsidR="009F0928" w:rsidRDefault="002112BD">
            <w:pPr>
              <w:textAlignment w:val="top"/>
              <w:rPr>
                <w:rFonts w:ascii="Times New Roman" w:hAnsi="Times New Roman"/>
                <w:sz w:val="20"/>
                <w:szCs w:val="20"/>
              </w:rPr>
            </w:pPr>
            <w:r>
              <w:rPr>
                <w:rFonts w:ascii="Arial" w:eastAsia="宋体" w:hAnsi="Arial" w:cs="Arial"/>
                <w:sz w:val="20"/>
                <w:szCs w:val="20"/>
              </w:rPr>
              <w:t>Item 1.</w:t>
            </w:r>
          </w:p>
        </w:tc>
        <w:tc>
          <w:tcPr>
            <w:tcW w:w="0" w:type="auto"/>
            <w:shd w:val="clear" w:color="auto" w:fill="auto"/>
            <w:tcMar>
              <w:top w:w="40" w:type="dxa"/>
              <w:left w:w="40" w:type="dxa"/>
              <w:bottom w:w="40" w:type="dxa"/>
              <w:right w:w="40" w:type="dxa"/>
            </w:tcMar>
          </w:tcPr>
          <w:p w14:paraId="0BC97600" w14:textId="77777777" w:rsidR="009F0928" w:rsidRDefault="002112BD">
            <w:pPr>
              <w:textAlignment w:val="top"/>
              <w:rPr>
                <w:rFonts w:ascii="Times New Roman" w:hAnsi="Times New Roman"/>
                <w:sz w:val="20"/>
                <w:szCs w:val="20"/>
              </w:rPr>
            </w:pPr>
            <w:r>
              <w:rPr>
                <w:rFonts w:ascii="Arial" w:eastAsia="宋体" w:hAnsi="Arial" w:cs="Arial"/>
                <w:sz w:val="20"/>
                <w:szCs w:val="20"/>
              </w:rPr>
              <w:t>Business</w:t>
            </w:r>
          </w:p>
        </w:tc>
        <w:tc>
          <w:tcPr>
            <w:tcW w:w="0" w:type="auto"/>
            <w:shd w:val="clear" w:color="auto" w:fill="auto"/>
            <w:tcMar>
              <w:top w:w="40" w:type="dxa"/>
              <w:left w:w="40" w:type="dxa"/>
              <w:bottom w:w="40" w:type="dxa"/>
              <w:right w:w="40" w:type="dxa"/>
            </w:tcMar>
          </w:tcPr>
          <w:p w14:paraId="0BC97601" w14:textId="77777777" w:rsidR="009F0928" w:rsidRDefault="002112BD">
            <w:pPr>
              <w:jc w:val="right"/>
              <w:textAlignment w:val="top"/>
              <w:rPr>
                <w:rFonts w:ascii="Times New Roman" w:hAnsi="Times New Roman"/>
                <w:sz w:val="20"/>
                <w:szCs w:val="20"/>
              </w:rPr>
            </w:pPr>
            <w:hyperlink r:id="rId7" w:anchor="sCAA9125C52015693BE90B4D8E7B1D307" w:history="1">
              <w:r>
                <w:rPr>
                  <w:rStyle w:val="a5"/>
                  <w:rFonts w:ascii="Arial" w:eastAsia="宋体" w:hAnsi="Arial" w:cs="Arial"/>
                  <w:sz w:val="20"/>
                  <w:szCs w:val="20"/>
                </w:rPr>
                <w:t>4</w:t>
              </w:r>
            </w:hyperlink>
          </w:p>
        </w:tc>
      </w:tr>
      <w:tr w:rsidR="009F0928" w14:paraId="0BC97606" w14:textId="77777777">
        <w:trPr>
          <w:jc w:val="center"/>
        </w:trPr>
        <w:tc>
          <w:tcPr>
            <w:tcW w:w="0" w:type="auto"/>
            <w:shd w:val="clear" w:color="auto" w:fill="auto"/>
            <w:tcMar>
              <w:top w:w="40" w:type="dxa"/>
              <w:left w:w="40" w:type="dxa"/>
              <w:bottom w:w="40" w:type="dxa"/>
              <w:right w:w="40" w:type="dxa"/>
            </w:tcMar>
          </w:tcPr>
          <w:p w14:paraId="0BC97603" w14:textId="77777777" w:rsidR="009F0928" w:rsidRDefault="002112BD">
            <w:pPr>
              <w:textAlignment w:val="top"/>
              <w:rPr>
                <w:rFonts w:ascii="Times New Roman" w:hAnsi="Times New Roman"/>
                <w:sz w:val="20"/>
                <w:szCs w:val="20"/>
              </w:rPr>
            </w:pPr>
            <w:r>
              <w:rPr>
                <w:rFonts w:ascii="Arial" w:eastAsia="宋体" w:hAnsi="Arial" w:cs="Arial"/>
                <w:sz w:val="20"/>
                <w:szCs w:val="20"/>
              </w:rPr>
              <w:t>Item 1A.</w:t>
            </w:r>
          </w:p>
        </w:tc>
        <w:tc>
          <w:tcPr>
            <w:tcW w:w="0" w:type="auto"/>
            <w:shd w:val="clear" w:color="auto" w:fill="auto"/>
            <w:tcMar>
              <w:top w:w="40" w:type="dxa"/>
              <w:left w:w="40" w:type="dxa"/>
              <w:bottom w:w="40" w:type="dxa"/>
              <w:right w:w="40" w:type="dxa"/>
            </w:tcMar>
          </w:tcPr>
          <w:p w14:paraId="0BC97604" w14:textId="77777777" w:rsidR="009F0928" w:rsidRDefault="002112BD">
            <w:pPr>
              <w:textAlignment w:val="top"/>
              <w:rPr>
                <w:rFonts w:ascii="Times New Roman" w:hAnsi="Times New Roman"/>
                <w:sz w:val="20"/>
                <w:szCs w:val="20"/>
              </w:rPr>
            </w:pPr>
            <w:r>
              <w:rPr>
                <w:rFonts w:ascii="Arial" w:eastAsia="宋体" w:hAnsi="Arial" w:cs="Arial"/>
                <w:sz w:val="20"/>
                <w:szCs w:val="20"/>
              </w:rPr>
              <w:t>Risk Factors</w:t>
            </w:r>
          </w:p>
        </w:tc>
        <w:tc>
          <w:tcPr>
            <w:tcW w:w="0" w:type="auto"/>
            <w:shd w:val="clear" w:color="auto" w:fill="auto"/>
            <w:tcMar>
              <w:top w:w="40" w:type="dxa"/>
              <w:left w:w="40" w:type="dxa"/>
              <w:bottom w:w="40" w:type="dxa"/>
              <w:right w:w="40" w:type="dxa"/>
            </w:tcMar>
          </w:tcPr>
          <w:p w14:paraId="0BC97605" w14:textId="77777777" w:rsidR="009F0928" w:rsidRDefault="002112BD">
            <w:pPr>
              <w:jc w:val="right"/>
              <w:textAlignment w:val="top"/>
              <w:rPr>
                <w:rFonts w:ascii="Times New Roman" w:hAnsi="Times New Roman"/>
                <w:sz w:val="20"/>
                <w:szCs w:val="20"/>
              </w:rPr>
            </w:pPr>
            <w:hyperlink r:id="rId8" w:anchor="sE90E8FB3396152E18A8B691FB4D9BFEA" w:history="1">
              <w:r>
                <w:rPr>
                  <w:rStyle w:val="a5"/>
                  <w:rFonts w:ascii="Arial" w:eastAsia="宋体" w:hAnsi="Arial" w:cs="Arial"/>
                  <w:sz w:val="20"/>
                  <w:szCs w:val="20"/>
                </w:rPr>
                <w:t>10</w:t>
              </w:r>
            </w:hyperlink>
          </w:p>
        </w:tc>
      </w:tr>
      <w:tr w:rsidR="009F0928" w14:paraId="0BC9760A" w14:textId="77777777">
        <w:trPr>
          <w:jc w:val="center"/>
        </w:trPr>
        <w:tc>
          <w:tcPr>
            <w:tcW w:w="0" w:type="auto"/>
            <w:shd w:val="clear" w:color="auto" w:fill="auto"/>
            <w:tcMar>
              <w:top w:w="40" w:type="dxa"/>
              <w:left w:w="40" w:type="dxa"/>
              <w:bottom w:w="40" w:type="dxa"/>
              <w:right w:w="40" w:type="dxa"/>
            </w:tcMar>
          </w:tcPr>
          <w:p w14:paraId="0BC97607" w14:textId="77777777" w:rsidR="009F0928" w:rsidRDefault="002112BD">
            <w:pPr>
              <w:textAlignment w:val="top"/>
              <w:rPr>
                <w:rFonts w:ascii="Times New Roman" w:hAnsi="Times New Roman"/>
                <w:sz w:val="20"/>
                <w:szCs w:val="20"/>
              </w:rPr>
            </w:pPr>
            <w:r>
              <w:rPr>
                <w:rFonts w:ascii="Arial" w:eastAsia="宋体" w:hAnsi="Arial" w:cs="Arial"/>
                <w:sz w:val="20"/>
                <w:szCs w:val="20"/>
              </w:rPr>
              <w:t>Item 1B.</w:t>
            </w:r>
          </w:p>
        </w:tc>
        <w:tc>
          <w:tcPr>
            <w:tcW w:w="0" w:type="auto"/>
            <w:shd w:val="clear" w:color="auto" w:fill="auto"/>
            <w:tcMar>
              <w:top w:w="40" w:type="dxa"/>
              <w:left w:w="40" w:type="dxa"/>
              <w:bottom w:w="40" w:type="dxa"/>
              <w:right w:w="40" w:type="dxa"/>
            </w:tcMar>
          </w:tcPr>
          <w:p w14:paraId="0BC97608" w14:textId="77777777" w:rsidR="009F0928" w:rsidRDefault="002112BD">
            <w:pPr>
              <w:textAlignment w:val="top"/>
              <w:rPr>
                <w:rFonts w:ascii="Times New Roman" w:hAnsi="Times New Roman"/>
                <w:sz w:val="20"/>
                <w:szCs w:val="20"/>
              </w:rPr>
            </w:pPr>
            <w:r>
              <w:rPr>
                <w:rFonts w:ascii="Arial" w:eastAsia="宋体" w:hAnsi="Arial" w:cs="Arial"/>
                <w:sz w:val="20"/>
                <w:szCs w:val="20"/>
              </w:rPr>
              <w:t>Unresolved Staff Comments</w:t>
            </w:r>
          </w:p>
        </w:tc>
        <w:tc>
          <w:tcPr>
            <w:tcW w:w="0" w:type="auto"/>
            <w:shd w:val="clear" w:color="auto" w:fill="auto"/>
            <w:tcMar>
              <w:top w:w="40" w:type="dxa"/>
              <w:left w:w="40" w:type="dxa"/>
              <w:bottom w:w="40" w:type="dxa"/>
              <w:right w:w="40" w:type="dxa"/>
            </w:tcMar>
          </w:tcPr>
          <w:p w14:paraId="0BC97609" w14:textId="77777777" w:rsidR="009F0928" w:rsidRDefault="002112BD">
            <w:pPr>
              <w:jc w:val="right"/>
              <w:textAlignment w:val="top"/>
              <w:rPr>
                <w:rFonts w:ascii="Times New Roman" w:hAnsi="Times New Roman"/>
                <w:sz w:val="20"/>
                <w:szCs w:val="20"/>
              </w:rPr>
            </w:pPr>
            <w:hyperlink r:id="rId9" w:anchor="s133A8FA5EA5755C6A9DC84976D3F2FFE" w:history="1">
              <w:r>
                <w:rPr>
                  <w:rStyle w:val="a5"/>
                  <w:rFonts w:ascii="Arial" w:eastAsia="宋体" w:hAnsi="Arial" w:cs="Arial"/>
                  <w:sz w:val="20"/>
                  <w:szCs w:val="20"/>
                </w:rPr>
                <w:t>2</w:t>
              </w:r>
              <w:r>
                <w:rPr>
                  <w:rStyle w:val="a5"/>
                  <w:rFonts w:ascii="Arial" w:eastAsia="宋体" w:hAnsi="Arial" w:cs="Arial"/>
                  <w:sz w:val="20"/>
                  <w:szCs w:val="20"/>
                </w:rPr>
                <w:t>9</w:t>
              </w:r>
            </w:hyperlink>
          </w:p>
        </w:tc>
      </w:tr>
      <w:tr w:rsidR="009F0928" w14:paraId="0BC9760E" w14:textId="77777777">
        <w:trPr>
          <w:jc w:val="center"/>
        </w:trPr>
        <w:tc>
          <w:tcPr>
            <w:tcW w:w="0" w:type="auto"/>
            <w:shd w:val="clear" w:color="auto" w:fill="auto"/>
            <w:tcMar>
              <w:top w:w="40" w:type="dxa"/>
              <w:left w:w="40" w:type="dxa"/>
              <w:bottom w:w="40" w:type="dxa"/>
              <w:right w:w="40" w:type="dxa"/>
            </w:tcMar>
          </w:tcPr>
          <w:p w14:paraId="0BC9760B" w14:textId="77777777" w:rsidR="009F0928" w:rsidRDefault="002112BD">
            <w:pPr>
              <w:textAlignment w:val="top"/>
              <w:rPr>
                <w:rFonts w:ascii="Times New Roman" w:hAnsi="Times New Roman"/>
                <w:sz w:val="20"/>
                <w:szCs w:val="20"/>
              </w:rPr>
            </w:pPr>
            <w:r>
              <w:rPr>
                <w:rFonts w:ascii="Arial" w:eastAsia="宋体" w:hAnsi="Arial" w:cs="Arial"/>
                <w:sz w:val="20"/>
                <w:szCs w:val="20"/>
              </w:rPr>
              <w:t>Item 2.</w:t>
            </w:r>
          </w:p>
        </w:tc>
        <w:tc>
          <w:tcPr>
            <w:tcW w:w="0" w:type="auto"/>
            <w:shd w:val="clear" w:color="auto" w:fill="auto"/>
            <w:tcMar>
              <w:top w:w="40" w:type="dxa"/>
              <w:left w:w="40" w:type="dxa"/>
              <w:bottom w:w="40" w:type="dxa"/>
              <w:right w:w="40" w:type="dxa"/>
            </w:tcMar>
          </w:tcPr>
          <w:p w14:paraId="0BC9760C" w14:textId="77777777" w:rsidR="009F0928" w:rsidRDefault="002112BD">
            <w:pPr>
              <w:textAlignment w:val="top"/>
              <w:rPr>
                <w:rFonts w:ascii="Times New Roman" w:hAnsi="Times New Roman"/>
                <w:sz w:val="20"/>
                <w:szCs w:val="20"/>
              </w:rPr>
            </w:pPr>
            <w:r>
              <w:rPr>
                <w:rFonts w:ascii="Arial" w:eastAsia="宋体" w:hAnsi="Arial" w:cs="Arial"/>
                <w:sz w:val="20"/>
                <w:szCs w:val="20"/>
              </w:rPr>
              <w:t>Properties</w:t>
            </w:r>
          </w:p>
        </w:tc>
        <w:tc>
          <w:tcPr>
            <w:tcW w:w="0" w:type="auto"/>
            <w:shd w:val="clear" w:color="auto" w:fill="auto"/>
            <w:tcMar>
              <w:top w:w="40" w:type="dxa"/>
              <w:left w:w="40" w:type="dxa"/>
              <w:bottom w:w="40" w:type="dxa"/>
              <w:right w:w="40" w:type="dxa"/>
            </w:tcMar>
          </w:tcPr>
          <w:p w14:paraId="0BC9760D" w14:textId="77777777" w:rsidR="009F0928" w:rsidRDefault="002112BD">
            <w:pPr>
              <w:jc w:val="right"/>
              <w:textAlignment w:val="top"/>
              <w:rPr>
                <w:rFonts w:ascii="Times New Roman" w:hAnsi="Times New Roman"/>
                <w:sz w:val="20"/>
                <w:szCs w:val="20"/>
              </w:rPr>
            </w:pPr>
            <w:hyperlink r:id="rId10" w:anchor="s6FC191512EEE538BA9BA7C05AF65344C" w:history="1">
              <w:r>
                <w:rPr>
                  <w:rStyle w:val="a5"/>
                  <w:rFonts w:ascii="Arial" w:eastAsia="宋体" w:hAnsi="Arial" w:cs="Arial"/>
                  <w:sz w:val="20"/>
                  <w:szCs w:val="20"/>
                </w:rPr>
                <w:t>30</w:t>
              </w:r>
            </w:hyperlink>
          </w:p>
        </w:tc>
      </w:tr>
      <w:tr w:rsidR="009F0928" w14:paraId="0BC97612" w14:textId="77777777">
        <w:trPr>
          <w:jc w:val="center"/>
        </w:trPr>
        <w:tc>
          <w:tcPr>
            <w:tcW w:w="0" w:type="auto"/>
            <w:shd w:val="clear" w:color="auto" w:fill="auto"/>
            <w:tcMar>
              <w:top w:w="40" w:type="dxa"/>
              <w:left w:w="40" w:type="dxa"/>
              <w:bottom w:w="40" w:type="dxa"/>
              <w:right w:w="40" w:type="dxa"/>
            </w:tcMar>
          </w:tcPr>
          <w:p w14:paraId="0BC9760F" w14:textId="77777777" w:rsidR="009F0928" w:rsidRDefault="002112BD">
            <w:pPr>
              <w:textAlignment w:val="top"/>
              <w:rPr>
                <w:rFonts w:ascii="Times New Roman" w:hAnsi="Times New Roman"/>
                <w:sz w:val="20"/>
                <w:szCs w:val="20"/>
              </w:rPr>
            </w:pPr>
            <w:r>
              <w:rPr>
                <w:rFonts w:ascii="Arial" w:eastAsia="宋体" w:hAnsi="Arial" w:cs="Arial"/>
                <w:sz w:val="20"/>
                <w:szCs w:val="20"/>
              </w:rPr>
              <w:t>Item 3.</w:t>
            </w:r>
          </w:p>
        </w:tc>
        <w:tc>
          <w:tcPr>
            <w:tcW w:w="0" w:type="auto"/>
            <w:shd w:val="clear" w:color="auto" w:fill="auto"/>
            <w:tcMar>
              <w:top w:w="40" w:type="dxa"/>
              <w:left w:w="40" w:type="dxa"/>
              <w:bottom w:w="40" w:type="dxa"/>
              <w:right w:w="40" w:type="dxa"/>
            </w:tcMar>
          </w:tcPr>
          <w:p w14:paraId="0BC97610" w14:textId="77777777" w:rsidR="009F0928" w:rsidRDefault="002112BD">
            <w:pPr>
              <w:textAlignment w:val="top"/>
              <w:rPr>
                <w:rFonts w:ascii="Times New Roman" w:hAnsi="Times New Roman"/>
                <w:sz w:val="20"/>
                <w:szCs w:val="20"/>
              </w:rPr>
            </w:pPr>
            <w:r>
              <w:rPr>
                <w:rFonts w:ascii="Arial" w:eastAsia="宋体" w:hAnsi="Arial" w:cs="Arial"/>
                <w:sz w:val="20"/>
                <w:szCs w:val="20"/>
              </w:rPr>
              <w:t>Legal Proceedings</w:t>
            </w:r>
          </w:p>
        </w:tc>
        <w:tc>
          <w:tcPr>
            <w:tcW w:w="0" w:type="auto"/>
            <w:shd w:val="clear" w:color="auto" w:fill="auto"/>
            <w:tcMar>
              <w:top w:w="40" w:type="dxa"/>
              <w:left w:w="40" w:type="dxa"/>
              <w:bottom w:w="40" w:type="dxa"/>
              <w:right w:w="40" w:type="dxa"/>
            </w:tcMar>
          </w:tcPr>
          <w:p w14:paraId="0BC97611" w14:textId="77777777" w:rsidR="009F0928" w:rsidRDefault="002112BD">
            <w:pPr>
              <w:jc w:val="right"/>
              <w:textAlignment w:val="top"/>
              <w:rPr>
                <w:rFonts w:ascii="Times New Roman" w:hAnsi="Times New Roman"/>
                <w:sz w:val="20"/>
                <w:szCs w:val="20"/>
              </w:rPr>
            </w:pPr>
            <w:hyperlink r:id="rId11" w:anchor="s24A2AFE6E25D59E1943F2646F1F04481" w:history="1">
              <w:r>
                <w:rPr>
                  <w:rStyle w:val="a5"/>
                  <w:rFonts w:ascii="Arial" w:eastAsia="宋体" w:hAnsi="Arial" w:cs="Arial"/>
                  <w:sz w:val="20"/>
                  <w:szCs w:val="20"/>
                </w:rPr>
                <w:t>31</w:t>
              </w:r>
            </w:hyperlink>
          </w:p>
        </w:tc>
      </w:tr>
      <w:tr w:rsidR="009F0928" w14:paraId="0BC97616" w14:textId="77777777">
        <w:trPr>
          <w:jc w:val="center"/>
        </w:trPr>
        <w:tc>
          <w:tcPr>
            <w:tcW w:w="0" w:type="auto"/>
            <w:shd w:val="clear" w:color="auto" w:fill="auto"/>
            <w:tcMar>
              <w:top w:w="40" w:type="dxa"/>
              <w:left w:w="40" w:type="dxa"/>
              <w:bottom w:w="40" w:type="dxa"/>
              <w:right w:w="40" w:type="dxa"/>
            </w:tcMar>
          </w:tcPr>
          <w:p w14:paraId="0BC97613" w14:textId="77777777" w:rsidR="009F0928" w:rsidRDefault="002112BD">
            <w:pPr>
              <w:textAlignment w:val="top"/>
              <w:rPr>
                <w:rFonts w:ascii="Times New Roman" w:hAnsi="Times New Roman"/>
                <w:sz w:val="20"/>
                <w:szCs w:val="20"/>
              </w:rPr>
            </w:pPr>
            <w:r>
              <w:rPr>
                <w:rFonts w:ascii="Arial" w:eastAsia="宋体" w:hAnsi="Arial" w:cs="Arial"/>
                <w:sz w:val="20"/>
                <w:szCs w:val="20"/>
              </w:rPr>
              <w:t>Item 4.</w:t>
            </w:r>
          </w:p>
        </w:tc>
        <w:tc>
          <w:tcPr>
            <w:tcW w:w="0" w:type="auto"/>
            <w:shd w:val="clear" w:color="auto" w:fill="auto"/>
            <w:tcMar>
              <w:top w:w="40" w:type="dxa"/>
              <w:left w:w="40" w:type="dxa"/>
              <w:bottom w:w="40" w:type="dxa"/>
              <w:right w:w="40" w:type="dxa"/>
            </w:tcMar>
          </w:tcPr>
          <w:p w14:paraId="0BC97614" w14:textId="77777777" w:rsidR="009F0928" w:rsidRDefault="002112BD">
            <w:pPr>
              <w:textAlignment w:val="top"/>
              <w:rPr>
                <w:rFonts w:ascii="Times New Roman" w:hAnsi="Times New Roman"/>
                <w:sz w:val="20"/>
                <w:szCs w:val="20"/>
              </w:rPr>
            </w:pPr>
            <w:r>
              <w:rPr>
                <w:rFonts w:ascii="Arial" w:eastAsia="宋体" w:hAnsi="Arial" w:cs="Arial"/>
                <w:sz w:val="20"/>
                <w:szCs w:val="20"/>
              </w:rPr>
              <w:t>Mine Safety Disclosures</w:t>
            </w:r>
          </w:p>
        </w:tc>
        <w:tc>
          <w:tcPr>
            <w:tcW w:w="0" w:type="auto"/>
            <w:shd w:val="clear" w:color="auto" w:fill="auto"/>
            <w:tcMar>
              <w:top w:w="40" w:type="dxa"/>
              <w:left w:w="40" w:type="dxa"/>
              <w:bottom w:w="40" w:type="dxa"/>
              <w:right w:w="40" w:type="dxa"/>
            </w:tcMar>
          </w:tcPr>
          <w:p w14:paraId="0BC97615" w14:textId="77777777" w:rsidR="009F0928" w:rsidRDefault="002112BD">
            <w:pPr>
              <w:jc w:val="right"/>
              <w:textAlignment w:val="top"/>
              <w:rPr>
                <w:rFonts w:ascii="Times New Roman" w:hAnsi="Times New Roman"/>
                <w:sz w:val="20"/>
                <w:szCs w:val="20"/>
              </w:rPr>
            </w:pPr>
            <w:hyperlink r:id="rId12" w:anchor="sFCCED517B4025B0B8146C6EACAEB4FA7" w:history="1">
              <w:r>
                <w:rPr>
                  <w:rStyle w:val="a5"/>
                  <w:rFonts w:ascii="Arial" w:eastAsia="宋体" w:hAnsi="Arial" w:cs="Arial"/>
                  <w:sz w:val="20"/>
                  <w:szCs w:val="20"/>
                </w:rPr>
                <w:t>32</w:t>
              </w:r>
            </w:hyperlink>
          </w:p>
        </w:tc>
      </w:tr>
      <w:tr w:rsidR="009F0928" w14:paraId="0BC97618" w14:textId="77777777">
        <w:trPr>
          <w:jc w:val="center"/>
        </w:trPr>
        <w:tc>
          <w:tcPr>
            <w:tcW w:w="0" w:type="auto"/>
            <w:gridSpan w:val="3"/>
            <w:shd w:val="clear" w:color="auto" w:fill="auto"/>
            <w:tcMar>
              <w:top w:w="40" w:type="dxa"/>
              <w:left w:w="40" w:type="dxa"/>
              <w:bottom w:w="40" w:type="dxa"/>
              <w:right w:w="40" w:type="dxa"/>
            </w:tcMar>
          </w:tcPr>
          <w:p w14:paraId="0BC97617" w14:textId="77777777" w:rsidR="009F0928" w:rsidRDefault="002112BD">
            <w:pPr>
              <w:jc w:val="center"/>
              <w:textAlignment w:val="top"/>
              <w:rPr>
                <w:rFonts w:ascii="Times New Roman" w:hAnsi="Times New Roman"/>
                <w:sz w:val="20"/>
                <w:szCs w:val="20"/>
              </w:rPr>
            </w:pPr>
            <w:r>
              <w:rPr>
                <w:rFonts w:ascii="Arial" w:eastAsia="宋体" w:hAnsi="Arial" w:cs="Arial"/>
                <w:b/>
                <w:bCs/>
                <w:sz w:val="20"/>
                <w:szCs w:val="20"/>
              </w:rPr>
              <w:t>Part II</w:t>
            </w:r>
          </w:p>
        </w:tc>
      </w:tr>
      <w:tr w:rsidR="009F0928" w14:paraId="0BC9761C" w14:textId="77777777">
        <w:trPr>
          <w:jc w:val="center"/>
        </w:trPr>
        <w:tc>
          <w:tcPr>
            <w:tcW w:w="0" w:type="auto"/>
            <w:shd w:val="clear" w:color="auto" w:fill="auto"/>
            <w:tcMar>
              <w:top w:w="40" w:type="dxa"/>
              <w:left w:w="40" w:type="dxa"/>
              <w:bottom w:w="40" w:type="dxa"/>
              <w:right w:w="40" w:type="dxa"/>
            </w:tcMar>
          </w:tcPr>
          <w:p w14:paraId="0BC97619" w14:textId="77777777" w:rsidR="009F0928" w:rsidRDefault="002112BD">
            <w:pPr>
              <w:textAlignment w:val="top"/>
              <w:rPr>
                <w:rFonts w:ascii="Times New Roman" w:hAnsi="Times New Roman"/>
                <w:sz w:val="20"/>
                <w:szCs w:val="20"/>
              </w:rPr>
            </w:pPr>
            <w:r>
              <w:rPr>
                <w:rFonts w:ascii="Arial" w:eastAsia="宋体" w:hAnsi="Arial" w:cs="Arial"/>
                <w:sz w:val="20"/>
                <w:szCs w:val="20"/>
              </w:rPr>
              <w:t>Item 5.</w:t>
            </w:r>
          </w:p>
        </w:tc>
        <w:tc>
          <w:tcPr>
            <w:tcW w:w="0" w:type="auto"/>
            <w:shd w:val="clear" w:color="auto" w:fill="auto"/>
            <w:tcMar>
              <w:top w:w="40" w:type="dxa"/>
              <w:left w:w="40" w:type="dxa"/>
              <w:bottom w:w="40" w:type="dxa"/>
              <w:right w:w="40" w:type="dxa"/>
            </w:tcMar>
          </w:tcPr>
          <w:p w14:paraId="0BC9761A" w14:textId="77777777" w:rsidR="009F0928" w:rsidRDefault="002112BD">
            <w:pPr>
              <w:textAlignment w:val="top"/>
              <w:rPr>
                <w:rFonts w:ascii="Times New Roman" w:hAnsi="Times New Roman"/>
                <w:sz w:val="20"/>
                <w:szCs w:val="20"/>
              </w:rPr>
            </w:pPr>
            <w:r>
              <w:rPr>
                <w:rFonts w:ascii="Arial" w:eastAsia="宋体" w:hAnsi="Arial" w:cs="Arial"/>
                <w:sz w:val="20"/>
                <w:szCs w:val="20"/>
              </w:rPr>
              <w:t>Market for Registrant’s Common Equity, Related Stockholder Matters and Issuer Purchases of Equity Securities</w:t>
            </w:r>
          </w:p>
        </w:tc>
        <w:tc>
          <w:tcPr>
            <w:tcW w:w="0" w:type="auto"/>
            <w:shd w:val="clear" w:color="auto" w:fill="auto"/>
            <w:tcMar>
              <w:top w:w="40" w:type="dxa"/>
              <w:left w:w="40" w:type="dxa"/>
              <w:bottom w:w="40" w:type="dxa"/>
              <w:right w:w="40" w:type="dxa"/>
            </w:tcMar>
          </w:tcPr>
          <w:p w14:paraId="0BC9761B" w14:textId="77777777" w:rsidR="009F0928" w:rsidRDefault="002112BD">
            <w:pPr>
              <w:jc w:val="right"/>
              <w:textAlignment w:val="top"/>
              <w:rPr>
                <w:rFonts w:ascii="Times New Roman" w:hAnsi="Times New Roman"/>
                <w:sz w:val="20"/>
                <w:szCs w:val="20"/>
              </w:rPr>
            </w:pPr>
            <w:hyperlink r:id="rId13" w:anchor="s9E343D6D4DAB5F2E866354D7BE7D6DF3" w:history="1">
              <w:r>
                <w:rPr>
                  <w:rStyle w:val="a5"/>
                  <w:rFonts w:ascii="Arial" w:eastAsia="宋体" w:hAnsi="Arial" w:cs="Arial"/>
                  <w:sz w:val="20"/>
                  <w:szCs w:val="20"/>
                </w:rPr>
                <w:t>33</w:t>
              </w:r>
            </w:hyperlink>
          </w:p>
        </w:tc>
      </w:tr>
      <w:tr w:rsidR="009F0928" w14:paraId="0BC97620" w14:textId="77777777">
        <w:trPr>
          <w:jc w:val="center"/>
        </w:trPr>
        <w:tc>
          <w:tcPr>
            <w:tcW w:w="0" w:type="auto"/>
            <w:shd w:val="clear" w:color="auto" w:fill="auto"/>
            <w:tcMar>
              <w:top w:w="40" w:type="dxa"/>
              <w:left w:w="40" w:type="dxa"/>
              <w:bottom w:w="40" w:type="dxa"/>
              <w:right w:w="40" w:type="dxa"/>
            </w:tcMar>
          </w:tcPr>
          <w:p w14:paraId="0BC9761D" w14:textId="77777777" w:rsidR="009F0928" w:rsidRDefault="002112BD">
            <w:pPr>
              <w:textAlignment w:val="top"/>
              <w:rPr>
                <w:rFonts w:ascii="Times New Roman" w:hAnsi="Times New Roman"/>
                <w:sz w:val="20"/>
                <w:szCs w:val="20"/>
              </w:rPr>
            </w:pPr>
            <w:r>
              <w:rPr>
                <w:rFonts w:ascii="Arial" w:eastAsia="宋体" w:hAnsi="Arial" w:cs="Arial"/>
                <w:sz w:val="20"/>
                <w:szCs w:val="20"/>
              </w:rPr>
              <w:t>Item 6.</w:t>
            </w:r>
          </w:p>
        </w:tc>
        <w:tc>
          <w:tcPr>
            <w:tcW w:w="0" w:type="auto"/>
            <w:shd w:val="clear" w:color="auto" w:fill="auto"/>
            <w:tcMar>
              <w:top w:w="40" w:type="dxa"/>
              <w:left w:w="40" w:type="dxa"/>
              <w:bottom w:w="40" w:type="dxa"/>
              <w:right w:w="40" w:type="dxa"/>
            </w:tcMar>
          </w:tcPr>
          <w:p w14:paraId="0BC9761E" w14:textId="77777777" w:rsidR="009F0928" w:rsidRDefault="002112BD">
            <w:pPr>
              <w:textAlignment w:val="top"/>
              <w:rPr>
                <w:rFonts w:ascii="Times New Roman" w:hAnsi="Times New Roman"/>
                <w:sz w:val="20"/>
                <w:szCs w:val="20"/>
              </w:rPr>
            </w:pPr>
            <w:r>
              <w:rPr>
                <w:rFonts w:ascii="Arial" w:eastAsia="宋体" w:hAnsi="Arial" w:cs="Arial"/>
                <w:sz w:val="20"/>
                <w:szCs w:val="20"/>
              </w:rPr>
              <w:t>Selected Financial Data</w:t>
            </w:r>
          </w:p>
        </w:tc>
        <w:tc>
          <w:tcPr>
            <w:tcW w:w="0" w:type="auto"/>
            <w:shd w:val="clear" w:color="auto" w:fill="auto"/>
            <w:tcMar>
              <w:top w:w="40" w:type="dxa"/>
              <w:left w:w="40" w:type="dxa"/>
              <w:bottom w:w="40" w:type="dxa"/>
              <w:right w:w="40" w:type="dxa"/>
            </w:tcMar>
          </w:tcPr>
          <w:p w14:paraId="0BC9761F" w14:textId="77777777" w:rsidR="009F0928" w:rsidRDefault="002112BD">
            <w:pPr>
              <w:jc w:val="right"/>
              <w:textAlignment w:val="top"/>
              <w:rPr>
                <w:rFonts w:ascii="Times New Roman" w:hAnsi="Times New Roman"/>
                <w:sz w:val="20"/>
                <w:szCs w:val="20"/>
              </w:rPr>
            </w:pPr>
            <w:hyperlink r:id="rId14" w:anchor="sE27DC9CFF84E585BA87C0289E0D89347" w:history="1">
              <w:r>
                <w:rPr>
                  <w:rStyle w:val="a5"/>
                  <w:rFonts w:ascii="Arial" w:eastAsia="宋体" w:hAnsi="Arial" w:cs="Arial"/>
                  <w:sz w:val="20"/>
                  <w:szCs w:val="20"/>
                </w:rPr>
                <w:t>35</w:t>
              </w:r>
            </w:hyperlink>
          </w:p>
        </w:tc>
      </w:tr>
      <w:tr w:rsidR="009F0928" w14:paraId="0BC97624" w14:textId="77777777">
        <w:trPr>
          <w:jc w:val="center"/>
        </w:trPr>
        <w:tc>
          <w:tcPr>
            <w:tcW w:w="0" w:type="auto"/>
            <w:shd w:val="clear" w:color="auto" w:fill="auto"/>
            <w:tcMar>
              <w:top w:w="40" w:type="dxa"/>
              <w:left w:w="40" w:type="dxa"/>
              <w:bottom w:w="40" w:type="dxa"/>
              <w:right w:w="40" w:type="dxa"/>
            </w:tcMar>
          </w:tcPr>
          <w:p w14:paraId="0BC97621" w14:textId="77777777" w:rsidR="009F0928" w:rsidRDefault="002112BD">
            <w:pPr>
              <w:textAlignment w:val="top"/>
              <w:rPr>
                <w:rFonts w:ascii="Times New Roman" w:hAnsi="Times New Roman"/>
                <w:sz w:val="20"/>
                <w:szCs w:val="20"/>
              </w:rPr>
            </w:pPr>
            <w:r>
              <w:rPr>
                <w:rFonts w:ascii="Arial" w:eastAsia="宋体" w:hAnsi="Arial" w:cs="Arial"/>
                <w:sz w:val="20"/>
                <w:szCs w:val="20"/>
              </w:rPr>
              <w:t>Item 7.</w:t>
            </w:r>
          </w:p>
        </w:tc>
        <w:tc>
          <w:tcPr>
            <w:tcW w:w="0" w:type="auto"/>
            <w:shd w:val="clear" w:color="auto" w:fill="auto"/>
            <w:tcMar>
              <w:top w:w="40" w:type="dxa"/>
              <w:left w:w="40" w:type="dxa"/>
              <w:bottom w:w="40" w:type="dxa"/>
              <w:right w:w="40" w:type="dxa"/>
            </w:tcMar>
          </w:tcPr>
          <w:p w14:paraId="0BC97622" w14:textId="77777777" w:rsidR="009F0928" w:rsidRDefault="002112BD">
            <w:pPr>
              <w:textAlignment w:val="top"/>
              <w:rPr>
                <w:rFonts w:ascii="Times New Roman" w:hAnsi="Times New Roman"/>
                <w:sz w:val="20"/>
                <w:szCs w:val="20"/>
              </w:rPr>
            </w:pPr>
            <w:r>
              <w:rPr>
                <w:rFonts w:ascii="Arial" w:eastAsia="宋体" w:hAnsi="Arial" w:cs="Arial"/>
                <w:sz w:val="20"/>
                <w:szCs w:val="20"/>
              </w:rPr>
              <w:t>Management’s Discussion and Analysis of Financial Condition and Results of Operations</w:t>
            </w:r>
          </w:p>
        </w:tc>
        <w:tc>
          <w:tcPr>
            <w:tcW w:w="0" w:type="auto"/>
            <w:shd w:val="clear" w:color="auto" w:fill="auto"/>
            <w:tcMar>
              <w:top w:w="40" w:type="dxa"/>
              <w:left w:w="40" w:type="dxa"/>
              <w:bottom w:w="40" w:type="dxa"/>
              <w:right w:w="40" w:type="dxa"/>
            </w:tcMar>
          </w:tcPr>
          <w:p w14:paraId="0BC97623" w14:textId="77777777" w:rsidR="009F0928" w:rsidRDefault="002112BD">
            <w:pPr>
              <w:jc w:val="right"/>
              <w:textAlignment w:val="top"/>
              <w:rPr>
                <w:rFonts w:ascii="Times New Roman" w:hAnsi="Times New Roman"/>
                <w:sz w:val="20"/>
                <w:szCs w:val="20"/>
              </w:rPr>
            </w:pPr>
            <w:hyperlink r:id="rId15" w:anchor="s067BB45737CF528C95E2A39D3F24FE4E" w:history="1">
              <w:r>
                <w:rPr>
                  <w:rStyle w:val="a5"/>
                  <w:rFonts w:ascii="Arial" w:eastAsia="宋体" w:hAnsi="Arial" w:cs="Arial"/>
                  <w:sz w:val="20"/>
                  <w:szCs w:val="20"/>
                </w:rPr>
                <w:t>37</w:t>
              </w:r>
            </w:hyperlink>
          </w:p>
        </w:tc>
      </w:tr>
      <w:tr w:rsidR="009F0928" w14:paraId="0BC97628" w14:textId="77777777">
        <w:trPr>
          <w:jc w:val="center"/>
        </w:trPr>
        <w:tc>
          <w:tcPr>
            <w:tcW w:w="0" w:type="auto"/>
            <w:shd w:val="clear" w:color="auto" w:fill="auto"/>
            <w:tcMar>
              <w:top w:w="40" w:type="dxa"/>
              <w:left w:w="40" w:type="dxa"/>
              <w:bottom w:w="40" w:type="dxa"/>
              <w:right w:w="40" w:type="dxa"/>
            </w:tcMar>
          </w:tcPr>
          <w:p w14:paraId="0BC97625" w14:textId="77777777" w:rsidR="009F0928" w:rsidRDefault="002112BD">
            <w:pPr>
              <w:textAlignment w:val="top"/>
              <w:rPr>
                <w:rFonts w:ascii="Times New Roman" w:hAnsi="Times New Roman"/>
                <w:sz w:val="20"/>
                <w:szCs w:val="20"/>
              </w:rPr>
            </w:pPr>
            <w:r>
              <w:rPr>
                <w:rFonts w:ascii="Arial" w:eastAsia="宋体" w:hAnsi="Arial" w:cs="Arial"/>
                <w:sz w:val="20"/>
                <w:szCs w:val="20"/>
              </w:rPr>
              <w:t>Item 7A.</w:t>
            </w:r>
          </w:p>
        </w:tc>
        <w:tc>
          <w:tcPr>
            <w:tcW w:w="0" w:type="auto"/>
            <w:shd w:val="clear" w:color="auto" w:fill="auto"/>
            <w:tcMar>
              <w:top w:w="40" w:type="dxa"/>
              <w:left w:w="40" w:type="dxa"/>
              <w:bottom w:w="40" w:type="dxa"/>
              <w:right w:w="40" w:type="dxa"/>
            </w:tcMar>
          </w:tcPr>
          <w:p w14:paraId="0BC97626" w14:textId="77777777" w:rsidR="009F0928" w:rsidRDefault="002112BD">
            <w:pPr>
              <w:textAlignment w:val="top"/>
              <w:rPr>
                <w:rFonts w:ascii="Times New Roman" w:hAnsi="Times New Roman"/>
                <w:sz w:val="20"/>
                <w:szCs w:val="20"/>
              </w:rPr>
            </w:pPr>
            <w:r>
              <w:rPr>
                <w:rFonts w:ascii="Arial" w:eastAsia="宋体" w:hAnsi="Arial" w:cs="Arial"/>
                <w:sz w:val="20"/>
                <w:szCs w:val="20"/>
              </w:rPr>
              <w:t>Quantitative and Qualitative Disclosures About Market Risk</w:t>
            </w:r>
          </w:p>
        </w:tc>
        <w:tc>
          <w:tcPr>
            <w:tcW w:w="0" w:type="auto"/>
            <w:shd w:val="clear" w:color="auto" w:fill="auto"/>
            <w:tcMar>
              <w:top w:w="40" w:type="dxa"/>
              <w:left w:w="40" w:type="dxa"/>
              <w:bottom w:w="40" w:type="dxa"/>
              <w:right w:w="40" w:type="dxa"/>
            </w:tcMar>
          </w:tcPr>
          <w:p w14:paraId="0BC97627" w14:textId="77777777" w:rsidR="009F0928" w:rsidRDefault="002112BD">
            <w:pPr>
              <w:jc w:val="right"/>
              <w:textAlignment w:val="top"/>
              <w:rPr>
                <w:rFonts w:ascii="Times New Roman" w:hAnsi="Times New Roman"/>
                <w:sz w:val="20"/>
                <w:szCs w:val="20"/>
              </w:rPr>
            </w:pPr>
            <w:hyperlink r:id="rId16" w:anchor="sC744181B920E5931B3ED2EC01B09D2FD" w:history="1">
              <w:r>
                <w:rPr>
                  <w:rStyle w:val="a5"/>
                  <w:rFonts w:ascii="Arial" w:eastAsia="宋体" w:hAnsi="Arial" w:cs="Arial"/>
                  <w:sz w:val="20"/>
                  <w:szCs w:val="20"/>
                </w:rPr>
                <w:t>57</w:t>
              </w:r>
            </w:hyperlink>
          </w:p>
        </w:tc>
      </w:tr>
      <w:tr w:rsidR="009F0928" w14:paraId="0BC9762C" w14:textId="77777777">
        <w:trPr>
          <w:jc w:val="center"/>
        </w:trPr>
        <w:tc>
          <w:tcPr>
            <w:tcW w:w="0" w:type="auto"/>
            <w:shd w:val="clear" w:color="auto" w:fill="auto"/>
            <w:tcMar>
              <w:top w:w="40" w:type="dxa"/>
              <w:left w:w="40" w:type="dxa"/>
              <w:bottom w:w="40" w:type="dxa"/>
              <w:right w:w="40" w:type="dxa"/>
            </w:tcMar>
          </w:tcPr>
          <w:p w14:paraId="0BC97629" w14:textId="77777777" w:rsidR="009F0928" w:rsidRDefault="002112BD">
            <w:pPr>
              <w:textAlignment w:val="top"/>
              <w:rPr>
                <w:rFonts w:ascii="Times New Roman" w:hAnsi="Times New Roman"/>
                <w:sz w:val="20"/>
                <w:szCs w:val="20"/>
              </w:rPr>
            </w:pPr>
            <w:r>
              <w:rPr>
                <w:rFonts w:ascii="Arial" w:eastAsia="宋体" w:hAnsi="Arial" w:cs="Arial"/>
                <w:sz w:val="20"/>
                <w:szCs w:val="20"/>
              </w:rPr>
              <w:t>Item 8.</w:t>
            </w:r>
          </w:p>
        </w:tc>
        <w:tc>
          <w:tcPr>
            <w:tcW w:w="0" w:type="auto"/>
            <w:shd w:val="clear" w:color="auto" w:fill="auto"/>
            <w:tcMar>
              <w:top w:w="40" w:type="dxa"/>
              <w:left w:w="40" w:type="dxa"/>
              <w:bottom w:w="40" w:type="dxa"/>
              <w:right w:w="40" w:type="dxa"/>
            </w:tcMar>
          </w:tcPr>
          <w:p w14:paraId="0BC9762A" w14:textId="77777777" w:rsidR="009F0928" w:rsidRDefault="002112BD">
            <w:pPr>
              <w:textAlignment w:val="top"/>
              <w:rPr>
                <w:rFonts w:ascii="Times New Roman" w:hAnsi="Times New Roman"/>
                <w:sz w:val="20"/>
                <w:szCs w:val="20"/>
              </w:rPr>
            </w:pPr>
            <w:r>
              <w:rPr>
                <w:rFonts w:ascii="Arial" w:eastAsia="宋体" w:hAnsi="Arial" w:cs="Arial"/>
                <w:sz w:val="20"/>
                <w:szCs w:val="20"/>
              </w:rPr>
              <w:t>Financial Statements and Supplementary Data</w:t>
            </w:r>
          </w:p>
        </w:tc>
        <w:tc>
          <w:tcPr>
            <w:tcW w:w="0" w:type="auto"/>
            <w:shd w:val="clear" w:color="auto" w:fill="auto"/>
            <w:tcMar>
              <w:top w:w="40" w:type="dxa"/>
              <w:left w:w="40" w:type="dxa"/>
              <w:bottom w:w="40" w:type="dxa"/>
              <w:right w:w="40" w:type="dxa"/>
            </w:tcMar>
          </w:tcPr>
          <w:p w14:paraId="0BC9762B" w14:textId="77777777" w:rsidR="009F0928" w:rsidRDefault="002112BD">
            <w:pPr>
              <w:jc w:val="right"/>
              <w:textAlignment w:val="top"/>
              <w:rPr>
                <w:rFonts w:ascii="Times New Roman" w:hAnsi="Times New Roman"/>
                <w:sz w:val="20"/>
                <w:szCs w:val="20"/>
              </w:rPr>
            </w:pPr>
            <w:hyperlink r:id="rId17" w:anchor="s8B06C3612AEC50378158BBC7DE0666E0" w:history="1">
              <w:r>
                <w:rPr>
                  <w:rStyle w:val="a5"/>
                  <w:rFonts w:ascii="Arial" w:eastAsia="宋体" w:hAnsi="Arial" w:cs="Arial"/>
                  <w:sz w:val="20"/>
                  <w:szCs w:val="20"/>
                </w:rPr>
                <w:t>59</w:t>
              </w:r>
            </w:hyperlink>
          </w:p>
        </w:tc>
      </w:tr>
      <w:tr w:rsidR="009F0928" w14:paraId="0BC97630" w14:textId="77777777">
        <w:trPr>
          <w:jc w:val="center"/>
        </w:trPr>
        <w:tc>
          <w:tcPr>
            <w:tcW w:w="0" w:type="auto"/>
            <w:shd w:val="clear" w:color="auto" w:fill="auto"/>
            <w:tcMar>
              <w:top w:w="40" w:type="dxa"/>
              <w:left w:w="40" w:type="dxa"/>
              <w:bottom w:w="40" w:type="dxa"/>
              <w:right w:w="40" w:type="dxa"/>
            </w:tcMar>
          </w:tcPr>
          <w:p w14:paraId="0BC9762D" w14:textId="77777777" w:rsidR="009F0928" w:rsidRDefault="002112BD">
            <w:pPr>
              <w:textAlignment w:val="top"/>
              <w:rPr>
                <w:rFonts w:ascii="Times New Roman" w:hAnsi="Times New Roman"/>
                <w:sz w:val="20"/>
                <w:szCs w:val="20"/>
              </w:rPr>
            </w:pPr>
            <w:r>
              <w:rPr>
                <w:rFonts w:ascii="Arial" w:eastAsia="宋体" w:hAnsi="Arial" w:cs="Arial"/>
                <w:sz w:val="20"/>
                <w:szCs w:val="20"/>
              </w:rPr>
              <w:t>Item 9.</w:t>
            </w:r>
          </w:p>
        </w:tc>
        <w:tc>
          <w:tcPr>
            <w:tcW w:w="0" w:type="auto"/>
            <w:shd w:val="clear" w:color="auto" w:fill="auto"/>
            <w:tcMar>
              <w:top w:w="40" w:type="dxa"/>
              <w:left w:w="40" w:type="dxa"/>
              <w:bottom w:w="40" w:type="dxa"/>
              <w:right w:w="40" w:type="dxa"/>
            </w:tcMar>
          </w:tcPr>
          <w:p w14:paraId="0BC9762E" w14:textId="77777777" w:rsidR="009F0928" w:rsidRDefault="002112BD">
            <w:pPr>
              <w:textAlignment w:val="top"/>
              <w:rPr>
                <w:rFonts w:ascii="Times New Roman" w:hAnsi="Times New Roman"/>
                <w:sz w:val="20"/>
                <w:szCs w:val="20"/>
              </w:rPr>
            </w:pPr>
            <w:r>
              <w:rPr>
                <w:rFonts w:ascii="Arial" w:eastAsia="宋体" w:hAnsi="Arial" w:cs="Arial"/>
                <w:sz w:val="20"/>
                <w:szCs w:val="20"/>
              </w:rPr>
              <w:t>Changes in and Disagreements With Accountants on Accounting and Financial Disclosure</w:t>
            </w:r>
          </w:p>
        </w:tc>
        <w:tc>
          <w:tcPr>
            <w:tcW w:w="0" w:type="auto"/>
            <w:shd w:val="clear" w:color="auto" w:fill="auto"/>
            <w:tcMar>
              <w:top w:w="40" w:type="dxa"/>
              <w:left w:w="40" w:type="dxa"/>
              <w:bottom w:w="40" w:type="dxa"/>
              <w:right w:w="40" w:type="dxa"/>
            </w:tcMar>
          </w:tcPr>
          <w:p w14:paraId="0BC9762F" w14:textId="77777777" w:rsidR="009F0928" w:rsidRDefault="002112BD">
            <w:pPr>
              <w:jc w:val="right"/>
              <w:textAlignment w:val="top"/>
              <w:rPr>
                <w:rFonts w:ascii="Times New Roman" w:hAnsi="Times New Roman"/>
                <w:sz w:val="20"/>
                <w:szCs w:val="20"/>
              </w:rPr>
            </w:pPr>
            <w:hyperlink r:id="rId18" w:anchor="s83154FFE9835578498C36136E2B28BBD" w:history="1">
              <w:r>
                <w:rPr>
                  <w:rStyle w:val="a5"/>
                  <w:rFonts w:ascii="Arial" w:eastAsia="宋体" w:hAnsi="Arial" w:cs="Arial"/>
                  <w:sz w:val="20"/>
                  <w:szCs w:val="20"/>
                </w:rPr>
                <w:t>59</w:t>
              </w:r>
            </w:hyperlink>
          </w:p>
        </w:tc>
      </w:tr>
      <w:tr w:rsidR="009F0928" w14:paraId="0BC97634" w14:textId="77777777">
        <w:trPr>
          <w:jc w:val="center"/>
        </w:trPr>
        <w:tc>
          <w:tcPr>
            <w:tcW w:w="0" w:type="auto"/>
            <w:shd w:val="clear" w:color="auto" w:fill="auto"/>
            <w:tcMar>
              <w:top w:w="40" w:type="dxa"/>
              <w:left w:w="40" w:type="dxa"/>
              <w:bottom w:w="40" w:type="dxa"/>
              <w:right w:w="40" w:type="dxa"/>
            </w:tcMar>
          </w:tcPr>
          <w:p w14:paraId="0BC97631" w14:textId="77777777" w:rsidR="009F0928" w:rsidRDefault="002112BD">
            <w:pPr>
              <w:textAlignment w:val="top"/>
              <w:rPr>
                <w:rFonts w:ascii="Times New Roman" w:hAnsi="Times New Roman"/>
                <w:sz w:val="20"/>
                <w:szCs w:val="20"/>
              </w:rPr>
            </w:pPr>
            <w:r>
              <w:rPr>
                <w:rFonts w:ascii="Arial" w:eastAsia="宋体" w:hAnsi="Arial" w:cs="Arial"/>
                <w:sz w:val="20"/>
                <w:szCs w:val="20"/>
              </w:rPr>
              <w:t>Item 9A.</w:t>
            </w:r>
          </w:p>
        </w:tc>
        <w:tc>
          <w:tcPr>
            <w:tcW w:w="0" w:type="auto"/>
            <w:shd w:val="clear" w:color="auto" w:fill="auto"/>
            <w:tcMar>
              <w:top w:w="40" w:type="dxa"/>
              <w:left w:w="40" w:type="dxa"/>
              <w:bottom w:w="40" w:type="dxa"/>
              <w:right w:w="40" w:type="dxa"/>
            </w:tcMar>
          </w:tcPr>
          <w:p w14:paraId="0BC97632" w14:textId="77777777" w:rsidR="009F0928" w:rsidRDefault="002112BD">
            <w:pPr>
              <w:textAlignment w:val="top"/>
              <w:rPr>
                <w:rFonts w:ascii="Times New Roman" w:hAnsi="Times New Roman"/>
                <w:sz w:val="20"/>
                <w:szCs w:val="20"/>
              </w:rPr>
            </w:pPr>
            <w:r>
              <w:rPr>
                <w:rFonts w:ascii="Arial" w:eastAsia="宋体" w:hAnsi="Arial" w:cs="Arial"/>
                <w:sz w:val="20"/>
                <w:szCs w:val="20"/>
              </w:rPr>
              <w:t>Controls and Procedures</w:t>
            </w:r>
          </w:p>
        </w:tc>
        <w:tc>
          <w:tcPr>
            <w:tcW w:w="0" w:type="auto"/>
            <w:shd w:val="clear" w:color="auto" w:fill="auto"/>
            <w:tcMar>
              <w:top w:w="40" w:type="dxa"/>
              <w:left w:w="40" w:type="dxa"/>
              <w:bottom w:w="40" w:type="dxa"/>
              <w:right w:w="40" w:type="dxa"/>
            </w:tcMar>
          </w:tcPr>
          <w:p w14:paraId="0BC97633" w14:textId="77777777" w:rsidR="009F0928" w:rsidRDefault="002112BD">
            <w:pPr>
              <w:jc w:val="right"/>
              <w:textAlignment w:val="top"/>
              <w:rPr>
                <w:rFonts w:ascii="Times New Roman" w:hAnsi="Times New Roman"/>
                <w:sz w:val="20"/>
                <w:szCs w:val="20"/>
              </w:rPr>
            </w:pPr>
            <w:hyperlink r:id="rId19" w:anchor="s7FC3B2C34499554792675B64EC2FBBEB" w:history="1">
              <w:r>
                <w:rPr>
                  <w:rStyle w:val="a5"/>
                  <w:rFonts w:ascii="Arial" w:eastAsia="宋体" w:hAnsi="Arial" w:cs="Arial"/>
                  <w:sz w:val="20"/>
                  <w:szCs w:val="20"/>
                </w:rPr>
                <w:t>59</w:t>
              </w:r>
            </w:hyperlink>
          </w:p>
        </w:tc>
      </w:tr>
      <w:tr w:rsidR="009F0928" w14:paraId="0BC97638" w14:textId="77777777">
        <w:trPr>
          <w:jc w:val="center"/>
        </w:trPr>
        <w:tc>
          <w:tcPr>
            <w:tcW w:w="0" w:type="auto"/>
            <w:shd w:val="clear" w:color="auto" w:fill="auto"/>
            <w:tcMar>
              <w:top w:w="40" w:type="dxa"/>
              <w:left w:w="40" w:type="dxa"/>
              <w:bottom w:w="40" w:type="dxa"/>
              <w:right w:w="40" w:type="dxa"/>
            </w:tcMar>
          </w:tcPr>
          <w:p w14:paraId="0BC97635" w14:textId="77777777" w:rsidR="009F0928" w:rsidRDefault="002112BD">
            <w:pPr>
              <w:textAlignment w:val="top"/>
              <w:rPr>
                <w:rFonts w:ascii="Times New Roman" w:hAnsi="Times New Roman"/>
                <w:sz w:val="20"/>
                <w:szCs w:val="20"/>
              </w:rPr>
            </w:pPr>
            <w:r>
              <w:rPr>
                <w:rFonts w:ascii="Arial" w:eastAsia="宋体" w:hAnsi="Arial" w:cs="Arial"/>
                <w:sz w:val="20"/>
                <w:szCs w:val="20"/>
              </w:rPr>
              <w:t>Item 9B.</w:t>
            </w:r>
          </w:p>
        </w:tc>
        <w:tc>
          <w:tcPr>
            <w:tcW w:w="0" w:type="auto"/>
            <w:shd w:val="clear" w:color="auto" w:fill="auto"/>
            <w:tcMar>
              <w:top w:w="40" w:type="dxa"/>
              <w:left w:w="40" w:type="dxa"/>
              <w:bottom w:w="40" w:type="dxa"/>
              <w:right w:w="40" w:type="dxa"/>
            </w:tcMar>
          </w:tcPr>
          <w:p w14:paraId="0BC97636" w14:textId="77777777" w:rsidR="009F0928" w:rsidRDefault="002112BD">
            <w:pPr>
              <w:textAlignment w:val="top"/>
              <w:rPr>
                <w:rFonts w:ascii="Times New Roman" w:hAnsi="Times New Roman"/>
                <w:sz w:val="20"/>
                <w:szCs w:val="20"/>
              </w:rPr>
            </w:pPr>
            <w:r>
              <w:rPr>
                <w:rFonts w:ascii="Arial" w:eastAsia="宋体" w:hAnsi="Arial" w:cs="Arial"/>
                <w:sz w:val="20"/>
                <w:szCs w:val="20"/>
              </w:rPr>
              <w:t>Other Information</w:t>
            </w:r>
          </w:p>
        </w:tc>
        <w:tc>
          <w:tcPr>
            <w:tcW w:w="0" w:type="auto"/>
            <w:shd w:val="clear" w:color="auto" w:fill="auto"/>
            <w:tcMar>
              <w:top w:w="40" w:type="dxa"/>
              <w:left w:w="40" w:type="dxa"/>
              <w:bottom w:w="40" w:type="dxa"/>
              <w:right w:w="40" w:type="dxa"/>
            </w:tcMar>
          </w:tcPr>
          <w:p w14:paraId="0BC97637" w14:textId="77777777" w:rsidR="009F0928" w:rsidRDefault="002112BD">
            <w:pPr>
              <w:jc w:val="right"/>
              <w:textAlignment w:val="top"/>
              <w:rPr>
                <w:rFonts w:ascii="Times New Roman" w:hAnsi="Times New Roman"/>
                <w:sz w:val="20"/>
                <w:szCs w:val="20"/>
              </w:rPr>
            </w:pPr>
            <w:hyperlink r:id="rId20" w:anchor="s141CC3D2A281550295EFA11FF8422D37" w:history="1">
              <w:r>
                <w:rPr>
                  <w:rStyle w:val="a5"/>
                  <w:rFonts w:ascii="Arial" w:eastAsia="宋体" w:hAnsi="Arial" w:cs="Arial"/>
                  <w:sz w:val="20"/>
                  <w:szCs w:val="20"/>
                </w:rPr>
                <w:t>59</w:t>
              </w:r>
            </w:hyperlink>
          </w:p>
        </w:tc>
      </w:tr>
      <w:tr w:rsidR="009F0928" w14:paraId="0BC9763A" w14:textId="77777777">
        <w:trPr>
          <w:jc w:val="center"/>
        </w:trPr>
        <w:tc>
          <w:tcPr>
            <w:tcW w:w="0" w:type="auto"/>
            <w:gridSpan w:val="3"/>
            <w:shd w:val="clear" w:color="auto" w:fill="auto"/>
            <w:tcMar>
              <w:top w:w="40" w:type="dxa"/>
              <w:left w:w="40" w:type="dxa"/>
              <w:bottom w:w="40" w:type="dxa"/>
              <w:right w:w="40" w:type="dxa"/>
            </w:tcMar>
          </w:tcPr>
          <w:p w14:paraId="0BC97639" w14:textId="77777777" w:rsidR="009F0928" w:rsidRDefault="002112BD">
            <w:pPr>
              <w:jc w:val="center"/>
              <w:textAlignment w:val="top"/>
              <w:rPr>
                <w:rFonts w:ascii="Times New Roman" w:hAnsi="Times New Roman"/>
                <w:sz w:val="20"/>
                <w:szCs w:val="20"/>
              </w:rPr>
            </w:pPr>
            <w:r>
              <w:rPr>
                <w:rFonts w:ascii="Arial" w:eastAsia="宋体" w:hAnsi="Arial" w:cs="Arial"/>
                <w:b/>
                <w:bCs/>
                <w:sz w:val="20"/>
                <w:szCs w:val="20"/>
              </w:rPr>
              <w:t>Part III</w:t>
            </w:r>
          </w:p>
        </w:tc>
      </w:tr>
      <w:tr w:rsidR="009F0928" w14:paraId="0BC9763E" w14:textId="77777777">
        <w:trPr>
          <w:jc w:val="center"/>
        </w:trPr>
        <w:tc>
          <w:tcPr>
            <w:tcW w:w="0" w:type="auto"/>
            <w:shd w:val="clear" w:color="auto" w:fill="auto"/>
            <w:tcMar>
              <w:top w:w="40" w:type="dxa"/>
              <w:left w:w="40" w:type="dxa"/>
              <w:bottom w:w="40" w:type="dxa"/>
              <w:right w:w="40" w:type="dxa"/>
            </w:tcMar>
          </w:tcPr>
          <w:p w14:paraId="0BC9763B" w14:textId="77777777" w:rsidR="009F0928" w:rsidRDefault="002112BD">
            <w:pPr>
              <w:textAlignment w:val="top"/>
              <w:rPr>
                <w:rFonts w:ascii="Times New Roman" w:hAnsi="Times New Roman"/>
                <w:sz w:val="20"/>
                <w:szCs w:val="20"/>
              </w:rPr>
            </w:pPr>
            <w:r>
              <w:rPr>
                <w:rFonts w:ascii="Arial" w:eastAsia="宋体" w:hAnsi="Arial" w:cs="Arial"/>
                <w:sz w:val="20"/>
                <w:szCs w:val="20"/>
              </w:rPr>
              <w:t>Item 10.</w:t>
            </w:r>
          </w:p>
        </w:tc>
        <w:tc>
          <w:tcPr>
            <w:tcW w:w="0" w:type="auto"/>
            <w:shd w:val="clear" w:color="auto" w:fill="auto"/>
            <w:tcMar>
              <w:top w:w="40" w:type="dxa"/>
              <w:left w:w="40" w:type="dxa"/>
              <w:bottom w:w="40" w:type="dxa"/>
              <w:right w:w="40" w:type="dxa"/>
            </w:tcMar>
          </w:tcPr>
          <w:p w14:paraId="0BC9763C" w14:textId="77777777" w:rsidR="009F0928" w:rsidRDefault="002112BD">
            <w:pPr>
              <w:textAlignment w:val="top"/>
              <w:rPr>
                <w:rFonts w:ascii="Times New Roman" w:hAnsi="Times New Roman"/>
                <w:sz w:val="20"/>
                <w:szCs w:val="20"/>
              </w:rPr>
            </w:pPr>
            <w:r>
              <w:rPr>
                <w:rFonts w:ascii="Arial" w:eastAsia="宋体" w:hAnsi="Arial" w:cs="Arial"/>
                <w:sz w:val="20"/>
                <w:szCs w:val="20"/>
              </w:rPr>
              <w:t>Directors, Executive Officers and Corporate Governance</w:t>
            </w:r>
          </w:p>
        </w:tc>
        <w:tc>
          <w:tcPr>
            <w:tcW w:w="0" w:type="auto"/>
            <w:shd w:val="clear" w:color="auto" w:fill="auto"/>
            <w:tcMar>
              <w:top w:w="40" w:type="dxa"/>
              <w:left w:w="40" w:type="dxa"/>
              <w:bottom w:w="40" w:type="dxa"/>
              <w:right w:w="40" w:type="dxa"/>
            </w:tcMar>
          </w:tcPr>
          <w:p w14:paraId="0BC9763D" w14:textId="77777777" w:rsidR="009F0928" w:rsidRDefault="002112BD">
            <w:pPr>
              <w:jc w:val="right"/>
              <w:textAlignment w:val="top"/>
              <w:rPr>
                <w:rFonts w:ascii="Times New Roman" w:hAnsi="Times New Roman"/>
                <w:sz w:val="20"/>
                <w:szCs w:val="20"/>
              </w:rPr>
            </w:pPr>
            <w:hyperlink r:id="rId21" w:anchor="s4F9D6A26E0C056DD9C004F8B90066208" w:history="1">
              <w:r>
                <w:rPr>
                  <w:rStyle w:val="a5"/>
                  <w:rFonts w:ascii="Arial" w:eastAsia="宋体" w:hAnsi="Arial" w:cs="Arial"/>
                  <w:sz w:val="20"/>
                  <w:szCs w:val="20"/>
                </w:rPr>
                <w:t>60</w:t>
              </w:r>
            </w:hyperlink>
          </w:p>
        </w:tc>
      </w:tr>
      <w:tr w:rsidR="009F0928" w14:paraId="0BC97642" w14:textId="77777777">
        <w:trPr>
          <w:jc w:val="center"/>
        </w:trPr>
        <w:tc>
          <w:tcPr>
            <w:tcW w:w="0" w:type="auto"/>
            <w:shd w:val="clear" w:color="auto" w:fill="auto"/>
            <w:tcMar>
              <w:top w:w="40" w:type="dxa"/>
              <w:left w:w="40" w:type="dxa"/>
              <w:bottom w:w="40" w:type="dxa"/>
              <w:right w:w="40" w:type="dxa"/>
            </w:tcMar>
          </w:tcPr>
          <w:p w14:paraId="0BC9763F" w14:textId="77777777" w:rsidR="009F0928" w:rsidRDefault="002112BD">
            <w:pPr>
              <w:textAlignment w:val="top"/>
              <w:rPr>
                <w:rFonts w:ascii="Times New Roman" w:hAnsi="Times New Roman"/>
                <w:sz w:val="20"/>
                <w:szCs w:val="20"/>
              </w:rPr>
            </w:pPr>
            <w:r>
              <w:rPr>
                <w:rFonts w:ascii="Arial" w:eastAsia="宋体" w:hAnsi="Arial" w:cs="Arial"/>
                <w:sz w:val="20"/>
                <w:szCs w:val="20"/>
              </w:rPr>
              <w:t>Item 11.</w:t>
            </w:r>
          </w:p>
        </w:tc>
        <w:tc>
          <w:tcPr>
            <w:tcW w:w="0" w:type="auto"/>
            <w:shd w:val="clear" w:color="auto" w:fill="auto"/>
            <w:tcMar>
              <w:top w:w="40" w:type="dxa"/>
              <w:left w:w="40" w:type="dxa"/>
              <w:bottom w:w="40" w:type="dxa"/>
              <w:right w:w="40" w:type="dxa"/>
            </w:tcMar>
          </w:tcPr>
          <w:p w14:paraId="0BC97640" w14:textId="77777777" w:rsidR="009F0928" w:rsidRDefault="002112BD">
            <w:pPr>
              <w:textAlignment w:val="top"/>
              <w:rPr>
                <w:rFonts w:ascii="Times New Roman" w:hAnsi="Times New Roman"/>
                <w:sz w:val="20"/>
                <w:szCs w:val="20"/>
              </w:rPr>
            </w:pPr>
            <w:r>
              <w:rPr>
                <w:rFonts w:ascii="Arial" w:eastAsia="宋体" w:hAnsi="Arial" w:cs="Arial"/>
                <w:sz w:val="20"/>
                <w:szCs w:val="20"/>
              </w:rPr>
              <w:t>Executive Compensation</w:t>
            </w:r>
          </w:p>
        </w:tc>
        <w:tc>
          <w:tcPr>
            <w:tcW w:w="0" w:type="auto"/>
            <w:shd w:val="clear" w:color="auto" w:fill="auto"/>
            <w:tcMar>
              <w:top w:w="40" w:type="dxa"/>
              <w:left w:w="40" w:type="dxa"/>
              <w:bottom w:w="40" w:type="dxa"/>
              <w:right w:w="40" w:type="dxa"/>
            </w:tcMar>
          </w:tcPr>
          <w:p w14:paraId="0BC97641" w14:textId="77777777" w:rsidR="009F0928" w:rsidRDefault="002112BD">
            <w:pPr>
              <w:jc w:val="right"/>
              <w:textAlignment w:val="top"/>
              <w:rPr>
                <w:rFonts w:ascii="Times New Roman" w:hAnsi="Times New Roman"/>
                <w:sz w:val="20"/>
                <w:szCs w:val="20"/>
              </w:rPr>
            </w:pPr>
            <w:hyperlink r:id="rId22" w:anchor="s261D582B9D485E5DA22B1012170FE5AC" w:history="1">
              <w:r>
                <w:rPr>
                  <w:rStyle w:val="a5"/>
                  <w:rFonts w:ascii="Arial" w:eastAsia="宋体" w:hAnsi="Arial" w:cs="Arial"/>
                  <w:sz w:val="20"/>
                  <w:szCs w:val="20"/>
                </w:rPr>
                <w:t>60</w:t>
              </w:r>
            </w:hyperlink>
          </w:p>
        </w:tc>
      </w:tr>
      <w:tr w:rsidR="009F0928" w14:paraId="0BC97646" w14:textId="77777777">
        <w:trPr>
          <w:jc w:val="center"/>
        </w:trPr>
        <w:tc>
          <w:tcPr>
            <w:tcW w:w="0" w:type="auto"/>
            <w:shd w:val="clear" w:color="auto" w:fill="auto"/>
            <w:tcMar>
              <w:top w:w="40" w:type="dxa"/>
              <w:left w:w="40" w:type="dxa"/>
              <w:bottom w:w="40" w:type="dxa"/>
              <w:right w:w="40" w:type="dxa"/>
            </w:tcMar>
          </w:tcPr>
          <w:p w14:paraId="0BC97643" w14:textId="77777777" w:rsidR="009F0928" w:rsidRDefault="002112BD">
            <w:pPr>
              <w:textAlignment w:val="top"/>
              <w:rPr>
                <w:rFonts w:ascii="Times New Roman" w:hAnsi="Times New Roman"/>
                <w:sz w:val="20"/>
                <w:szCs w:val="20"/>
              </w:rPr>
            </w:pPr>
            <w:r>
              <w:rPr>
                <w:rFonts w:ascii="Arial" w:eastAsia="宋体" w:hAnsi="Arial" w:cs="Arial"/>
                <w:sz w:val="20"/>
                <w:szCs w:val="20"/>
              </w:rPr>
              <w:t>Item 12.</w:t>
            </w:r>
          </w:p>
        </w:tc>
        <w:tc>
          <w:tcPr>
            <w:tcW w:w="0" w:type="auto"/>
            <w:shd w:val="clear" w:color="auto" w:fill="auto"/>
            <w:tcMar>
              <w:top w:w="40" w:type="dxa"/>
              <w:left w:w="40" w:type="dxa"/>
              <w:bottom w:w="40" w:type="dxa"/>
              <w:right w:w="40" w:type="dxa"/>
            </w:tcMar>
          </w:tcPr>
          <w:p w14:paraId="0BC97644" w14:textId="77777777" w:rsidR="009F0928" w:rsidRDefault="002112BD">
            <w:pPr>
              <w:textAlignment w:val="top"/>
              <w:rPr>
                <w:rFonts w:ascii="Times New Roman" w:hAnsi="Times New Roman"/>
                <w:sz w:val="20"/>
                <w:szCs w:val="20"/>
              </w:rPr>
            </w:pPr>
            <w:r>
              <w:rPr>
                <w:rFonts w:ascii="Arial" w:eastAsia="宋体" w:hAnsi="Arial" w:cs="Arial"/>
                <w:sz w:val="20"/>
                <w:szCs w:val="20"/>
              </w:rPr>
              <w:t>Security Ownership of Certain Beneficial Owners and Management and Related Stockholder Matters</w:t>
            </w:r>
          </w:p>
        </w:tc>
        <w:tc>
          <w:tcPr>
            <w:tcW w:w="0" w:type="auto"/>
            <w:shd w:val="clear" w:color="auto" w:fill="auto"/>
            <w:tcMar>
              <w:top w:w="40" w:type="dxa"/>
              <w:left w:w="40" w:type="dxa"/>
              <w:bottom w:w="40" w:type="dxa"/>
              <w:right w:w="40" w:type="dxa"/>
            </w:tcMar>
          </w:tcPr>
          <w:p w14:paraId="0BC97645" w14:textId="77777777" w:rsidR="009F0928" w:rsidRDefault="002112BD">
            <w:pPr>
              <w:jc w:val="right"/>
              <w:textAlignment w:val="top"/>
              <w:rPr>
                <w:rFonts w:ascii="Times New Roman" w:hAnsi="Times New Roman"/>
                <w:sz w:val="20"/>
                <w:szCs w:val="20"/>
              </w:rPr>
            </w:pPr>
            <w:hyperlink r:id="rId23" w:anchor="s311B55F885E459C0B9F483177E0475B5" w:history="1">
              <w:r>
                <w:rPr>
                  <w:rStyle w:val="a5"/>
                  <w:rFonts w:ascii="Arial" w:eastAsia="宋体" w:hAnsi="Arial" w:cs="Arial"/>
                  <w:sz w:val="20"/>
                  <w:szCs w:val="20"/>
                </w:rPr>
                <w:t>60</w:t>
              </w:r>
            </w:hyperlink>
          </w:p>
        </w:tc>
      </w:tr>
      <w:tr w:rsidR="009F0928" w14:paraId="0BC9764A" w14:textId="77777777">
        <w:trPr>
          <w:jc w:val="center"/>
        </w:trPr>
        <w:tc>
          <w:tcPr>
            <w:tcW w:w="0" w:type="auto"/>
            <w:shd w:val="clear" w:color="auto" w:fill="auto"/>
            <w:tcMar>
              <w:top w:w="40" w:type="dxa"/>
              <w:left w:w="40" w:type="dxa"/>
              <w:bottom w:w="40" w:type="dxa"/>
              <w:right w:w="40" w:type="dxa"/>
            </w:tcMar>
          </w:tcPr>
          <w:p w14:paraId="0BC97647" w14:textId="77777777" w:rsidR="009F0928" w:rsidRDefault="002112BD">
            <w:pPr>
              <w:textAlignment w:val="top"/>
              <w:rPr>
                <w:rFonts w:ascii="Times New Roman" w:hAnsi="Times New Roman"/>
                <w:sz w:val="20"/>
                <w:szCs w:val="20"/>
              </w:rPr>
            </w:pPr>
            <w:r>
              <w:rPr>
                <w:rFonts w:ascii="Arial" w:eastAsia="宋体" w:hAnsi="Arial" w:cs="Arial"/>
                <w:sz w:val="20"/>
                <w:szCs w:val="20"/>
              </w:rPr>
              <w:t xml:space="preserve">Item 13. </w:t>
            </w:r>
          </w:p>
        </w:tc>
        <w:tc>
          <w:tcPr>
            <w:tcW w:w="0" w:type="auto"/>
            <w:shd w:val="clear" w:color="auto" w:fill="auto"/>
            <w:tcMar>
              <w:top w:w="40" w:type="dxa"/>
              <w:left w:w="40" w:type="dxa"/>
              <w:bottom w:w="40" w:type="dxa"/>
              <w:right w:w="40" w:type="dxa"/>
            </w:tcMar>
          </w:tcPr>
          <w:p w14:paraId="0BC97648" w14:textId="77777777" w:rsidR="009F0928" w:rsidRDefault="002112BD">
            <w:pPr>
              <w:textAlignment w:val="top"/>
              <w:rPr>
                <w:rFonts w:ascii="Times New Roman" w:hAnsi="Times New Roman"/>
                <w:sz w:val="20"/>
                <w:szCs w:val="20"/>
              </w:rPr>
            </w:pPr>
            <w:r>
              <w:rPr>
                <w:rFonts w:ascii="Arial" w:eastAsia="宋体" w:hAnsi="Arial" w:cs="Arial"/>
                <w:sz w:val="20"/>
                <w:szCs w:val="20"/>
              </w:rPr>
              <w:t>Certain Relationships and Related Transactions, and Director Independence</w:t>
            </w:r>
          </w:p>
        </w:tc>
        <w:tc>
          <w:tcPr>
            <w:tcW w:w="0" w:type="auto"/>
            <w:shd w:val="clear" w:color="auto" w:fill="auto"/>
            <w:tcMar>
              <w:top w:w="40" w:type="dxa"/>
              <w:left w:w="40" w:type="dxa"/>
              <w:bottom w:w="40" w:type="dxa"/>
              <w:right w:w="40" w:type="dxa"/>
            </w:tcMar>
          </w:tcPr>
          <w:p w14:paraId="0BC97649" w14:textId="77777777" w:rsidR="009F0928" w:rsidRDefault="002112BD">
            <w:pPr>
              <w:jc w:val="right"/>
              <w:textAlignment w:val="top"/>
              <w:rPr>
                <w:rFonts w:ascii="Times New Roman" w:hAnsi="Times New Roman"/>
                <w:sz w:val="20"/>
                <w:szCs w:val="20"/>
              </w:rPr>
            </w:pPr>
            <w:hyperlink r:id="rId24" w:anchor="s7CC0CB11B1F856ECAC040AEBD3196F83" w:history="1">
              <w:r>
                <w:rPr>
                  <w:rStyle w:val="a5"/>
                  <w:rFonts w:ascii="Arial" w:eastAsia="宋体" w:hAnsi="Arial" w:cs="Arial"/>
                  <w:sz w:val="20"/>
                  <w:szCs w:val="20"/>
                </w:rPr>
                <w:t>60</w:t>
              </w:r>
            </w:hyperlink>
          </w:p>
        </w:tc>
      </w:tr>
      <w:tr w:rsidR="009F0928" w14:paraId="0BC9764E" w14:textId="77777777">
        <w:trPr>
          <w:jc w:val="center"/>
        </w:trPr>
        <w:tc>
          <w:tcPr>
            <w:tcW w:w="0" w:type="auto"/>
            <w:shd w:val="clear" w:color="auto" w:fill="auto"/>
            <w:tcMar>
              <w:top w:w="40" w:type="dxa"/>
              <w:left w:w="40" w:type="dxa"/>
              <w:bottom w:w="40" w:type="dxa"/>
              <w:right w:w="40" w:type="dxa"/>
            </w:tcMar>
          </w:tcPr>
          <w:p w14:paraId="0BC9764B" w14:textId="77777777" w:rsidR="009F0928" w:rsidRDefault="002112BD">
            <w:pPr>
              <w:textAlignment w:val="top"/>
              <w:rPr>
                <w:rFonts w:ascii="Times New Roman" w:hAnsi="Times New Roman"/>
                <w:sz w:val="20"/>
                <w:szCs w:val="20"/>
              </w:rPr>
            </w:pPr>
            <w:r>
              <w:rPr>
                <w:rFonts w:ascii="Arial" w:eastAsia="宋体" w:hAnsi="Arial" w:cs="Arial"/>
                <w:sz w:val="20"/>
                <w:szCs w:val="20"/>
              </w:rPr>
              <w:t xml:space="preserve">Item 14. </w:t>
            </w:r>
          </w:p>
        </w:tc>
        <w:tc>
          <w:tcPr>
            <w:tcW w:w="0" w:type="auto"/>
            <w:shd w:val="clear" w:color="auto" w:fill="auto"/>
            <w:tcMar>
              <w:top w:w="40" w:type="dxa"/>
              <w:left w:w="40" w:type="dxa"/>
              <w:bottom w:w="40" w:type="dxa"/>
              <w:right w:w="40" w:type="dxa"/>
            </w:tcMar>
          </w:tcPr>
          <w:p w14:paraId="0BC9764C" w14:textId="77777777" w:rsidR="009F0928" w:rsidRDefault="002112BD">
            <w:pPr>
              <w:textAlignment w:val="top"/>
              <w:rPr>
                <w:rFonts w:ascii="Times New Roman" w:hAnsi="Times New Roman"/>
                <w:sz w:val="20"/>
                <w:szCs w:val="20"/>
              </w:rPr>
            </w:pPr>
            <w:r>
              <w:rPr>
                <w:rFonts w:ascii="Arial" w:eastAsia="宋体" w:hAnsi="Arial" w:cs="Arial"/>
                <w:sz w:val="20"/>
                <w:szCs w:val="20"/>
              </w:rPr>
              <w:t>Principal Accountant Fees and Services</w:t>
            </w:r>
          </w:p>
        </w:tc>
        <w:tc>
          <w:tcPr>
            <w:tcW w:w="0" w:type="auto"/>
            <w:shd w:val="clear" w:color="auto" w:fill="auto"/>
            <w:tcMar>
              <w:top w:w="40" w:type="dxa"/>
              <w:left w:w="40" w:type="dxa"/>
              <w:bottom w:w="40" w:type="dxa"/>
              <w:right w:w="40" w:type="dxa"/>
            </w:tcMar>
          </w:tcPr>
          <w:p w14:paraId="0BC9764D" w14:textId="77777777" w:rsidR="009F0928" w:rsidRDefault="002112BD">
            <w:pPr>
              <w:jc w:val="right"/>
              <w:textAlignment w:val="top"/>
              <w:rPr>
                <w:rFonts w:ascii="Times New Roman" w:hAnsi="Times New Roman"/>
                <w:sz w:val="20"/>
                <w:szCs w:val="20"/>
              </w:rPr>
            </w:pPr>
            <w:hyperlink r:id="rId25" w:anchor="sD4E6DFFC89B65E66835A8171126A99DA" w:history="1">
              <w:r>
                <w:rPr>
                  <w:rStyle w:val="a5"/>
                  <w:rFonts w:ascii="Arial" w:eastAsia="宋体" w:hAnsi="Arial" w:cs="Arial"/>
                  <w:sz w:val="20"/>
                  <w:szCs w:val="20"/>
                </w:rPr>
                <w:t>60</w:t>
              </w:r>
            </w:hyperlink>
          </w:p>
        </w:tc>
      </w:tr>
      <w:tr w:rsidR="009F0928" w14:paraId="0BC97650" w14:textId="77777777">
        <w:trPr>
          <w:jc w:val="center"/>
        </w:trPr>
        <w:tc>
          <w:tcPr>
            <w:tcW w:w="0" w:type="auto"/>
            <w:gridSpan w:val="3"/>
            <w:shd w:val="clear" w:color="auto" w:fill="auto"/>
            <w:tcMar>
              <w:top w:w="40" w:type="dxa"/>
              <w:left w:w="40" w:type="dxa"/>
              <w:bottom w:w="40" w:type="dxa"/>
              <w:right w:w="40" w:type="dxa"/>
            </w:tcMar>
          </w:tcPr>
          <w:p w14:paraId="0BC9764F" w14:textId="77777777" w:rsidR="009F0928" w:rsidRDefault="002112BD">
            <w:pPr>
              <w:jc w:val="center"/>
              <w:textAlignment w:val="top"/>
              <w:rPr>
                <w:rFonts w:ascii="Times New Roman" w:hAnsi="Times New Roman"/>
                <w:sz w:val="20"/>
                <w:szCs w:val="20"/>
              </w:rPr>
            </w:pPr>
            <w:r>
              <w:rPr>
                <w:rFonts w:ascii="Arial" w:eastAsia="宋体" w:hAnsi="Arial" w:cs="Arial"/>
                <w:b/>
                <w:bCs/>
                <w:sz w:val="20"/>
                <w:szCs w:val="20"/>
              </w:rPr>
              <w:t>Part IV</w:t>
            </w:r>
          </w:p>
        </w:tc>
      </w:tr>
      <w:tr w:rsidR="009F0928" w14:paraId="0BC97654" w14:textId="77777777">
        <w:trPr>
          <w:jc w:val="center"/>
        </w:trPr>
        <w:tc>
          <w:tcPr>
            <w:tcW w:w="0" w:type="auto"/>
            <w:shd w:val="clear" w:color="auto" w:fill="auto"/>
            <w:tcMar>
              <w:top w:w="40" w:type="dxa"/>
              <w:left w:w="40" w:type="dxa"/>
              <w:bottom w:w="40" w:type="dxa"/>
              <w:right w:w="40" w:type="dxa"/>
            </w:tcMar>
          </w:tcPr>
          <w:p w14:paraId="0BC97651" w14:textId="77777777" w:rsidR="009F0928" w:rsidRDefault="002112BD">
            <w:pPr>
              <w:textAlignment w:val="top"/>
              <w:rPr>
                <w:rFonts w:ascii="Times New Roman" w:hAnsi="Times New Roman"/>
                <w:sz w:val="20"/>
                <w:szCs w:val="20"/>
              </w:rPr>
            </w:pPr>
            <w:r>
              <w:rPr>
                <w:rFonts w:ascii="Arial" w:eastAsia="宋体" w:hAnsi="Arial" w:cs="Arial"/>
                <w:sz w:val="20"/>
                <w:szCs w:val="20"/>
              </w:rPr>
              <w:t>Item 15.</w:t>
            </w:r>
          </w:p>
        </w:tc>
        <w:tc>
          <w:tcPr>
            <w:tcW w:w="0" w:type="auto"/>
            <w:shd w:val="clear" w:color="auto" w:fill="auto"/>
            <w:tcMar>
              <w:top w:w="40" w:type="dxa"/>
              <w:left w:w="40" w:type="dxa"/>
              <w:bottom w:w="40" w:type="dxa"/>
              <w:right w:w="40" w:type="dxa"/>
            </w:tcMar>
          </w:tcPr>
          <w:p w14:paraId="0BC97652" w14:textId="77777777" w:rsidR="009F0928" w:rsidRDefault="002112BD">
            <w:pPr>
              <w:textAlignment w:val="top"/>
              <w:rPr>
                <w:rFonts w:ascii="Times New Roman" w:hAnsi="Times New Roman"/>
                <w:sz w:val="20"/>
                <w:szCs w:val="20"/>
              </w:rPr>
            </w:pPr>
            <w:r>
              <w:rPr>
                <w:rFonts w:ascii="Arial" w:eastAsia="宋体" w:hAnsi="Arial" w:cs="Arial"/>
                <w:sz w:val="20"/>
                <w:szCs w:val="20"/>
              </w:rPr>
              <w:t>Exhibits and Financial Statement Schedule</w:t>
            </w:r>
          </w:p>
        </w:tc>
        <w:tc>
          <w:tcPr>
            <w:tcW w:w="0" w:type="auto"/>
            <w:shd w:val="clear" w:color="auto" w:fill="auto"/>
            <w:tcMar>
              <w:top w:w="40" w:type="dxa"/>
              <w:left w:w="40" w:type="dxa"/>
              <w:bottom w:w="40" w:type="dxa"/>
              <w:right w:w="40" w:type="dxa"/>
            </w:tcMar>
          </w:tcPr>
          <w:p w14:paraId="0BC97653" w14:textId="77777777" w:rsidR="009F0928" w:rsidRDefault="002112BD">
            <w:pPr>
              <w:jc w:val="right"/>
              <w:textAlignment w:val="top"/>
              <w:rPr>
                <w:rFonts w:ascii="Times New Roman" w:hAnsi="Times New Roman"/>
                <w:sz w:val="20"/>
                <w:szCs w:val="20"/>
              </w:rPr>
            </w:pPr>
            <w:hyperlink r:id="rId26" w:anchor="sC50AA10F6D635857AD2AD7A9D8D57011" w:history="1">
              <w:r>
                <w:rPr>
                  <w:rStyle w:val="a5"/>
                  <w:rFonts w:ascii="Arial" w:eastAsia="宋体" w:hAnsi="Arial" w:cs="Arial"/>
                  <w:sz w:val="20"/>
                  <w:szCs w:val="20"/>
                </w:rPr>
                <w:t>61</w:t>
              </w:r>
            </w:hyperlink>
          </w:p>
        </w:tc>
      </w:tr>
      <w:tr w:rsidR="009F0928" w14:paraId="0BC97658" w14:textId="77777777">
        <w:trPr>
          <w:jc w:val="center"/>
        </w:trPr>
        <w:tc>
          <w:tcPr>
            <w:tcW w:w="0" w:type="auto"/>
            <w:shd w:val="clear" w:color="auto" w:fill="auto"/>
            <w:tcMar>
              <w:top w:w="40" w:type="dxa"/>
              <w:left w:w="40" w:type="dxa"/>
              <w:bottom w:w="40" w:type="dxa"/>
              <w:right w:w="40" w:type="dxa"/>
            </w:tcMar>
          </w:tcPr>
          <w:p w14:paraId="0BC97655" w14:textId="77777777" w:rsidR="009F0928" w:rsidRDefault="002112BD">
            <w:pPr>
              <w:textAlignment w:val="top"/>
              <w:rPr>
                <w:rFonts w:ascii="Times New Roman" w:hAnsi="Times New Roman"/>
                <w:sz w:val="20"/>
                <w:szCs w:val="20"/>
              </w:rPr>
            </w:pPr>
            <w:r>
              <w:rPr>
                <w:rFonts w:ascii="Arial" w:eastAsia="宋体" w:hAnsi="Arial" w:cs="Arial"/>
                <w:sz w:val="20"/>
                <w:szCs w:val="20"/>
              </w:rPr>
              <w:t>Item 16.</w:t>
            </w:r>
          </w:p>
        </w:tc>
        <w:tc>
          <w:tcPr>
            <w:tcW w:w="0" w:type="auto"/>
            <w:shd w:val="clear" w:color="auto" w:fill="auto"/>
            <w:tcMar>
              <w:top w:w="40" w:type="dxa"/>
              <w:left w:w="40" w:type="dxa"/>
              <w:bottom w:w="40" w:type="dxa"/>
              <w:right w:w="40" w:type="dxa"/>
            </w:tcMar>
          </w:tcPr>
          <w:p w14:paraId="0BC97656" w14:textId="77777777" w:rsidR="009F0928" w:rsidRDefault="002112BD">
            <w:pPr>
              <w:textAlignment w:val="top"/>
              <w:rPr>
                <w:rFonts w:ascii="Times New Roman" w:hAnsi="Times New Roman"/>
                <w:sz w:val="20"/>
                <w:szCs w:val="20"/>
              </w:rPr>
            </w:pPr>
            <w:r>
              <w:rPr>
                <w:rFonts w:ascii="Arial" w:eastAsia="宋体" w:hAnsi="Arial" w:cs="Arial"/>
                <w:sz w:val="20"/>
                <w:szCs w:val="20"/>
              </w:rPr>
              <w:t>Form 10-K Summary</w:t>
            </w:r>
          </w:p>
        </w:tc>
        <w:tc>
          <w:tcPr>
            <w:tcW w:w="0" w:type="auto"/>
            <w:shd w:val="clear" w:color="auto" w:fill="auto"/>
            <w:tcMar>
              <w:top w:w="40" w:type="dxa"/>
              <w:left w:w="40" w:type="dxa"/>
              <w:bottom w:w="40" w:type="dxa"/>
              <w:right w:w="40" w:type="dxa"/>
            </w:tcMar>
          </w:tcPr>
          <w:p w14:paraId="0BC97657" w14:textId="77777777" w:rsidR="009F0928" w:rsidRDefault="002112BD">
            <w:pPr>
              <w:jc w:val="right"/>
              <w:textAlignment w:val="top"/>
              <w:rPr>
                <w:rFonts w:ascii="Times New Roman" w:hAnsi="Times New Roman"/>
                <w:sz w:val="20"/>
                <w:szCs w:val="20"/>
              </w:rPr>
            </w:pPr>
            <w:hyperlink r:id="rId27" w:anchor="sC50AA10F6D635857AD2AD7A9D8D57011" w:history="1">
              <w:r>
                <w:rPr>
                  <w:rStyle w:val="a5"/>
                  <w:rFonts w:ascii="Arial" w:eastAsia="宋体" w:hAnsi="Arial" w:cs="Arial"/>
                  <w:sz w:val="20"/>
                  <w:szCs w:val="20"/>
                </w:rPr>
                <w:t>61</w:t>
              </w:r>
            </w:hyperlink>
          </w:p>
        </w:tc>
      </w:tr>
    </w:tbl>
    <w:p w14:paraId="0BC97659" w14:textId="77777777" w:rsidR="009F0928" w:rsidRDefault="009F0928">
      <w:pPr>
        <w:spacing w:line="288" w:lineRule="auto"/>
        <w:rPr>
          <w:rFonts w:ascii="Times New Roman" w:hAnsi="Times New Roman"/>
          <w:sz w:val="20"/>
          <w:szCs w:val="20"/>
        </w:rPr>
      </w:pPr>
    </w:p>
    <w:p w14:paraId="0BC9765A" w14:textId="77777777" w:rsidR="009F0928" w:rsidRDefault="009F0928">
      <w:pPr>
        <w:spacing w:line="288" w:lineRule="auto"/>
        <w:rPr>
          <w:rFonts w:ascii="Times New Roman" w:hAnsi="Times New Roman"/>
          <w:sz w:val="20"/>
          <w:szCs w:val="20"/>
        </w:rPr>
      </w:pPr>
    </w:p>
    <w:p w14:paraId="0BC9765B" w14:textId="77777777" w:rsidR="009F0928" w:rsidRDefault="009F0928">
      <w:pPr>
        <w:rPr>
          <w:rFonts w:ascii="Times New Roman" w:hAnsi="Times New Roman"/>
          <w:sz w:val="20"/>
          <w:szCs w:val="20"/>
        </w:rPr>
      </w:pPr>
    </w:p>
    <w:p w14:paraId="0BC9765C"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3</w:t>
      </w:r>
    </w:p>
    <w:p w14:paraId="0BC9765D" w14:textId="77777777" w:rsidR="009F0928" w:rsidRDefault="002112BD">
      <w:r>
        <w:rPr>
          <w:rFonts w:ascii="Times New Roman" w:hAnsi="Times New Roman"/>
          <w:sz w:val="18"/>
          <w:szCs w:val="18"/>
        </w:rPr>
        <w:pict w14:anchorId="0BC9B4BE">
          <v:rect id="_x0000_i1028" style="width:415.3pt;height:1.5pt" o:hralign="center" o:hrstd="t" o:hr="t" fillcolor="#a0a0a0" stroked="f"/>
        </w:pict>
      </w:r>
    </w:p>
    <w:p w14:paraId="0BC9765E" w14:textId="77777777" w:rsidR="009F0928" w:rsidRDefault="009F0928">
      <w:pPr>
        <w:spacing w:line="288" w:lineRule="auto"/>
        <w:rPr>
          <w:rFonts w:ascii="Times New Roman" w:hAnsi="Times New Roman"/>
          <w:sz w:val="20"/>
          <w:szCs w:val="20"/>
        </w:rPr>
      </w:pPr>
    </w:p>
    <w:p w14:paraId="0BC9765F" w14:textId="77777777" w:rsidR="009F0928" w:rsidRDefault="009F0928">
      <w:pPr>
        <w:rPr>
          <w:rFonts w:ascii="Times New Roman" w:hAnsi="Times New Roman"/>
          <w:sz w:val="20"/>
          <w:szCs w:val="20"/>
        </w:rPr>
      </w:pPr>
    </w:p>
    <w:p w14:paraId="0BC97660"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PART I </w:t>
      </w:r>
    </w:p>
    <w:p w14:paraId="0BC97661" w14:textId="77777777" w:rsidR="009F0928" w:rsidRDefault="002112BD">
      <w:pPr>
        <w:spacing w:line="288" w:lineRule="auto"/>
        <w:rPr>
          <w:rFonts w:ascii="Times New Roman" w:hAnsi="Times New Roman"/>
          <w:sz w:val="20"/>
          <w:szCs w:val="20"/>
        </w:rPr>
      </w:pPr>
      <w:r>
        <w:rPr>
          <w:rFonts w:ascii="Arial" w:eastAsia="宋体" w:hAnsi="Arial" w:cs="Arial"/>
          <w:b/>
          <w:bCs/>
          <w:sz w:val="20"/>
          <w:szCs w:val="20"/>
        </w:rPr>
        <w:t xml:space="preserve">FORWARD-LOOKING STATEMENTS </w:t>
      </w:r>
    </w:p>
    <w:p w14:paraId="0BC9766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i/>
          <w:iCs/>
          <w:sz w:val="20"/>
          <w:szCs w:val="20"/>
        </w:rPr>
        <w:t xml:space="preserve">This Annual Report on Form 10-K contains forward-looking statements within the meaning of Section 27A of the Securities Act of 1933 and Section 21E of the Securities Exchange Act of 1934, including statements that involve expectations, plans or intentions </w:t>
      </w:r>
      <w:r>
        <w:rPr>
          <w:rFonts w:ascii="Arial" w:eastAsia="宋体" w:hAnsi="Arial" w:cs="Arial"/>
          <w:i/>
          <w:iCs/>
          <w:sz w:val="20"/>
          <w:szCs w:val="20"/>
        </w:rPr>
        <w:t>(such as those relating to future business, future results of operations or financial condition, new or planned features or services, management strategies or timing and other expectations regarding our sale of StubHub to viagogo). You can identify these f</w:t>
      </w:r>
      <w:r>
        <w:rPr>
          <w:rFonts w:ascii="Arial" w:eastAsia="宋体" w:hAnsi="Arial" w:cs="Arial"/>
          <w:i/>
          <w:iCs/>
          <w:sz w:val="20"/>
          <w:szCs w:val="20"/>
        </w:rPr>
        <w:t>orward-looking statements by words such as “may,” “will,” “would,” “should,” “could,” “expect,” “anticipate,” “believe,” “estimate,” “intend,” “plan” and other similar expressions. These forward-looking statements involve risks and uncertainties that could</w:t>
      </w:r>
      <w:r>
        <w:rPr>
          <w:rFonts w:ascii="Arial" w:eastAsia="宋体" w:hAnsi="Arial" w:cs="Arial"/>
          <w:i/>
          <w:iCs/>
          <w:sz w:val="20"/>
          <w:szCs w:val="20"/>
        </w:rPr>
        <w:t xml:space="preserve"> cause our actual results to differ materially from those expressed or implied in our forward-looking statements. Such risks and uncertainties include, among others, those discussed in “Item 1A: Risk Factors” of this Annual Report on Form 10-K, as well as </w:t>
      </w:r>
      <w:r>
        <w:rPr>
          <w:rFonts w:ascii="Arial" w:eastAsia="宋体" w:hAnsi="Arial" w:cs="Arial"/>
          <w:i/>
          <w:iCs/>
          <w:sz w:val="20"/>
          <w:szCs w:val="20"/>
        </w:rPr>
        <w:t>in our consolidated financial statements, related notes, and the other information appearing elsewhere in this report and our other filings with the Securities and Exchange Commission, or the SEC. We do not intend, and undertake no obligation, to update an</w:t>
      </w:r>
      <w:r>
        <w:rPr>
          <w:rFonts w:ascii="Arial" w:eastAsia="宋体" w:hAnsi="Arial" w:cs="Arial"/>
          <w:i/>
          <w:iCs/>
          <w:sz w:val="20"/>
          <w:szCs w:val="20"/>
        </w:rPr>
        <w:t xml:space="preserve">y of our forward-looking statements after the date of this report to reflect actual results or future events or circumstances. Given these risks and uncertainties, readers are cautioned not to place undue reliance on such forward-looking statements. </w:t>
      </w:r>
    </w:p>
    <w:p w14:paraId="0BC97663" w14:textId="77777777" w:rsidR="009F0928" w:rsidRDefault="009F0928">
      <w:pPr>
        <w:spacing w:line="288" w:lineRule="auto"/>
        <w:rPr>
          <w:rFonts w:ascii="Times New Roman" w:hAnsi="Times New Roman"/>
          <w:sz w:val="20"/>
          <w:szCs w:val="20"/>
        </w:rPr>
      </w:pPr>
    </w:p>
    <w:p w14:paraId="0BC97664" w14:textId="77777777" w:rsidR="009F0928" w:rsidRDefault="002112BD">
      <w:pPr>
        <w:spacing w:line="288" w:lineRule="auto"/>
        <w:ind w:hanging="1920"/>
        <w:jc w:val="both"/>
        <w:rPr>
          <w:rFonts w:ascii="Times New Roman" w:hAnsi="Times New Roman"/>
          <w:sz w:val="20"/>
          <w:szCs w:val="20"/>
        </w:rPr>
      </w:pPr>
      <w:r>
        <w:rPr>
          <w:rFonts w:ascii="Arial" w:eastAsia="宋体" w:hAnsi="Arial" w:cs="Arial"/>
          <w:b/>
          <w:bCs/>
          <w:sz w:val="20"/>
          <w:szCs w:val="20"/>
        </w:rPr>
        <w:t xml:space="preserve">ITEM 1: </w:t>
      </w:r>
      <w:r>
        <w:rPr>
          <w:rFonts w:ascii="Arial" w:eastAsia="宋体" w:hAnsi="Arial" w:cs="Arial"/>
          <w:b/>
          <w:bCs/>
          <w:i/>
          <w:iCs/>
          <w:sz w:val="20"/>
          <w:szCs w:val="20"/>
        </w:rPr>
        <w:t xml:space="preserve">BUSINESS </w:t>
      </w:r>
    </w:p>
    <w:p w14:paraId="0BC97665" w14:textId="77777777" w:rsidR="009F0928" w:rsidRDefault="009F0928">
      <w:pPr>
        <w:spacing w:line="288" w:lineRule="auto"/>
        <w:ind w:hanging="1920"/>
        <w:jc w:val="both"/>
        <w:rPr>
          <w:rFonts w:ascii="Times New Roman" w:hAnsi="Times New Roman"/>
          <w:sz w:val="20"/>
          <w:szCs w:val="20"/>
        </w:rPr>
      </w:pPr>
    </w:p>
    <w:p w14:paraId="0BC97666"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Overview</w:t>
      </w:r>
    </w:p>
    <w:p w14:paraId="0BC97667" w14:textId="77777777" w:rsidR="009F0928" w:rsidRDefault="009F0928">
      <w:pPr>
        <w:spacing w:line="288" w:lineRule="auto"/>
        <w:ind w:firstLine="720"/>
        <w:jc w:val="both"/>
        <w:rPr>
          <w:rFonts w:ascii="Times New Roman" w:hAnsi="Times New Roman"/>
          <w:sz w:val="20"/>
          <w:szCs w:val="20"/>
        </w:rPr>
      </w:pPr>
    </w:p>
    <w:p w14:paraId="0BC9766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eBay Inc. was formed as a sole proprietorship in September 1995 and was incorporated in California in May 1996. In April 1998, we reincorporated in Delaware, and in September 1998, we completed the initial public offering of ou</w:t>
      </w:r>
      <w:r>
        <w:rPr>
          <w:rFonts w:ascii="Arial" w:eastAsia="宋体" w:hAnsi="Arial" w:cs="Arial"/>
          <w:sz w:val="20"/>
          <w:szCs w:val="20"/>
        </w:rPr>
        <w:t xml:space="preserve">r common stock. Our principal executive offices are located at 2025 Hamilton Avenue, San Jose, California 95125, and our telephone number is (408) 376-7008. Unless otherwise expressly stated or the context otherwise requires, when we refer to “we,” “our,” </w:t>
      </w:r>
      <w:r>
        <w:rPr>
          <w:rFonts w:ascii="Arial" w:eastAsia="宋体" w:hAnsi="Arial" w:cs="Arial"/>
          <w:sz w:val="20"/>
          <w:szCs w:val="20"/>
        </w:rPr>
        <w:t>“us” or “eBay” in this Annual Report on Form 10-K, we mean eBay Inc. and its consolidated subsidiaries. When we refer to “eBay Inc.” we mean our Marketplace, StubHub and Classifieds platforms. On November 24, 2019, we entered into a definitive agreement fo</w:t>
      </w:r>
      <w:r>
        <w:rPr>
          <w:rFonts w:ascii="Arial" w:eastAsia="宋体" w:hAnsi="Arial" w:cs="Arial"/>
          <w:sz w:val="20"/>
          <w:szCs w:val="20"/>
        </w:rPr>
        <w:t>r eBay to sell StubHub to viagogo, with closing of the transaction expected to occur in the first quarter of 2020.</w:t>
      </w:r>
    </w:p>
    <w:p w14:paraId="0BC97669" w14:textId="77777777" w:rsidR="009F0928" w:rsidRDefault="009F0928">
      <w:pPr>
        <w:spacing w:line="288" w:lineRule="auto"/>
        <w:ind w:firstLine="720"/>
        <w:jc w:val="both"/>
        <w:rPr>
          <w:rFonts w:ascii="Times New Roman" w:hAnsi="Times New Roman"/>
          <w:sz w:val="20"/>
          <w:szCs w:val="20"/>
        </w:rPr>
      </w:pPr>
    </w:p>
    <w:p w14:paraId="0BC9766A"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eBay Inc. is a global commerce leader, which includes our Marketplace, StubHub and Classifieds platforms. Collectively, we connect millions </w:t>
      </w:r>
      <w:r>
        <w:rPr>
          <w:rFonts w:ascii="Arial" w:eastAsia="宋体" w:hAnsi="Arial" w:cs="Arial"/>
          <w:sz w:val="20"/>
          <w:szCs w:val="20"/>
        </w:rPr>
        <w:t>of buyers and sellers around the world, empowering people and creating opportunity. Our technologies and services are designed to give buyers choice and a breadth of relevant inventory and to enable sellers worldwide to organize and offer their inventory f</w:t>
      </w:r>
      <w:r>
        <w:rPr>
          <w:rFonts w:ascii="Arial" w:eastAsia="宋体" w:hAnsi="Arial" w:cs="Arial"/>
          <w:sz w:val="20"/>
          <w:szCs w:val="20"/>
        </w:rPr>
        <w:t>or sale, virtually anytime and anywhere. Our Marketplace platforms include our online marketplace located at www.ebay.com, its localized counterparts, including off-platform businesses in Korea, Japan and Turkey and the eBay suite of mobile apps. We believ</w:t>
      </w:r>
      <w:r>
        <w:rPr>
          <w:rFonts w:ascii="Arial" w:eastAsia="宋体" w:hAnsi="Arial" w:cs="Arial"/>
          <w:sz w:val="20"/>
          <w:szCs w:val="20"/>
        </w:rPr>
        <w:t>e that these are among the world’s largest and most vibrant marketplaces for discovering great value and unique selection. StubHub platforms include the online ticket platform located at www.stubhub.com, its localized counterparts and the StubHub mobile ap</w:t>
      </w:r>
      <w:r>
        <w:rPr>
          <w:rFonts w:ascii="Arial" w:eastAsia="宋体" w:hAnsi="Arial" w:cs="Arial"/>
          <w:sz w:val="20"/>
          <w:szCs w:val="20"/>
        </w:rPr>
        <w:t>ps. These platforms connect fans with their favorite sporting events, shows and artists and enable them to buy and sell millions of tickets annually, whenever and wherever they want. Our Classifieds platforms include a collection of brands such as mobile.d</w:t>
      </w:r>
      <w:r>
        <w:rPr>
          <w:rFonts w:ascii="Arial" w:eastAsia="宋体" w:hAnsi="Arial" w:cs="Arial"/>
          <w:sz w:val="20"/>
          <w:szCs w:val="20"/>
        </w:rPr>
        <w:t>e, Kijiji, Gumtree, Marktplaats, eBay Kleinanzeigen and others. Offering online classifieds around the world, these platforms help people find what they are looking for in their local communities.</w:t>
      </w:r>
    </w:p>
    <w:p w14:paraId="0BC9766B" w14:textId="77777777" w:rsidR="009F0928" w:rsidRDefault="009F0928">
      <w:pPr>
        <w:spacing w:line="288" w:lineRule="auto"/>
        <w:ind w:firstLine="720"/>
        <w:jc w:val="both"/>
        <w:rPr>
          <w:rFonts w:ascii="Times New Roman" w:hAnsi="Times New Roman"/>
          <w:sz w:val="20"/>
          <w:szCs w:val="20"/>
        </w:rPr>
      </w:pPr>
    </w:p>
    <w:p w14:paraId="0BC9766C"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Our platforms are accessible through a traditional online </w:t>
      </w:r>
      <w:r>
        <w:rPr>
          <w:rFonts w:ascii="Arial" w:eastAsia="宋体" w:hAnsi="Arial" w:cs="Arial"/>
          <w:sz w:val="20"/>
          <w:szCs w:val="20"/>
        </w:rPr>
        <w:t>experience (e.g., desktop and laptop computers), mobile devices (e.g., smartphones and tablets) and our application programming interfaces or APIs (platform access for third party software developers). Our multi-screen approach offers downloadable, easy-to</w:t>
      </w:r>
      <w:r>
        <w:rPr>
          <w:rFonts w:ascii="Arial" w:eastAsia="宋体" w:hAnsi="Arial" w:cs="Arial"/>
          <w:sz w:val="20"/>
          <w:szCs w:val="20"/>
        </w:rPr>
        <w:t>-use applications for iOS and Android mobile devices that allow access to ebay.com and some of our other websites and vertical shopping experiences. Our platform is increasingly based on open source technologies that provide industry-standard ways for soft</w:t>
      </w:r>
      <w:r>
        <w:rPr>
          <w:rFonts w:ascii="Arial" w:eastAsia="宋体" w:hAnsi="Arial" w:cs="Arial"/>
          <w:sz w:val="20"/>
          <w:szCs w:val="20"/>
        </w:rPr>
        <w:t xml:space="preserve">ware developers and merchants to access our APIs and develop software and solutions for commerce. In 2019, we launched new API capabilities to give third-party developers access to eBay programs like managed payments. </w:t>
      </w:r>
    </w:p>
    <w:p w14:paraId="0BC9766D" w14:textId="77777777" w:rsidR="009F0928" w:rsidRDefault="009F0928">
      <w:pPr>
        <w:spacing w:line="288" w:lineRule="auto"/>
        <w:ind w:firstLine="720"/>
        <w:jc w:val="both"/>
        <w:rPr>
          <w:rFonts w:ascii="Times New Roman" w:hAnsi="Times New Roman"/>
          <w:sz w:val="20"/>
          <w:szCs w:val="20"/>
        </w:rPr>
      </w:pPr>
    </w:p>
    <w:p w14:paraId="0BC9766E"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Agreement to Sell StubHub</w:t>
      </w:r>
    </w:p>
    <w:p w14:paraId="0BC9766F" w14:textId="77777777" w:rsidR="009F0928" w:rsidRDefault="009F0928">
      <w:pPr>
        <w:spacing w:line="288" w:lineRule="auto"/>
        <w:jc w:val="both"/>
        <w:rPr>
          <w:rFonts w:ascii="Times New Roman" w:hAnsi="Times New Roman"/>
          <w:sz w:val="20"/>
          <w:szCs w:val="20"/>
        </w:rPr>
      </w:pPr>
    </w:p>
    <w:p w14:paraId="0BC97670" w14:textId="77777777" w:rsidR="009F0928" w:rsidRDefault="002112BD">
      <w:pPr>
        <w:spacing w:line="288" w:lineRule="auto"/>
        <w:ind w:firstLine="960"/>
        <w:jc w:val="both"/>
        <w:rPr>
          <w:rFonts w:ascii="Times New Roman" w:hAnsi="Times New Roman"/>
          <w:sz w:val="20"/>
          <w:szCs w:val="20"/>
        </w:rPr>
      </w:pPr>
      <w:r>
        <w:rPr>
          <w:rFonts w:ascii="Arial" w:eastAsia="宋体" w:hAnsi="Arial" w:cs="Arial"/>
          <w:sz w:val="20"/>
          <w:szCs w:val="20"/>
        </w:rPr>
        <w:t>On Novemb</w:t>
      </w:r>
      <w:r>
        <w:rPr>
          <w:rFonts w:ascii="Arial" w:eastAsia="宋体" w:hAnsi="Arial" w:cs="Arial"/>
          <w:sz w:val="20"/>
          <w:szCs w:val="20"/>
        </w:rPr>
        <w:t>er 24, 2019, following a strategic review of our assets, we entered into a definitive agreement to sell StubHub to viagogo for a purchase price of $4.05 billion in cash. Please see the information in “Item 1A: Risk Factors” under the caption “The closing o</w:t>
      </w:r>
      <w:r>
        <w:rPr>
          <w:rFonts w:ascii="Arial" w:eastAsia="宋体" w:hAnsi="Arial" w:cs="Arial"/>
          <w:sz w:val="20"/>
          <w:szCs w:val="20"/>
        </w:rPr>
        <w:t>f the proposed sale of StubHub is subject to various risks and uncertainties, may not be completed in accordance with expected plans or on the currently contemplated timeline, or at all, and the pending sale may be disruptive to StubHub.”</w:t>
      </w:r>
    </w:p>
    <w:p w14:paraId="0BC97671" w14:textId="77777777" w:rsidR="009F0928" w:rsidRDefault="009F0928">
      <w:pPr>
        <w:rPr>
          <w:rFonts w:ascii="Times New Roman" w:hAnsi="Times New Roman"/>
          <w:sz w:val="20"/>
          <w:szCs w:val="20"/>
        </w:rPr>
      </w:pPr>
    </w:p>
    <w:p w14:paraId="0BC97672"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4</w:t>
      </w:r>
    </w:p>
    <w:p w14:paraId="0BC97673" w14:textId="77777777" w:rsidR="009F0928" w:rsidRDefault="002112BD">
      <w:r>
        <w:rPr>
          <w:rFonts w:ascii="Times New Roman" w:hAnsi="Times New Roman"/>
          <w:sz w:val="18"/>
          <w:szCs w:val="18"/>
        </w:rPr>
        <w:pict w14:anchorId="0BC9B4BF">
          <v:rect id="_x0000_i1029" style="width:415.3pt;height:1.5pt" o:hralign="center" o:hrstd="t" o:hr="t" fillcolor="#a0a0a0" stroked="f"/>
        </w:pict>
      </w:r>
    </w:p>
    <w:p w14:paraId="0BC97674" w14:textId="77777777" w:rsidR="009F0928" w:rsidRDefault="009F0928">
      <w:pPr>
        <w:spacing w:line="288" w:lineRule="auto"/>
        <w:rPr>
          <w:rFonts w:ascii="Times New Roman" w:hAnsi="Times New Roman"/>
          <w:sz w:val="20"/>
          <w:szCs w:val="20"/>
        </w:rPr>
      </w:pPr>
    </w:p>
    <w:p w14:paraId="0BC97675" w14:textId="77777777" w:rsidR="009F0928" w:rsidRDefault="009F0928">
      <w:pPr>
        <w:rPr>
          <w:rFonts w:ascii="Times New Roman" w:hAnsi="Times New Roman"/>
          <w:sz w:val="20"/>
          <w:szCs w:val="20"/>
        </w:rPr>
      </w:pPr>
    </w:p>
    <w:p w14:paraId="0BC97676" w14:textId="77777777" w:rsidR="009F0928" w:rsidRDefault="009F0928">
      <w:pPr>
        <w:spacing w:line="288" w:lineRule="auto"/>
        <w:ind w:firstLine="720"/>
        <w:jc w:val="both"/>
        <w:rPr>
          <w:rFonts w:ascii="Times New Roman" w:hAnsi="Times New Roman"/>
          <w:sz w:val="20"/>
          <w:szCs w:val="20"/>
        </w:rPr>
      </w:pPr>
    </w:p>
    <w:p w14:paraId="0BC97677"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Our Strat</w:t>
      </w:r>
      <w:r>
        <w:rPr>
          <w:rFonts w:ascii="Arial" w:eastAsia="宋体" w:hAnsi="Arial" w:cs="Arial"/>
          <w:b/>
          <w:bCs/>
          <w:sz w:val="20"/>
          <w:szCs w:val="20"/>
        </w:rPr>
        <w:t>egy</w:t>
      </w:r>
    </w:p>
    <w:p w14:paraId="0BC97678" w14:textId="77777777" w:rsidR="009F0928" w:rsidRDefault="009F0928">
      <w:pPr>
        <w:spacing w:line="288" w:lineRule="auto"/>
        <w:jc w:val="both"/>
        <w:rPr>
          <w:rFonts w:ascii="Times New Roman" w:hAnsi="Times New Roman"/>
          <w:sz w:val="20"/>
          <w:szCs w:val="20"/>
        </w:rPr>
      </w:pPr>
    </w:p>
    <w:p w14:paraId="0BC97679" w14:textId="77777777" w:rsidR="009F0928" w:rsidRDefault="002112BD">
      <w:pPr>
        <w:spacing w:line="288" w:lineRule="auto"/>
        <w:jc w:val="both"/>
        <w:rPr>
          <w:rFonts w:ascii="Times New Roman" w:hAnsi="Times New Roman"/>
          <w:sz w:val="20"/>
          <w:szCs w:val="20"/>
        </w:rPr>
      </w:pPr>
      <w:r>
        <w:rPr>
          <w:rFonts w:ascii="Arial" w:eastAsia="宋体" w:hAnsi="Arial" w:cs="Arial"/>
          <w:i/>
          <w:iCs/>
          <w:sz w:val="20"/>
          <w:szCs w:val="20"/>
        </w:rPr>
        <w:t>Delivering the best choice, the most relevance and the most powerful selling platform</w:t>
      </w:r>
    </w:p>
    <w:p w14:paraId="0BC9767A" w14:textId="77777777" w:rsidR="009F0928" w:rsidRDefault="009F0928">
      <w:pPr>
        <w:spacing w:line="288" w:lineRule="auto"/>
        <w:jc w:val="both"/>
        <w:rPr>
          <w:rFonts w:ascii="Times New Roman" w:hAnsi="Times New Roman"/>
          <w:sz w:val="20"/>
          <w:szCs w:val="20"/>
        </w:rPr>
      </w:pPr>
    </w:p>
    <w:p w14:paraId="0BC9767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Our strategy is to drive the best choice, the most relevance and the most powerful selling platform for our buyers and sellers. We focus on connecting buyers and sellers through simplified experiences to make it easier for users to list, buy and sell items</w:t>
      </w:r>
      <w:r>
        <w:rPr>
          <w:rFonts w:ascii="Arial" w:eastAsia="宋体" w:hAnsi="Arial" w:cs="Arial"/>
          <w:sz w:val="20"/>
          <w:szCs w:val="20"/>
        </w:rPr>
        <w:t xml:space="preserve">, and we are working to serve our customers in an authentically eBay way. </w:t>
      </w:r>
    </w:p>
    <w:p w14:paraId="0BC9767C" w14:textId="77777777" w:rsidR="009F0928" w:rsidRDefault="009F0928">
      <w:pPr>
        <w:spacing w:line="288" w:lineRule="auto"/>
        <w:jc w:val="both"/>
        <w:rPr>
          <w:rFonts w:ascii="Times New Roman" w:hAnsi="Times New Roman"/>
          <w:sz w:val="20"/>
          <w:szCs w:val="20"/>
        </w:rPr>
      </w:pPr>
    </w:p>
    <w:p w14:paraId="0BC9767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On our Marketplace platform, our strategy is to drive the best choice by attracting and retaining sellers and brands that bring differentiated inventory to eBay and provide our con</w:t>
      </w:r>
      <w:r>
        <w:rPr>
          <w:rFonts w:ascii="Arial" w:eastAsia="宋体" w:hAnsi="Arial" w:cs="Arial"/>
          <w:sz w:val="20"/>
          <w:szCs w:val="20"/>
        </w:rPr>
        <w:t xml:space="preserve">sumers with great selection and value. This includes new, everyday items as well as rare and unique goods, many of which are available with free shipping and delivery in three business days or less. Our vision is to provide buyers with value and selection </w:t>
      </w:r>
      <w:r>
        <w:rPr>
          <w:rFonts w:ascii="Arial" w:eastAsia="宋体" w:hAnsi="Arial" w:cs="Arial"/>
          <w:sz w:val="20"/>
          <w:szCs w:val="20"/>
        </w:rPr>
        <w:t>through the spectrum of value of the inventory. We continue to invest in product and initiatives to evolve the customer experience, making it easier for buyers to find inventory on the platform.</w:t>
      </w:r>
    </w:p>
    <w:p w14:paraId="0BC9767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w:t>
      </w:r>
    </w:p>
    <w:p w14:paraId="0BC9767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As a trusted ticket marketplace, StubHub brings the joy of </w:t>
      </w:r>
      <w:r>
        <w:rPr>
          <w:rFonts w:ascii="Arial" w:eastAsia="宋体" w:hAnsi="Arial" w:cs="Arial"/>
          <w:sz w:val="20"/>
          <w:szCs w:val="20"/>
        </w:rPr>
        <w:t>live events to fans globally. In 2019, over 268 million visitors came to StubHub to buy or sell tickets to live sports, music, theater and other events. StubHub business partners include more than 100 leagues, teams, venues, events or other major third-par</w:t>
      </w:r>
      <w:r>
        <w:rPr>
          <w:rFonts w:ascii="Arial" w:eastAsia="宋体" w:hAnsi="Arial" w:cs="Arial"/>
          <w:sz w:val="20"/>
          <w:szCs w:val="20"/>
        </w:rPr>
        <w:t>ty companies in the U.S. and internationally across major sports leagues such as the NFL, MLB, MLS, NBA, NHL, and the NCAA. StubHub is a leader in mobile innovation, with roughly 60% of its orders coming from mobile in 2019.</w:t>
      </w:r>
    </w:p>
    <w:p w14:paraId="0BC97680" w14:textId="77777777" w:rsidR="009F0928" w:rsidRDefault="009F0928">
      <w:pPr>
        <w:spacing w:line="288" w:lineRule="auto"/>
        <w:ind w:firstLine="720"/>
        <w:jc w:val="both"/>
        <w:rPr>
          <w:rFonts w:ascii="Times New Roman" w:hAnsi="Times New Roman"/>
          <w:sz w:val="20"/>
          <w:szCs w:val="20"/>
        </w:rPr>
      </w:pPr>
    </w:p>
    <w:p w14:paraId="0BC9768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A world leader in online class</w:t>
      </w:r>
      <w:r>
        <w:rPr>
          <w:rFonts w:ascii="Arial" w:eastAsia="宋体" w:hAnsi="Arial" w:cs="Arial"/>
          <w:sz w:val="20"/>
          <w:szCs w:val="20"/>
        </w:rPr>
        <w:t>ifieds, eBay Classifieds is designed to help people list their products and services, generally for free, find what they are looking for in their local communities and trade at a local level. eBay Classifieds Group’s brands offer both horizontal and vertic</w:t>
      </w:r>
      <w:r>
        <w:rPr>
          <w:rFonts w:ascii="Arial" w:eastAsia="宋体" w:hAnsi="Arial" w:cs="Arial"/>
          <w:sz w:val="20"/>
          <w:szCs w:val="20"/>
        </w:rPr>
        <w:t>al experiences, such as motors, real estate and jobs. We offer a personalized classifieds experience and focus on expanding our value proposition by leveraging data and analytics to improve customer relevance and grow the classifieds opportunity on mobile.</w:t>
      </w:r>
    </w:p>
    <w:p w14:paraId="0BC97682" w14:textId="77777777" w:rsidR="009F0928" w:rsidRDefault="009F0928">
      <w:pPr>
        <w:spacing w:line="288" w:lineRule="auto"/>
        <w:ind w:firstLine="720"/>
        <w:jc w:val="both"/>
        <w:rPr>
          <w:rFonts w:ascii="Times New Roman" w:hAnsi="Times New Roman"/>
          <w:sz w:val="20"/>
          <w:szCs w:val="20"/>
        </w:rPr>
      </w:pPr>
    </w:p>
    <w:p w14:paraId="0BC97683" w14:textId="77777777" w:rsidR="009F0928" w:rsidRDefault="002112BD">
      <w:pPr>
        <w:spacing w:line="288" w:lineRule="auto"/>
        <w:rPr>
          <w:rFonts w:ascii="Times New Roman" w:hAnsi="Times New Roman"/>
          <w:sz w:val="20"/>
          <w:szCs w:val="20"/>
        </w:rPr>
      </w:pPr>
      <w:r>
        <w:rPr>
          <w:rFonts w:ascii="Arial" w:eastAsia="宋体" w:hAnsi="Arial" w:cs="Arial"/>
          <w:i/>
          <w:iCs/>
          <w:sz w:val="20"/>
          <w:szCs w:val="20"/>
        </w:rPr>
        <w:t>Business model and pricing</w:t>
      </w:r>
    </w:p>
    <w:p w14:paraId="0BC97684" w14:textId="77777777" w:rsidR="009F0928" w:rsidRDefault="009F0928">
      <w:pPr>
        <w:spacing w:line="288" w:lineRule="auto"/>
        <w:rPr>
          <w:rFonts w:ascii="Times New Roman" w:hAnsi="Times New Roman"/>
          <w:sz w:val="20"/>
          <w:szCs w:val="20"/>
        </w:rPr>
      </w:pPr>
    </w:p>
    <w:p w14:paraId="0BC9768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On eBay and StubHub, our business model and pricing are designed so that our business is successful primarily when our sellers are successful. We make money primarily through fees collected on successfully closed sales. On our</w:t>
      </w:r>
      <w:r>
        <w:rPr>
          <w:rFonts w:ascii="Arial" w:eastAsia="宋体" w:hAnsi="Arial" w:cs="Arial"/>
          <w:sz w:val="20"/>
          <w:szCs w:val="20"/>
        </w:rPr>
        <w:t xml:space="preserve"> Classifieds platform, we monetize our business primarily through advertising. </w:t>
      </w:r>
    </w:p>
    <w:p w14:paraId="0BC97686" w14:textId="77777777" w:rsidR="009F0928" w:rsidRDefault="009F0928">
      <w:pPr>
        <w:spacing w:line="288" w:lineRule="auto"/>
        <w:ind w:firstLine="720"/>
        <w:jc w:val="both"/>
        <w:rPr>
          <w:rFonts w:ascii="Times New Roman" w:hAnsi="Times New Roman"/>
          <w:sz w:val="20"/>
          <w:szCs w:val="20"/>
        </w:rPr>
      </w:pPr>
    </w:p>
    <w:p w14:paraId="0BC9768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In 2019, managed payments adoption accelerated in the U.S. and the service launched in Germany. Since we began intermediating payments in 2018, we processed over $2.0 billion </w:t>
      </w:r>
      <w:r>
        <w:rPr>
          <w:rFonts w:ascii="Arial" w:eastAsia="宋体" w:hAnsi="Arial" w:cs="Arial"/>
          <w:sz w:val="20"/>
          <w:szCs w:val="20"/>
        </w:rPr>
        <w:t>in payments for nearly 25,000 sellers through December 31, 2019. Our advertising business remains focused on growing our promoted listing fees (first-party advertising business) while reducing non-strategic third-party advertising in a manner that is condu</w:t>
      </w:r>
      <w:r>
        <w:rPr>
          <w:rFonts w:ascii="Arial" w:eastAsia="宋体" w:hAnsi="Arial" w:cs="Arial"/>
          <w:sz w:val="20"/>
          <w:szCs w:val="20"/>
        </w:rPr>
        <w:t>cive to growth in our core Marketplace; over 1 million sellers used the product, promoting over 320 million live listings in 2019.</w:t>
      </w:r>
    </w:p>
    <w:p w14:paraId="0BC97688" w14:textId="77777777" w:rsidR="009F0928" w:rsidRDefault="009F0928">
      <w:pPr>
        <w:spacing w:line="288" w:lineRule="auto"/>
        <w:ind w:firstLine="720"/>
        <w:jc w:val="both"/>
        <w:rPr>
          <w:rFonts w:ascii="Times New Roman" w:hAnsi="Times New Roman"/>
          <w:sz w:val="20"/>
          <w:szCs w:val="20"/>
        </w:rPr>
      </w:pPr>
    </w:p>
    <w:p w14:paraId="0BC97689" w14:textId="77777777" w:rsidR="009F0928" w:rsidRDefault="002112BD">
      <w:pPr>
        <w:spacing w:line="288" w:lineRule="auto"/>
        <w:rPr>
          <w:rFonts w:ascii="Times New Roman" w:hAnsi="Times New Roman"/>
          <w:sz w:val="20"/>
          <w:szCs w:val="20"/>
        </w:rPr>
      </w:pPr>
      <w:r>
        <w:rPr>
          <w:rFonts w:ascii="Arial" w:eastAsia="宋体" w:hAnsi="Arial" w:cs="Arial"/>
          <w:i/>
          <w:iCs/>
          <w:sz w:val="20"/>
          <w:szCs w:val="20"/>
        </w:rPr>
        <w:t>Our offerings for buyers and sellers</w:t>
      </w:r>
    </w:p>
    <w:p w14:paraId="0BC9768A" w14:textId="77777777" w:rsidR="009F0928" w:rsidRDefault="009F0928">
      <w:pPr>
        <w:spacing w:line="288" w:lineRule="auto"/>
        <w:jc w:val="both"/>
        <w:rPr>
          <w:rFonts w:ascii="Times New Roman" w:hAnsi="Times New Roman"/>
          <w:sz w:val="20"/>
          <w:szCs w:val="20"/>
        </w:rPr>
      </w:pPr>
    </w:p>
    <w:p w14:paraId="0BC9768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provide a number of features for our buyers and sellers that are designed to build </w:t>
      </w:r>
      <w:r>
        <w:rPr>
          <w:rFonts w:ascii="Arial" w:eastAsia="宋体" w:hAnsi="Arial" w:cs="Arial"/>
          <w:sz w:val="20"/>
          <w:szCs w:val="20"/>
        </w:rPr>
        <w:t>trust, help users feel more comfortable buying and selling on our platforms and reward our top sellers for their loyalty. We believe that, through our sellers, eBay offers some of the best value and deals available for a number of consumer products. Buyers</w:t>
      </w:r>
      <w:r>
        <w:rPr>
          <w:rFonts w:ascii="Arial" w:eastAsia="宋体" w:hAnsi="Arial" w:cs="Arial"/>
          <w:sz w:val="20"/>
          <w:szCs w:val="20"/>
        </w:rPr>
        <w:t xml:space="preserve"> seek out eBay because they can find an enormous breadth of inventory and a spectrum of value from the brand new to the hard-to-find. </w:t>
      </w:r>
    </w:p>
    <w:p w14:paraId="0BC9768C" w14:textId="77777777" w:rsidR="009F0928" w:rsidRDefault="009F0928">
      <w:pPr>
        <w:spacing w:line="288" w:lineRule="auto"/>
        <w:ind w:firstLine="720"/>
        <w:jc w:val="both"/>
        <w:rPr>
          <w:rFonts w:ascii="Times New Roman" w:hAnsi="Times New Roman"/>
          <w:sz w:val="20"/>
          <w:szCs w:val="20"/>
        </w:rPr>
      </w:pPr>
    </w:p>
    <w:p w14:paraId="0BC9768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On the Marketplace platform, we continue to explore new tools and features that are intended to create a better buying e</w:t>
      </w:r>
      <w:r>
        <w:rPr>
          <w:rFonts w:ascii="Arial" w:eastAsia="宋体" w:hAnsi="Arial" w:cs="Arial"/>
          <w:sz w:val="20"/>
          <w:szCs w:val="20"/>
        </w:rPr>
        <w:t xml:space="preserve">xperience on eBay, including Visual Shopping via Computer Vision, Right Offer at the Right Time, and Buy Again. </w:t>
      </w:r>
    </w:p>
    <w:p w14:paraId="0BC9768E" w14:textId="77777777" w:rsidR="009F0928" w:rsidRDefault="009F0928">
      <w:pPr>
        <w:spacing w:line="288" w:lineRule="auto"/>
        <w:ind w:firstLine="720"/>
        <w:jc w:val="both"/>
        <w:rPr>
          <w:rFonts w:ascii="Times New Roman" w:hAnsi="Times New Roman"/>
          <w:sz w:val="20"/>
          <w:szCs w:val="20"/>
        </w:rPr>
      </w:pPr>
    </w:p>
    <w:p w14:paraId="0BC9768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order to remain competitive and create a vibrant seller experience, eBay continuously invests in tools and programs to grow the seller ecos</w:t>
      </w:r>
      <w:r>
        <w:rPr>
          <w:rFonts w:ascii="Arial" w:eastAsia="宋体" w:hAnsi="Arial" w:cs="Arial"/>
          <w:sz w:val="20"/>
          <w:szCs w:val="20"/>
        </w:rPr>
        <w:t>ystem because we only win when our sellers succeed. In 2019, we added analytics and merchandising tools to our Seller Hub that are designed so that sellers know what to sell, when to sell it and at what price. The 2019 additions of Multi-User Account Acces</w:t>
      </w:r>
      <w:r>
        <w:rPr>
          <w:rFonts w:ascii="Arial" w:eastAsia="宋体" w:hAnsi="Arial" w:cs="Arial"/>
          <w:sz w:val="20"/>
          <w:szCs w:val="20"/>
        </w:rPr>
        <w:t>s, along with the Terapeak integration, enable sellers to better manage their business and add additional analytics insights into the platform. We also established new seller protections, including two new financial protections for top-rated sellers locate</w:t>
      </w:r>
      <w:r>
        <w:rPr>
          <w:rFonts w:ascii="Arial" w:eastAsia="宋体" w:hAnsi="Arial" w:cs="Arial"/>
          <w:sz w:val="20"/>
          <w:szCs w:val="20"/>
        </w:rPr>
        <w:t xml:space="preserve">d in the U.S. who offer 30-day returns. First, eBay will issue a seller invoice credit to cover return label cost if a buyer makes a false “item not as described” </w:t>
      </w:r>
    </w:p>
    <w:p w14:paraId="0BC97690" w14:textId="77777777" w:rsidR="009F0928" w:rsidRDefault="009F0928">
      <w:pPr>
        <w:rPr>
          <w:rFonts w:ascii="Times New Roman" w:hAnsi="Times New Roman"/>
          <w:sz w:val="20"/>
          <w:szCs w:val="20"/>
        </w:rPr>
      </w:pPr>
    </w:p>
    <w:p w14:paraId="0BC97691"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5</w:t>
      </w:r>
    </w:p>
    <w:p w14:paraId="0BC97692" w14:textId="77777777" w:rsidR="009F0928" w:rsidRDefault="002112BD">
      <w:r>
        <w:rPr>
          <w:rFonts w:ascii="Times New Roman" w:hAnsi="Times New Roman"/>
          <w:sz w:val="18"/>
          <w:szCs w:val="18"/>
        </w:rPr>
        <w:pict w14:anchorId="0BC9B4C0">
          <v:rect id="_x0000_i1030" style="width:415.3pt;height:1.5pt" o:hralign="center" o:hrstd="t" o:hr="t" fillcolor="#a0a0a0" stroked="f"/>
        </w:pict>
      </w:r>
    </w:p>
    <w:p w14:paraId="0BC97693" w14:textId="77777777" w:rsidR="009F0928" w:rsidRDefault="009F0928">
      <w:pPr>
        <w:spacing w:line="288" w:lineRule="auto"/>
        <w:rPr>
          <w:rFonts w:ascii="Times New Roman" w:hAnsi="Times New Roman"/>
          <w:sz w:val="20"/>
          <w:szCs w:val="20"/>
        </w:rPr>
      </w:pPr>
    </w:p>
    <w:p w14:paraId="0BC97694" w14:textId="77777777" w:rsidR="009F0928" w:rsidRDefault="009F0928">
      <w:pPr>
        <w:rPr>
          <w:rFonts w:ascii="Times New Roman" w:hAnsi="Times New Roman"/>
          <w:sz w:val="20"/>
          <w:szCs w:val="20"/>
        </w:rPr>
      </w:pPr>
    </w:p>
    <w:p w14:paraId="0BC97695"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xml:space="preserve">claim. Second, eBay now allows these sellers to issue partial refunds for all items that are returned damaged. eBay also has processes that allow sellers to report buyers who violate policies. </w:t>
      </w:r>
    </w:p>
    <w:p w14:paraId="0BC97696" w14:textId="77777777" w:rsidR="009F0928" w:rsidRDefault="009F0928">
      <w:pPr>
        <w:spacing w:line="288" w:lineRule="auto"/>
        <w:ind w:firstLine="720"/>
        <w:jc w:val="both"/>
        <w:rPr>
          <w:rFonts w:ascii="Times New Roman" w:hAnsi="Times New Roman"/>
          <w:sz w:val="20"/>
          <w:szCs w:val="20"/>
        </w:rPr>
      </w:pPr>
    </w:p>
    <w:p w14:paraId="0BC9769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eBay is committed to maintaining a safe and trusted marketpla</w:t>
      </w:r>
      <w:r>
        <w:rPr>
          <w:rFonts w:ascii="Arial" w:eastAsia="宋体" w:hAnsi="Arial" w:cs="Arial"/>
          <w:sz w:val="20"/>
          <w:szCs w:val="20"/>
        </w:rPr>
        <w:t>ce. In order to further strengthen our buyers’ confidence and trust in our services, we offer eBay Money Back Guarantee, which allows buyers to get their money back if the item they ordered does not arrive, is faulty or damaged, or if it does not match the</w:t>
      </w:r>
      <w:r>
        <w:rPr>
          <w:rFonts w:ascii="Arial" w:eastAsia="宋体" w:hAnsi="Arial" w:cs="Arial"/>
          <w:sz w:val="20"/>
          <w:szCs w:val="20"/>
        </w:rPr>
        <w:t xml:space="preserve"> listing. eBay Money Back Guarantee covers most items purchased on the eBay platform in a number of countries, including the U.S., the U.K., Germany and Australia, through a qualifying payment method. Some purchases, including some vehicles, are not covere</w:t>
      </w:r>
      <w:r>
        <w:rPr>
          <w:rFonts w:ascii="Arial" w:eastAsia="宋体" w:hAnsi="Arial" w:cs="Arial"/>
          <w:sz w:val="20"/>
          <w:szCs w:val="20"/>
        </w:rPr>
        <w:t>d. We also offer eBay Authenticate, through which sellers can have their high-end handbags, luxury watches and jewelry authenticated. The program is available in the United States as well as in the U.K. and Germany. We also provide our customers with a Bes</w:t>
      </w:r>
      <w:r>
        <w:rPr>
          <w:rFonts w:ascii="Arial" w:eastAsia="宋体" w:hAnsi="Arial" w:cs="Arial"/>
          <w:sz w:val="20"/>
          <w:szCs w:val="20"/>
        </w:rPr>
        <w:t>t Price Guarantee, which offers buyers in the United States 110 percent of the price difference if they find an item for less on a competitor’s website within 48 hours of making a purchase. In Australia, Best Price Guarantee beats deals from approved retai</w:t>
      </w:r>
      <w:r>
        <w:rPr>
          <w:rFonts w:ascii="Arial" w:eastAsia="宋体" w:hAnsi="Arial" w:cs="Arial"/>
          <w:sz w:val="20"/>
          <w:szCs w:val="20"/>
        </w:rPr>
        <w:t xml:space="preserve">lers by 5%, and in U.K., offers price matching. </w:t>
      </w:r>
    </w:p>
    <w:p w14:paraId="0BC97698" w14:textId="77777777" w:rsidR="009F0928" w:rsidRDefault="009F0928">
      <w:pPr>
        <w:spacing w:line="288" w:lineRule="auto"/>
        <w:ind w:firstLine="720"/>
        <w:jc w:val="both"/>
        <w:rPr>
          <w:rFonts w:ascii="Times New Roman" w:hAnsi="Times New Roman"/>
          <w:sz w:val="20"/>
          <w:szCs w:val="20"/>
        </w:rPr>
      </w:pPr>
    </w:p>
    <w:p w14:paraId="0BC9769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For buyers, we want to create greater confidence in our ability to meet their delivery and buying expectations and to improve the reliability of our shipping times and tracking. The majority of our transact</w:t>
      </w:r>
      <w:r>
        <w:rPr>
          <w:rFonts w:ascii="Arial" w:eastAsia="宋体" w:hAnsi="Arial" w:cs="Arial"/>
          <w:sz w:val="20"/>
          <w:szCs w:val="20"/>
        </w:rPr>
        <w:t>ions on the eBay Marketplace in the U.S., the U.K., and Germany include free shipping, and we encourage sellers to offer free returns. Through eBay Guaranteed Delivery, we provide faster and more precise delivery dates on millions of eligible items.</w:t>
      </w:r>
    </w:p>
    <w:p w14:paraId="0BC9769A" w14:textId="77777777" w:rsidR="009F0928" w:rsidRDefault="009F0928">
      <w:pPr>
        <w:spacing w:line="288" w:lineRule="auto"/>
        <w:jc w:val="both"/>
        <w:rPr>
          <w:rFonts w:ascii="Times New Roman" w:hAnsi="Times New Roman"/>
          <w:sz w:val="20"/>
          <w:szCs w:val="20"/>
        </w:rPr>
      </w:pPr>
    </w:p>
    <w:p w14:paraId="0BC9769B"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Our I</w:t>
      </w:r>
      <w:r>
        <w:rPr>
          <w:rFonts w:ascii="Arial" w:eastAsia="宋体" w:hAnsi="Arial" w:cs="Arial"/>
          <w:b/>
          <w:bCs/>
          <w:sz w:val="20"/>
          <w:szCs w:val="20"/>
        </w:rPr>
        <w:t>mpact and Responsibility</w:t>
      </w:r>
    </w:p>
    <w:p w14:paraId="0BC9769C" w14:textId="77777777" w:rsidR="009F0928" w:rsidRDefault="009F0928">
      <w:pPr>
        <w:spacing w:line="288" w:lineRule="auto"/>
        <w:ind w:firstLine="720"/>
        <w:jc w:val="both"/>
        <w:rPr>
          <w:rFonts w:ascii="Times New Roman" w:hAnsi="Times New Roman"/>
          <w:sz w:val="20"/>
          <w:szCs w:val="20"/>
        </w:rPr>
      </w:pPr>
    </w:p>
    <w:p w14:paraId="0BC9769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eBay’s purpose is to empower people and create economic opportunity for all. Every day, people build businesses on eBay, and we are driven to support them. Both in our community and through our technology, we work to create econom</w:t>
      </w:r>
      <w:r>
        <w:rPr>
          <w:rFonts w:ascii="Arial" w:eastAsia="宋体" w:hAnsi="Arial" w:cs="Arial"/>
          <w:sz w:val="20"/>
          <w:szCs w:val="20"/>
        </w:rPr>
        <w:t>ic opportunity. Our impact efforts are divided into four programs that align with our purpose: eBay for Charity, eBay Foundation, Retail Revival, and Responsible Business.</w:t>
      </w:r>
    </w:p>
    <w:p w14:paraId="0BC9769E" w14:textId="77777777" w:rsidR="009F0928" w:rsidRDefault="009F0928">
      <w:pPr>
        <w:spacing w:line="288" w:lineRule="auto"/>
        <w:ind w:firstLine="720"/>
        <w:jc w:val="both"/>
        <w:rPr>
          <w:rFonts w:ascii="Times New Roman" w:hAnsi="Times New Roman"/>
          <w:sz w:val="20"/>
          <w:szCs w:val="20"/>
        </w:rPr>
      </w:pPr>
    </w:p>
    <w:p w14:paraId="0BC9769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eBay for Charity empowers eBay buyers and sellers to support charities around the w</w:t>
      </w:r>
      <w:r>
        <w:rPr>
          <w:rFonts w:ascii="Arial" w:eastAsia="宋体" w:hAnsi="Arial" w:cs="Arial"/>
          <w:sz w:val="20"/>
          <w:szCs w:val="20"/>
        </w:rPr>
        <w:t>orld. Since its inception, eBay for Charity has raised more than $1 billion for more than 83,000 charities.</w:t>
      </w:r>
    </w:p>
    <w:p w14:paraId="0BC976A0" w14:textId="77777777" w:rsidR="009F0928" w:rsidRDefault="009F0928">
      <w:pPr>
        <w:spacing w:line="288" w:lineRule="auto"/>
        <w:ind w:firstLine="720"/>
        <w:jc w:val="both"/>
        <w:rPr>
          <w:rFonts w:ascii="Times New Roman" w:hAnsi="Times New Roman"/>
          <w:sz w:val="20"/>
          <w:szCs w:val="20"/>
        </w:rPr>
      </w:pPr>
    </w:p>
    <w:p w14:paraId="0BC976A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eBay’s Foundation helps build economically vibrant and thriving communities through several key initiatives like Global Give, which is an annual em</w:t>
      </w:r>
      <w:r>
        <w:rPr>
          <w:rFonts w:ascii="Arial" w:eastAsia="宋体" w:hAnsi="Arial" w:cs="Arial"/>
          <w:sz w:val="20"/>
          <w:szCs w:val="20"/>
        </w:rPr>
        <w:t>ployee-led grantmaking program that deploys the talents and passions of eBay employees. Through the program, employees come together to create teams, partner with local nonprofits, and develop projects that support small businesses and entrepreneurs in the</w:t>
      </w:r>
      <w:r>
        <w:rPr>
          <w:rFonts w:ascii="Arial" w:eastAsia="宋体" w:hAnsi="Arial" w:cs="Arial"/>
          <w:sz w:val="20"/>
          <w:szCs w:val="20"/>
        </w:rPr>
        <w:t>ir communities. In 2019, the eBay Foundation awarded approximately $1 million through Global Give.</w:t>
      </w:r>
    </w:p>
    <w:p w14:paraId="0BC976A2" w14:textId="77777777" w:rsidR="009F0928" w:rsidRDefault="009F0928">
      <w:pPr>
        <w:spacing w:line="288" w:lineRule="auto"/>
        <w:ind w:firstLine="720"/>
        <w:jc w:val="both"/>
        <w:rPr>
          <w:rFonts w:ascii="Times New Roman" w:hAnsi="Times New Roman"/>
          <w:sz w:val="20"/>
          <w:szCs w:val="20"/>
        </w:rPr>
      </w:pPr>
    </w:p>
    <w:p w14:paraId="0BC976A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Retail Revival, which launched in early 2018, also demonstrates eBay’s commitment to economic development and entrepreneurialism. Retail Revival empowers lo</w:t>
      </w:r>
      <w:r>
        <w:rPr>
          <w:rFonts w:ascii="Arial" w:eastAsia="宋体" w:hAnsi="Arial" w:cs="Arial"/>
          <w:sz w:val="20"/>
          <w:szCs w:val="20"/>
        </w:rPr>
        <w:t>cal businesses to compete on a global scale and thrive in an online economy. In close partnership with local governments and stakeholders, eBay onboards cohorts of small businesses and supports their growth through months of in-depth training, individual c</w:t>
      </w:r>
      <w:r>
        <w:rPr>
          <w:rFonts w:ascii="Arial" w:eastAsia="宋体" w:hAnsi="Arial" w:cs="Arial"/>
          <w:sz w:val="20"/>
          <w:szCs w:val="20"/>
        </w:rPr>
        <w:t>oaching, and promotional support, all provided at no cost to the participants or partner cities. Since launch, eBay has welcomed new U.S. cities to the Retail Revival program, including: Lansing, Michigan; Greensboro, North Carolina; and Baton Rouge, Louis</w:t>
      </w:r>
      <w:r>
        <w:rPr>
          <w:rFonts w:ascii="Arial" w:eastAsia="宋体" w:hAnsi="Arial" w:cs="Arial"/>
          <w:sz w:val="20"/>
          <w:szCs w:val="20"/>
        </w:rPr>
        <w:t>iana; and scaled the program internationally to Canada, the UK, Ireland, Italy, Israel, Russia, and Bulgaria.</w:t>
      </w:r>
    </w:p>
    <w:p w14:paraId="0BC976A4" w14:textId="77777777" w:rsidR="009F0928" w:rsidRDefault="009F0928">
      <w:pPr>
        <w:spacing w:line="288" w:lineRule="auto"/>
        <w:jc w:val="both"/>
        <w:rPr>
          <w:rFonts w:ascii="Times New Roman" w:hAnsi="Times New Roman"/>
          <w:sz w:val="20"/>
          <w:szCs w:val="20"/>
        </w:rPr>
      </w:pPr>
    </w:p>
    <w:p w14:paraId="0BC976A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Finally, as a part of the company’s Responsible Business efforts, eBay strives to operate in an environmentally and socially sustainable way - cr</w:t>
      </w:r>
      <w:r>
        <w:rPr>
          <w:rFonts w:ascii="Arial" w:eastAsia="宋体" w:hAnsi="Arial" w:cs="Arial"/>
          <w:sz w:val="20"/>
          <w:szCs w:val="20"/>
        </w:rPr>
        <w:t>eating a safe, trusted, and diverse environment in which our employees, buyers, sellers, suppliers, and partners can thrive. In 2019, eBay made several partnership announcements, working to reach its goal of 100% renewable energy by 2025. This includes two</w:t>
      </w:r>
      <w:r>
        <w:rPr>
          <w:rFonts w:ascii="Arial" w:eastAsia="宋体" w:hAnsi="Arial" w:cs="Arial"/>
          <w:sz w:val="20"/>
          <w:szCs w:val="20"/>
        </w:rPr>
        <w:t xml:space="preserve"> local renewable energy programs with energy providers in Draper, Utah, and San Jose, California. These two locations join Dreilinden, Germany; Dublin, Ireland; and Portland, Oregon in 100% renewable energy sourcing. </w:t>
      </w:r>
    </w:p>
    <w:p w14:paraId="0BC976A6" w14:textId="77777777" w:rsidR="009F0928" w:rsidRDefault="009F0928">
      <w:pPr>
        <w:spacing w:line="288" w:lineRule="auto"/>
        <w:ind w:firstLine="720"/>
        <w:jc w:val="both"/>
        <w:rPr>
          <w:rFonts w:ascii="Times New Roman" w:hAnsi="Times New Roman"/>
          <w:sz w:val="20"/>
          <w:szCs w:val="20"/>
        </w:rPr>
      </w:pPr>
    </w:p>
    <w:p w14:paraId="0BC976A7" w14:textId="77777777" w:rsidR="009F0928" w:rsidRDefault="009F0928">
      <w:pPr>
        <w:rPr>
          <w:rFonts w:ascii="Times New Roman" w:hAnsi="Times New Roman"/>
          <w:sz w:val="20"/>
          <w:szCs w:val="20"/>
        </w:rPr>
      </w:pPr>
    </w:p>
    <w:p w14:paraId="0BC976A8"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6</w:t>
      </w:r>
    </w:p>
    <w:p w14:paraId="0BC976A9" w14:textId="77777777" w:rsidR="009F0928" w:rsidRDefault="002112BD">
      <w:r>
        <w:rPr>
          <w:rFonts w:ascii="Times New Roman" w:hAnsi="Times New Roman"/>
          <w:sz w:val="18"/>
          <w:szCs w:val="18"/>
        </w:rPr>
        <w:pict w14:anchorId="0BC9B4C1">
          <v:rect id="_x0000_i1031" style="width:415.3pt;height:1.5pt" o:hralign="center" o:hrstd="t" o:hr="t" fillcolor="#a0a0a0" stroked="f"/>
        </w:pict>
      </w:r>
    </w:p>
    <w:p w14:paraId="0BC976AA" w14:textId="77777777" w:rsidR="009F0928" w:rsidRDefault="009F0928">
      <w:pPr>
        <w:spacing w:line="288" w:lineRule="auto"/>
        <w:rPr>
          <w:rFonts w:ascii="Times New Roman" w:hAnsi="Times New Roman"/>
          <w:sz w:val="20"/>
          <w:szCs w:val="20"/>
        </w:rPr>
      </w:pPr>
    </w:p>
    <w:p w14:paraId="0BC976AB" w14:textId="77777777" w:rsidR="009F0928" w:rsidRDefault="009F0928">
      <w:pPr>
        <w:rPr>
          <w:rFonts w:ascii="Times New Roman" w:hAnsi="Times New Roman"/>
          <w:sz w:val="20"/>
          <w:szCs w:val="20"/>
        </w:rPr>
      </w:pPr>
    </w:p>
    <w:p w14:paraId="0BC976AC"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 xml:space="preserve">Financial </w:t>
      </w:r>
      <w:r>
        <w:rPr>
          <w:rFonts w:ascii="Arial" w:eastAsia="宋体" w:hAnsi="Arial" w:cs="Arial"/>
          <w:b/>
          <w:bCs/>
          <w:sz w:val="20"/>
          <w:szCs w:val="20"/>
        </w:rPr>
        <w:t>Information</w:t>
      </w:r>
    </w:p>
    <w:p w14:paraId="0BC976AD" w14:textId="77777777" w:rsidR="009F0928" w:rsidRDefault="009F0928">
      <w:pPr>
        <w:spacing w:line="288" w:lineRule="auto"/>
        <w:ind w:firstLine="720"/>
        <w:jc w:val="both"/>
        <w:rPr>
          <w:rFonts w:ascii="Times New Roman" w:hAnsi="Times New Roman"/>
          <w:sz w:val="20"/>
          <w:szCs w:val="20"/>
        </w:rPr>
      </w:pPr>
    </w:p>
    <w:p w14:paraId="0BC976A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measure our footprint in our addressable market according to Gross Merchandise Volume (“GMV”). GMV consists of the total value of all successfully closed transactions between users on our Marketplace or StubHub platforms during the applicab</w:t>
      </w:r>
      <w:r>
        <w:rPr>
          <w:rFonts w:ascii="Arial" w:eastAsia="宋体" w:hAnsi="Arial" w:cs="Arial"/>
          <w:sz w:val="20"/>
          <w:szCs w:val="20"/>
        </w:rPr>
        <w:t xml:space="preserve">le period, regardless of whether the buyer and seller actually completed the transaction. In 2019, we generated over $90 billion in GMV, of which approximately 60 percent was generated outside the U.S. Despite GMV’s divergence from revenue during 2019, we </w:t>
      </w:r>
      <w:r>
        <w:rPr>
          <w:rFonts w:ascii="Arial" w:eastAsia="宋体" w:hAnsi="Arial" w:cs="Arial"/>
          <w:sz w:val="20"/>
          <w:szCs w:val="20"/>
        </w:rPr>
        <w:t>still believe that GMV provides a useful measure of the overall volume of closed transactions that flow through our platforms in a given period, notwithstanding the inclusion in GMV of closed transactions that are not ultimately consummated.</w:t>
      </w:r>
    </w:p>
    <w:p w14:paraId="0BC976AF" w14:textId="77777777" w:rsidR="009F0928" w:rsidRDefault="009F0928">
      <w:pPr>
        <w:spacing w:line="288" w:lineRule="auto"/>
        <w:ind w:firstLine="720"/>
        <w:jc w:val="both"/>
        <w:rPr>
          <w:rFonts w:ascii="Times New Roman" w:hAnsi="Times New Roman"/>
          <w:sz w:val="20"/>
          <w:szCs w:val="20"/>
        </w:rPr>
      </w:pPr>
    </w:p>
    <w:p w14:paraId="0BC976B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At the end of</w:t>
      </w:r>
      <w:r>
        <w:rPr>
          <w:rFonts w:ascii="Arial" w:eastAsia="宋体" w:hAnsi="Arial" w:cs="Arial"/>
          <w:sz w:val="20"/>
          <w:szCs w:val="20"/>
        </w:rPr>
        <w:t xml:space="preserve"> 2019, our Marketplace and StubHub platforms had more than 180 million active buyers and over one billion live listings globally. The term “active buyer” means, as of any date, all buyer accounts that successfully closed a transaction on our Marketplace or</w:t>
      </w:r>
      <w:r>
        <w:rPr>
          <w:rFonts w:ascii="Arial" w:eastAsia="宋体" w:hAnsi="Arial" w:cs="Arial"/>
          <w:sz w:val="20"/>
          <w:szCs w:val="20"/>
        </w:rPr>
        <w:t xml:space="preserve"> StubHub platforms within the previous 12-month period. Buyers may register more than once and, as a result, may have more than one account.</w:t>
      </w:r>
    </w:p>
    <w:p w14:paraId="0BC976B1" w14:textId="77777777" w:rsidR="009F0928" w:rsidRDefault="009F0928">
      <w:pPr>
        <w:spacing w:line="288" w:lineRule="auto"/>
        <w:ind w:firstLine="720"/>
        <w:jc w:val="both"/>
        <w:rPr>
          <w:rFonts w:ascii="Times New Roman" w:hAnsi="Times New Roman"/>
          <w:sz w:val="20"/>
          <w:szCs w:val="20"/>
        </w:rPr>
      </w:pPr>
    </w:p>
    <w:p w14:paraId="0BC976B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generate revenue primarily from the transactions we successfully enable and through marketing services, includi</w:t>
      </w:r>
      <w:r>
        <w:rPr>
          <w:rFonts w:ascii="Arial" w:eastAsia="宋体" w:hAnsi="Arial" w:cs="Arial"/>
          <w:sz w:val="20"/>
          <w:szCs w:val="20"/>
        </w:rPr>
        <w:t xml:space="preserve">ng classifieds and our growth initiatives of payments and advertising. The majority of our revenue comes from a take rate on the GMV of transactions closed on our Marketplace and StubHub platforms. We define “take rate” as net transaction revenues divided </w:t>
      </w:r>
      <w:r>
        <w:rPr>
          <w:rFonts w:ascii="Arial" w:eastAsia="宋体" w:hAnsi="Arial" w:cs="Arial"/>
          <w:sz w:val="20"/>
          <w:szCs w:val="20"/>
        </w:rPr>
        <w:t xml:space="preserve">by GMV. </w:t>
      </w:r>
    </w:p>
    <w:p w14:paraId="0BC976B3" w14:textId="77777777" w:rsidR="009F0928" w:rsidRDefault="009F0928">
      <w:pPr>
        <w:spacing w:line="288" w:lineRule="auto"/>
        <w:ind w:firstLine="720"/>
        <w:jc w:val="both"/>
        <w:rPr>
          <w:rFonts w:ascii="Times New Roman" w:hAnsi="Times New Roman"/>
          <w:sz w:val="20"/>
          <w:szCs w:val="20"/>
        </w:rPr>
      </w:pPr>
    </w:p>
    <w:p w14:paraId="0BC976B4"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size and scale of our platforms are designed to enable our buyers and sellers to leverage our economies of scale and capital investments, such as in sales and marketing, mobile, customer acquisition, technology innovation and customer service</w:t>
      </w:r>
      <w:r>
        <w:rPr>
          <w:rFonts w:ascii="Arial" w:eastAsia="宋体" w:hAnsi="Arial" w:cs="Arial"/>
          <w:sz w:val="20"/>
          <w:szCs w:val="20"/>
        </w:rPr>
        <w:t>.</w:t>
      </w:r>
    </w:p>
    <w:p w14:paraId="0BC976B5" w14:textId="77777777" w:rsidR="009F0928" w:rsidRDefault="009F0928">
      <w:pPr>
        <w:spacing w:line="288" w:lineRule="auto"/>
        <w:jc w:val="both"/>
        <w:rPr>
          <w:rFonts w:ascii="Times New Roman" w:hAnsi="Times New Roman"/>
          <w:sz w:val="20"/>
          <w:szCs w:val="20"/>
        </w:rPr>
      </w:pPr>
    </w:p>
    <w:p w14:paraId="0BC976B6"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Notable Business Transactions in 2019</w:t>
      </w:r>
    </w:p>
    <w:p w14:paraId="0BC976B7" w14:textId="77777777" w:rsidR="009F0928" w:rsidRDefault="009F0928">
      <w:pPr>
        <w:spacing w:line="288" w:lineRule="auto"/>
        <w:jc w:val="both"/>
        <w:rPr>
          <w:rFonts w:ascii="Times New Roman" w:hAnsi="Times New Roman"/>
          <w:sz w:val="20"/>
          <w:szCs w:val="20"/>
        </w:rPr>
      </w:pPr>
    </w:p>
    <w:p w14:paraId="0BC976B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regularly review and manage our investments to ensure that they support eBay’s strategic direction and complement our disciplined approach to value creation, profitability and capital allocation. In the first qu</w:t>
      </w:r>
      <w:r>
        <w:rPr>
          <w:rFonts w:ascii="Arial" w:eastAsia="宋体" w:hAnsi="Arial" w:cs="Arial"/>
          <w:sz w:val="20"/>
          <w:szCs w:val="20"/>
        </w:rPr>
        <w:t>arter of 2019, we completed the acquisition of Motors.co.uk, a U.K.-based classifieds site, for $93 million. The Motors.co.uk team joined Gumtree UK, an eBay Classifieds business. In the second quarter of 2019, we invested $160 million in Paytm Mall, an eC</w:t>
      </w:r>
      <w:r>
        <w:rPr>
          <w:rFonts w:ascii="Arial" w:eastAsia="宋体" w:hAnsi="Arial" w:cs="Arial"/>
          <w:sz w:val="20"/>
          <w:szCs w:val="20"/>
        </w:rPr>
        <w:t xml:space="preserve">ommerce marketplace in India. In the fourth quarter of 2019, we entered into a definitive agreement to sell StubHub; see “Agreement to Sell StubHub” section for more details. </w:t>
      </w:r>
    </w:p>
    <w:p w14:paraId="0BC976B9" w14:textId="77777777" w:rsidR="009F0928" w:rsidRDefault="009F0928">
      <w:pPr>
        <w:spacing w:line="288" w:lineRule="auto"/>
        <w:ind w:firstLine="720"/>
        <w:jc w:val="both"/>
        <w:rPr>
          <w:rFonts w:ascii="Times New Roman" w:hAnsi="Times New Roman"/>
          <w:sz w:val="20"/>
          <w:szCs w:val="20"/>
        </w:rPr>
      </w:pPr>
    </w:p>
    <w:p w14:paraId="0BC976BA"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Competition</w:t>
      </w:r>
    </w:p>
    <w:p w14:paraId="0BC976BB" w14:textId="77777777" w:rsidR="009F0928" w:rsidRDefault="009F0928">
      <w:pPr>
        <w:spacing w:line="288" w:lineRule="auto"/>
        <w:ind w:firstLine="720"/>
        <w:jc w:val="both"/>
        <w:rPr>
          <w:rFonts w:ascii="Times New Roman" w:hAnsi="Times New Roman"/>
          <w:sz w:val="20"/>
          <w:szCs w:val="20"/>
        </w:rPr>
      </w:pPr>
    </w:p>
    <w:p w14:paraId="0BC976BC"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encounter vigorous competition in our business from numerous so</w:t>
      </w:r>
      <w:r>
        <w:rPr>
          <w:rFonts w:ascii="Arial" w:eastAsia="宋体" w:hAnsi="Arial" w:cs="Arial"/>
          <w:sz w:val="20"/>
          <w:szCs w:val="20"/>
        </w:rPr>
        <w:t>urces. Our users can list, sell, buy, and pay for similar items through a variety of competing online, mobile and offline channels. These include, but are not limited to, retailers, distributors, liquidators, import and export companies, auctioneers, catal</w:t>
      </w:r>
      <w:r>
        <w:rPr>
          <w:rFonts w:ascii="Arial" w:eastAsia="宋体" w:hAnsi="Arial" w:cs="Arial"/>
          <w:sz w:val="20"/>
          <w:szCs w:val="20"/>
        </w:rPr>
        <w:t>og and mail-order companies, classifieds, directories, search engines, commerce participants (consumer-to-consumer, business-to-consumer and business-to-business), shopping channels and networks. As our product offerings continue to broaden into new catego</w:t>
      </w:r>
      <w:r>
        <w:rPr>
          <w:rFonts w:ascii="Arial" w:eastAsia="宋体" w:hAnsi="Arial" w:cs="Arial"/>
          <w:sz w:val="20"/>
          <w:szCs w:val="20"/>
        </w:rPr>
        <w:t>ries of items and new commerce formats, we expect to face additional competition from other online, mobile and offline channels for those new offerings. We compete on the basis of price, product selection and services, and global scale.</w:t>
      </w:r>
    </w:p>
    <w:p w14:paraId="0BC976BD" w14:textId="77777777" w:rsidR="009F0928" w:rsidRDefault="009F0928">
      <w:pPr>
        <w:spacing w:line="288" w:lineRule="auto"/>
        <w:ind w:firstLine="720"/>
        <w:jc w:val="both"/>
        <w:rPr>
          <w:rFonts w:ascii="Times New Roman" w:hAnsi="Times New Roman"/>
          <w:sz w:val="20"/>
          <w:szCs w:val="20"/>
        </w:rPr>
      </w:pPr>
    </w:p>
    <w:p w14:paraId="0BC976B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For more informati</w:t>
      </w:r>
      <w:r>
        <w:rPr>
          <w:rFonts w:ascii="Arial" w:eastAsia="宋体" w:hAnsi="Arial" w:cs="Arial"/>
          <w:sz w:val="20"/>
          <w:szCs w:val="20"/>
        </w:rPr>
        <w:t>on regarding risks of competition, see the information in “Item 1A: Risk Factors” under the captions “Substantial and increasingly intense competition worldwide in ecommerce may harm our business” and “We are subject to regulatory activity and antitrust li</w:t>
      </w:r>
      <w:r>
        <w:rPr>
          <w:rFonts w:ascii="Arial" w:eastAsia="宋体" w:hAnsi="Arial" w:cs="Arial"/>
          <w:sz w:val="20"/>
          <w:szCs w:val="20"/>
        </w:rPr>
        <w:t>tigation under competition laws that could adversely impact our business.”</w:t>
      </w:r>
    </w:p>
    <w:p w14:paraId="0BC976BF" w14:textId="77777777" w:rsidR="009F0928" w:rsidRDefault="009F0928">
      <w:pPr>
        <w:spacing w:line="288" w:lineRule="auto"/>
        <w:ind w:firstLine="720"/>
        <w:jc w:val="both"/>
        <w:rPr>
          <w:rFonts w:ascii="Times New Roman" w:hAnsi="Times New Roman"/>
          <w:sz w:val="20"/>
          <w:szCs w:val="20"/>
        </w:rPr>
      </w:pPr>
    </w:p>
    <w:p w14:paraId="0BC976C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To compete effectively, we will need to continue to expend significant resources in technology and marketing. These efforts require substantial expenditures, which could reduce our</w:t>
      </w:r>
      <w:r>
        <w:rPr>
          <w:rFonts w:ascii="Arial" w:eastAsia="宋体" w:hAnsi="Arial" w:cs="Arial"/>
          <w:sz w:val="20"/>
          <w:szCs w:val="20"/>
        </w:rPr>
        <w:t xml:space="preserve"> margins and have a material adverse effect on our business, financial position, operating results and cash flows and reduce the market price of our common stock and outstanding debt securities. Despite our efforts to preserve and expand the size, diversit</w:t>
      </w:r>
      <w:r>
        <w:rPr>
          <w:rFonts w:ascii="Arial" w:eastAsia="宋体" w:hAnsi="Arial" w:cs="Arial"/>
          <w:sz w:val="20"/>
          <w:szCs w:val="20"/>
        </w:rPr>
        <w:t>y and transaction activity of our buyers and sellers and to enhance the user experience, we may not be able to effectively manage our operating expenses, to increase or maintain our revenue or to avoid a decline in our consolidated net income or a net loss</w:t>
      </w:r>
      <w:r>
        <w:rPr>
          <w:rFonts w:ascii="Arial" w:eastAsia="宋体" w:hAnsi="Arial" w:cs="Arial"/>
          <w:sz w:val="20"/>
          <w:szCs w:val="20"/>
        </w:rPr>
        <w:t>.</w:t>
      </w:r>
    </w:p>
    <w:p w14:paraId="0BC976C1" w14:textId="77777777" w:rsidR="009F0928" w:rsidRDefault="009F0928">
      <w:pPr>
        <w:spacing w:line="288" w:lineRule="auto"/>
        <w:ind w:firstLine="720"/>
        <w:jc w:val="both"/>
        <w:rPr>
          <w:rFonts w:ascii="Times New Roman" w:hAnsi="Times New Roman"/>
          <w:sz w:val="20"/>
          <w:szCs w:val="20"/>
        </w:rPr>
      </w:pPr>
    </w:p>
    <w:p w14:paraId="0BC976C2"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Government Regulation</w:t>
      </w:r>
    </w:p>
    <w:p w14:paraId="0BC976C3" w14:textId="77777777" w:rsidR="009F0928" w:rsidRDefault="009F0928">
      <w:pPr>
        <w:spacing w:line="288" w:lineRule="auto"/>
        <w:ind w:firstLine="720"/>
        <w:jc w:val="both"/>
        <w:rPr>
          <w:rFonts w:ascii="Times New Roman" w:hAnsi="Times New Roman"/>
          <w:sz w:val="20"/>
          <w:szCs w:val="20"/>
        </w:rPr>
      </w:pPr>
    </w:p>
    <w:p w14:paraId="0BC976C4"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Government regulation impacts key aspects of our business. In particular, we are subject to laws and regulations that affect the ecommerce industry in many countries where we operate. With the continued state adoption of Internet </w:t>
      </w:r>
    </w:p>
    <w:p w14:paraId="0BC976C5" w14:textId="77777777" w:rsidR="009F0928" w:rsidRDefault="009F0928">
      <w:pPr>
        <w:rPr>
          <w:rFonts w:ascii="Times New Roman" w:hAnsi="Times New Roman"/>
          <w:sz w:val="20"/>
          <w:szCs w:val="20"/>
        </w:rPr>
      </w:pPr>
    </w:p>
    <w:p w14:paraId="0BC976C6"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7</w:t>
      </w:r>
    </w:p>
    <w:p w14:paraId="0BC976C7" w14:textId="77777777" w:rsidR="009F0928" w:rsidRDefault="002112BD">
      <w:r>
        <w:rPr>
          <w:rFonts w:ascii="Times New Roman" w:hAnsi="Times New Roman"/>
          <w:sz w:val="18"/>
          <w:szCs w:val="18"/>
        </w:rPr>
        <w:pict w14:anchorId="0BC9B4C2">
          <v:rect id="_x0000_i1032" style="width:415.3pt;height:1.5pt" o:hralign="center" o:hrstd="t" o:hr="t" fillcolor="#a0a0a0" stroked="f"/>
        </w:pict>
      </w:r>
    </w:p>
    <w:p w14:paraId="0BC976C8" w14:textId="77777777" w:rsidR="009F0928" w:rsidRDefault="009F0928">
      <w:pPr>
        <w:spacing w:line="288" w:lineRule="auto"/>
        <w:rPr>
          <w:rFonts w:ascii="Times New Roman" w:hAnsi="Times New Roman"/>
          <w:sz w:val="20"/>
          <w:szCs w:val="20"/>
        </w:rPr>
      </w:pPr>
    </w:p>
    <w:p w14:paraId="0BC976C9" w14:textId="77777777" w:rsidR="009F0928" w:rsidRDefault="009F0928">
      <w:pPr>
        <w:rPr>
          <w:rFonts w:ascii="Times New Roman" w:hAnsi="Times New Roman"/>
          <w:sz w:val="20"/>
          <w:szCs w:val="20"/>
        </w:rPr>
      </w:pPr>
    </w:p>
    <w:p w14:paraId="0BC976CA"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xml:space="preserve">sales tax laws in </w:t>
      </w:r>
      <w:r>
        <w:rPr>
          <w:rFonts w:ascii="Arial" w:eastAsia="宋体" w:hAnsi="Arial" w:cs="Arial"/>
          <w:sz w:val="20"/>
          <w:szCs w:val="20"/>
        </w:rPr>
        <w:t>2019, more buyers across the U.S. are encountering sales tax for the first time on the eBay platform. To date, more than 30 states have implemented Internet sales tax and digital service tax legislation. Tax collection responsibility and the additional cos</w:t>
      </w:r>
      <w:r>
        <w:rPr>
          <w:rFonts w:ascii="Arial" w:eastAsia="宋体" w:hAnsi="Arial" w:cs="Arial"/>
          <w:sz w:val="20"/>
          <w:szCs w:val="20"/>
        </w:rPr>
        <w:t>ts associated with complex sales and use tax collection, remittance and audit requirements could create additional burdens for buyers and sellers on our websites and mobile platforms.</w:t>
      </w:r>
    </w:p>
    <w:p w14:paraId="0BC976CB" w14:textId="77777777" w:rsidR="009F0928" w:rsidRDefault="009F0928">
      <w:pPr>
        <w:spacing w:line="288" w:lineRule="auto"/>
        <w:ind w:firstLine="720"/>
        <w:jc w:val="both"/>
        <w:rPr>
          <w:rFonts w:ascii="Times New Roman" w:hAnsi="Times New Roman"/>
          <w:sz w:val="20"/>
          <w:szCs w:val="20"/>
        </w:rPr>
      </w:pPr>
    </w:p>
    <w:p w14:paraId="0BC976CC"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For more information regarding regulatory risks, see the information in</w:t>
      </w:r>
      <w:r>
        <w:rPr>
          <w:rFonts w:ascii="Arial" w:eastAsia="宋体" w:hAnsi="Arial" w:cs="Arial"/>
          <w:sz w:val="20"/>
          <w:szCs w:val="20"/>
        </w:rPr>
        <w:t xml:space="preserve"> “Item 1A: Risk Factors” under the caption “Our business is subject to extensive government regulation and oversight” and “Our business and its users are subject to Internet sales tax and sales reporting and record-keeping obligations.”</w:t>
      </w:r>
    </w:p>
    <w:p w14:paraId="0BC976CD" w14:textId="77777777" w:rsidR="009F0928" w:rsidRDefault="009F0928">
      <w:pPr>
        <w:spacing w:line="288" w:lineRule="auto"/>
        <w:ind w:firstLine="720"/>
        <w:jc w:val="both"/>
        <w:rPr>
          <w:rFonts w:ascii="Times New Roman" w:hAnsi="Times New Roman"/>
          <w:sz w:val="20"/>
          <w:szCs w:val="20"/>
        </w:rPr>
      </w:pPr>
    </w:p>
    <w:p w14:paraId="0BC976CE"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 xml:space="preserve">Seasonality </w:t>
      </w:r>
    </w:p>
    <w:p w14:paraId="0BC976CF" w14:textId="77777777" w:rsidR="009F0928" w:rsidRDefault="009F0928">
      <w:pPr>
        <w:spacing w:line="288" w:lineRule="auto"/>
        <w:ind w:firstLine="720"/>
        <w:jc w:val="both"/>
        <w:rPr>
          <w:rFonts w:ascii="Times New Roman" w:hAnsi="Times New Roman"/>
          <w:sz w:val="20"/>
          <w:szCs w:val="20"/>
        </w:rPr>
      </w:pPr>
    </w:p>
    <w:p w14:paraId="0BC976D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e</w:t>
      </w:r>
      <w:r>
        <w:rPr>
          <w:rFonts w:ascii="Arial" w:eastAsia="宋体" w:hAnsi="Arial" w:cs="Arial"/>
          <w:sz w:val="20"/>
          <w:szCs w:val="20"/>
        </w:rPr>
        <w:t>xpect transaction activity patterns on our platforms to mirror general consumer buying patterns. Please see the additional information in “Item 7: Management’s Discussion and Analysis of Financial Condition and Results of Operations” under the caption “Sea</w:t>
      </w:r>
      <w:r>
        <w:rPr>
          <w:rFonts w:ascii="Arial" w:eastAsia="宋体" w:hAnsi="Arial" w:cs="Arial"/>
          <w:sz w:val="20"/>
          <w:szCs w:val="20"/>
        </w:rPr>
        <w:t xml:space="preserve">sonality.” </w:t>
      </w:r>
    </w:p>
    <w:p w14:paraId="0BC976D1" w14:textId="77777777" w:rsidR="009F0928" w:rsidRDefault="009F0928">
      <w:pPr>
        <w:spacing w:line="288" w:lineRule="auto"/>
        <w:ind w:firstLine="720"/>
        <w:jc w:val="both"/>
        <w:rPr>
          <w:rFonts w:ascii="Times New Roman" w:hAnsi="Times New Roman"/>
          <w:sz w:val="20"/>
          <w:szCs w:val="20"/>
        </w:rPr>
      </w:pPr>
    </w:p>
    <w:p w14:paraId="0BC976D2"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 xml:space="preserve">Technology </w:t>
      </w:r>
    </w:p>
    <w:p w14:paraId="0BC976D3" w14:textId="77777777" w:rsidR="009F0928" w:rsidRDefault="009F0928">
      <w:pPr>
        <w:spacing w:line="288" w:lineRule="auto"/>
        <w:ind w:firstLine="720"/>
        <w:jc w:val="both"/>
        <w:rPr>
          <w:rFonts w:ascii="Times New Roman" w:hAnsi="Times New Roman"/>
          <w:sz w:val="20"/>
          <w:szCs w:val="20"/>
        </w:rPr>
      </w:pPr>
    </w:p>
    <w:p w14:paraId="0BC976D4"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eBay Inc.’s platforms use a combination of proprietary technologies and services as well as technologies and services provided by others. We have developed intuitive user interfaces, buyer, seller and developer tools and transacti</w:t>
      </w:r>
      <w:r>
        <w:rPr>
          <w:rFonts w:ascii="Arial" w:eastAsia="宋体" w:hAnsi="Arial" w:cs="Arial"/>
          <w:sz w:val="20"/>
          <w:szCs w:val="20"/>
        </w:rPr>
        <w:t xml:space="preserve">on processing, database and network applications that help enable our users to reliably and securely complete transactions on our sites. Our technology infrastructure simplifies the storage and processing of large amounts of data, eases the deployment and </w:t>
      </w:r>
      <w:r>
        <w:rPr>
          <w:rFonts w:ascii="Arial" w:eastAsia="宋体" w:hAnsi="Arial" w:cs="Arial"/>
          <w:sz w:val="20"/>
          <w:szCs w:val="20"/>
        </w:rPr>
        <w:t>operation of large-scale global products and services and automates much of the administration of large-scale clusters of computers. Our infrastructure has been designed around industry-standard architectures to reduce downtime in the event of outages or c</w:t>
      </w:r>
      <w:r>
        <w:rPr>
          <w:rFonts w:ascii="Arial" w:eastAsia="宋体" w:hAnsi="Arial" w:cs="Arial"/>
          <w:sz w:val="20"/>
          <w:szCs w:val="20"/>
        </w:rPr>
        <w:t xml:space="preserve">atastrophic occurrences. </w:t>
      </w:r>
    </w:p>
    <w:p w14:paraId="0BC976D5" w14:textId="77777777" w:rsidR="009F0928" w:rsidRDefault="009F0928">
      <w:pPr>
        <w:spacing w:line="288" w:lineRule="auto"/>
        <w:ind w:firstLine="720"/>
        <w:jc w:val="both"/>
        <w:rPr>
          <w:rFonts w:ascii="Times New Roman" w:hAnsi="Times New Roman"/>
          <w:sz w:val="20"/>
          <w:szCs w:val="20"/>
        </w:rPr>
      </w:pPr>
    </w:p>
    <w:p w14:paraId="0BC976D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For information regarding technology-related risks, see the information in “Item 1A: Risk Factors” under the captions “Systems failures or cyberattacks and resulting interruptions in the availability of or degradation in the </w:t>
      </w:r>
      <w:r>
        <w:rPr>
          <w:rFonts w:ascii="Arial" w:eastAsia="宋体" w:hAnsi="Arial" w:cs="Arial"/>
          <w:sz w:val="20"/>
          <w:szCs w:val="20"/>
        </w:rPr>
        <w:t>performance of our websites, applications, products or services could harm our business” and “Regulation in the areas of privacy and protection of user data could harm our business.”</w:t>
      </w:r>
    </w:p>
    <w:p w14:paraId="0BC976D7" w14:textId="77777777" w:rsidR="009F0928" w:rsidRDefault="009F0928">
      <w:pPr>
        <w:spacing w:line="288" w:lineRule="auto"/>
        <w:ind w:firstLine="720"/>
        <w:jc w:val="both"/>
        <w:rPr>
          <w:rFonts w:ascii="Times New Roman" w:hAnsi="Times New Roman"/>
          <w:sz w:val="20"/>
          <w:szCs w:val="20"/>
        </w:rPr>
      </w:pPr>
    </w:p>
    <w:p w14:paraId="0BC976D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support of our ongoing commitment to innovation and a better customer</w:t>
      </w:r>
      <w:r>
        <w:rPr>
          <w:rFonts w:ascii="Arial" w:eastAsia="宋体" w:hAnsi="Arial" w:cs="Arial"/>
          <w:sz w:val="20"/>
          <w:szCs w:val="20"/>
        </w:rPr>
        <w:t xml:space="preserve"> experience, we have been on a multi-year evolution to modernize our marketplace. Through technologies like artificial intelligence, which is woven into all aspects of the eBay marketplace, we are anticipating the needs of buyers, sellers and developers em</w:t>
      </w:r>
      <w:r>
        <w:rPr>
          <w:rFonts w:ascii="Arial" w:eastAsia="宋体" w:hAnsi="Arial" w:cs="Arial"/>
          <w:sz w:val="20"/>
          <w:szCs w:val="20"/>
        </w:rPr>
        <w:t xml:space="preserve">powering entrepreneurs looking to grow their business, and making the platform more accessible to everyone. We aim to create highly personalized and inspiring shopping experiences powered by advanced technologies. </w:t>
      </w:r>
    </w:p>
    <w:p w14:paraId="0BC976D9" w14:textId="77777777" w:rsidR="009F0928" w:rsidRDefault="009F0928">
      <w:pPr>
        <w:spacing w:line="288" w:lineRule="auto"/>
        <w:ind w:firstLine="720"/>
        <w:jc w:val="both"/>
        <w:rPr>
          <w:rFonts w:ascii="Times New Roman" w:hAnsi="Times New Roman"/>
          <w:sz w:val="20"/>
          <w:szCs w:val="20"/>
        </w:rPr>
      </w:pPr>
    </w:p>
    <w:p w14:paraId="0BC976DA"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 xml:space="preserve">Intellectual Property </w:t>
      </w:r>
    </w:p>
    <w:p w14:paraId="0BC976DB" w14:textId="77777777" w:rsidR="009F0928" w:rsidRDefault="009F0928">
      <w:pPr>
        <w:spacing w:line="288" w:lineRule="auto"/>
        <w:ind w:firstLine="720"/>
        <w:jc w:val="both"/>
        <w:rPr>
          <w:rFonts w:ascii="Times New Roman" w:hAnsi="Times New Roman"/>
          <w:sz w:val="20"/>
          <w:szCs w:val="20"/>
        </w:rPr>
      </w:pPr>
    </w:p>
    <w:p w14:paraId="0BC976DC"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regard the pr</w:t>
      </w:r>
      <w:r>
        <w:rPr>
          <w:rFonts w:ascii="Arial" w:eastAsia="宋体" w:hAnsi="Arial" w:cs="Arial"/>
          <w:sz w:val="20"/>
          <w:szCs w:val="20"/>
        </w:rPr>
        <w:t>otection of our intellectual property, including our trademarks (particularly those covering the eBay name), patents, copyrights, domain names, trade dress and trade secrets as critical to our success. We aggressively protect our intellectual property righ</w:t>
      </w:r>
      <w:r>
        <w:rPr>
          <w:rFonts w:ascii="Arial" w:eastAsia="宋体" w:hAnsi="Arial" w:cs="Arial"/>
          <w:sz w:val="20"/>
          <w:szCs w:val="20"/>
        </w:rPr>
        <w:t>ts by relying on federal, state and common law rights in the U.S. and internationally, as well as a variety of administrative procedures. We also rely on contractual restrictions to protect our proprietary rights in products and services. We routinely ente</w:t>
      </w:r>
      <w:r>
        <w:rPr>
          <w:rFonts w:ascii="Arial" w:eastAsia="宋体" w:hAnsi="Arial" w:cs="Arial"/>
          <w:sz w:val="20"/>
          <w:szCs w:val="20"/>
        </w:rPr>
        <w:t>r into confidentiality and invention assignment agreements with our employees and contractors and nondisclosure agreements with parties with whom we conduct business to limit access to and disclosure of our proprietary information.</w:t>
      </w:r>
    </w:p>
    <w:p w14:paraId="0BC976D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w:t>
      </w:r>
    </w:p>
    <w:p w14:paraId="0BC976D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pursue the </w:t>
      </w:r>
      <w:r>
        <w:rPr>
          <w:rFonts w:ascii="Arial" w:eastAsia="宋体" w:hAnsi="Arial" w:cs="Arial"/>
          <w:sz w:val="20"/>
          <w:szCs w:val="20"/>
        </w:rPr>
        <w:t>registration of our domain names, trademarks and service marks in the U.S. and internationally. Additionally, we have filed U.S. and international patent applications covering certain aspects of our proprietary technology. Effective trademark, copyright, p</w:t>
      </w:r>
      <w:r>
        <w:rPr>
          <w:rFonts w:ascii="Arial" w:eastAsia="宋体" w:hAnsi="Arial" w:cs="Arial"/>
          <w:sz w:val="20"/>
          <w:szCs w:val="20"/>
        </w:rPr>
        <w:t>atent, domain name, trade dress and trade secret protection is typically expensive to maintain and may require litigation. We must protect our intellectual property rights and other proprietary rights in an increasing number of jurisdictions, a process tha</w:t>
      </w:r>
      <w:r>
        <w:rPr>
          <w:rFonts w:ascii="Arial" w:eastAsia="宋体" w:hAnsi="Arial" w:cs="Arial"/>
          <w:sz w:val="20"/>
          <w:szCs w:val="20"/>
        </w:rPr>
        <w:t>t is expensive and time consuming and may not be successful.</w:t>
      </w:r>
    </w:p>
    <w:p w14:paraId="0BC976D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w:t>
      </w:r>
    </w:p>
    <w:p w14:paraId="0BC976E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have registered our core brands as trademarks and domain names in the U.S. and a large number of other jurisdictions and have in place an active program to continue to secure trademarks and </w:t>
      </w:r>
      <w:r>
        <w:rPr>
          <w:rFonts w:ascii="Arial" w:eastAsia="宋体" w:hAnsi="Arial" w:cs="Arial"/>
          <w:sz w:val="20"/>
          <w:szCs w:val="20"/>
        </w:rPr>
        <w:t>domain names that correspond to our brands in markets of interest. If we are unable to register or protect our trademarks or domain names, we could be adversely affected in any jurisdiction in which our trademarks or domain names are not registered or prot</w:t>
      </w:r>
      <w:r>
        <w:rPr>
          <w:rFonts w:ascii="Arial" w:eastAsia="宋体" w:hAnsi="Arial" w:cs="Arial"/>
          <w:sz w:val="20"/>
          <w:szCs w:val="20"/>
        </w:rPr>
        <w:t>ected. We have licensed in the past, and expect to license in the future, certain of our proprietary rights, such as trademarks or copyrighted material, to others.</w:t>
      </w:r>
    </w:p>
    <w:p w14:paraId="0BC976E1" w14:textId="77777777" w:rsidR="009F0928" w:rsidRDefault="009F0928">
      <w:pPr>
        <w:rPr>
          <w:rFonts w:ascii="Times New Roman" w:hAnsi="Times New Roman"/>
          <w:sz w:val="20"/>
          <w:szCs w:val="20"/>
        </w:rPr>
      </w:pPr>
    </w:p>
    <w:p w14:paraId="0BC976E2"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8</w:t>
      </w:r>
    </w:p>
    <w:p w14:paraId="0BC976E3" w14:textId="77777777" w:rsidR="009F0928" w:rsidRDefault="002112BD">
      <w:r>
        <w:rPr>
          <w:rFonts w:ascii="Times New Roman" w:hAnsi="Times New Roman"/>
          <w:sz w:val="18"/>
          <w:szCs w:val="18"/>
        </w:rPr>
        <w:pict w14:anchorId="0BC9B4C3">
          <v:rect id="_x0000_i1033" style="width:415.3pt;height:1.5pt" o:hralign="center" o:hrstd="t" o:hr="t" fillcolor="#a0a0a0" stroked="f"/>
        </w:pict>
      </w:r>
    </w:p>
    <w:p w14:paraId="0BC976E4" w14:textId="77777777" w:rsidR="009F0928" w:rsidRDefault="009F0928">
      <w:pPr>
        <w:spacing w:line="288" w:lineRule="auto"/>
        <w:rPr>
          <w:rFonts w:ascii="Times New Roman" w:hAnsi="Times New Roman"/>
          <w:sz w:val="20"/>
          <w:szCs w:val="20"/>
        </w:rPr>
      </w:pPr>
    </w:p>
    <w:p w14:paraId="0BC976E5" w14:textId="77777777" w:rsidR="009F0928" w:rsidRDefault="009F0928">
      <w:pPr>
        <w:rPr>
          <w:rFonts w:ascii="Times New Roman" w:hAnsi="Times New Roman"/>
          <w:sz w:val="20"/>
          <w:szCs w:val="20"/>
        </w:rPr>
      </w:pPr>
    </w:p>
    <w:p w14:paraId="0BC976E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w:t>
      </w:r>
    </w:p>
    <w:p w14:paraId="0BC976E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From time to time, third parties have claimed - and others will likely claim in the</w:t>
      </w:r>
      <w:r>
        <w:rPr>
          <w:rFonts w:ascii="Arial" w:eastAsia="宋体" w:hAnsi="Arial" w:cs="Arial"/>
          <w:sz w:val="20"/>
          <w:szCs w:val="20"/>
        </w:rPr>
        <w:t xml:space="preserve"> future - that we have infringed their intellectual property rights. We are typically involved in a number of such legal proceedings at any time. Please see the information in “Item 3: Legal Proceedings” and in “Item 1A: Risk Factors” under the captions “T</w:t>
      </w:r>
      <w:r>
        <w:rPr>
          <w:rFonts w:ascii="Arial" w:eastAsia="宋体" w:hAnsi="Arial" w:cs="Arial"/>
          <w:sz w:val="20"/>
          <w:szCs w:val="20"/>
        </w:rPr>
        <w:t>he listing or sale by our users of items that allegedly infringe the intellectual property rights of rights owners, including pirated or counterfeit items, may harm our business,” and “We may be unable to adequately protect or enforce our intellectual prop</w:t>
      </w:r>
      <w:r>
        <w:rPr>
          <w:rFonts w:ascii="Arial" w:eastAsia="宋体" w:hAnsi="Arial" w:cs="Arial"/>
          <w:sz w:val="20"/>
          <w:szCs w:val="20"/>
        </w:rPr>
        <w:t>erty rights and face ongoing risk from patent litigation and allegations by third parties that we are infringing their intellectual property rights.”</w:t>
      </w:r>
    </w:p>
    <w:p w14:paraId="0BC976E8" w14:textId="77777777" w:rsidR="009F0928" w:rsidRDefault="009F0928">
      <w:pPr>
        <w:spacing w:line="288" w:lineRule="auto"/>
        <w:jc w:val="both"/>
        <w:rPr>
          <w:rFonts w:ascii="Times New Roman" w:hAnsi="Times New Roman"/>
          <w:sz w:val="20"/>
          <w:szCs w:val="20"/>
        </w:rPr>
      </w:pPr>
    </w:p>
    <w:p w14:paraId="0BC976E9"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 xml:space="preserve">Employees </w:t>
      </w:r>
    </w:p>
    <w:p w14:paraId="0BC976EA" w14:textId="77777777" w:rsidR="009F0928" w:rsidRDefault="009F0928">
      <w:pPr>
        <w:spacing w:line="288" w:lineRule="auto"/>
        <w:ind w:firstLine="720"/>
        <w:jc w:val="both"/>
        <w:rPr>
          <w:rFonts w:ascii="Times New Roman" w:hAnsi="Times New Roman"/>
          <w:sz w:val="20"/>
          <w:szCs w:val="20"/>
        </w:rPr>
      </w:pPr>
    </w:p>
    <w:p w14:paraId="0BC976E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As of December 31, 2019, we employed approximately 13,300 people globally. Approximately 6,60</w:t>
      </w:r>
      <w:r>
        <w:rPr>
          <w:rFonts w:ascii="Arial" w:eastAsia="宋体" w:hAnsi="Arial" w:cs="Arial"/>
          <w:sz w:val="20"/>
          <w:szCs w:val="20"/>
        </w:rPr>
        <w:t xml:space="preserve">0 of our employees were located in the U.S. </w:t>
      </w:r>
    </w:p>
    <w:p w14:paraId="0BC976EC" w14:textId="77777777" w:rsidR="009F0928" w:rsidRDefault="009F0928">
      <w:pPr>
        <w:spacing w:line="288" w:lineRule="auto"/>
        <w:ind w:firstLine="720"/>
        <w:jc w:val="both"/>
        <w:rPr>
          <w:rFonts w:ascii="Times New Roman" w:hAnsi="Times New Roman"/>
          <w:sz w:val="20"/>
          <w:szCs w:val="20"/>
        </w:rPr>
      </w:pPr>
    </w:p>
    <w:p w14:paraId="0BC976ED"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 xml:space="preserve">Available Information </w:t>
      </w:r>
    </w:p>
    <w:p w14:paraId="0BC976EE" w14:textId="77777777" w:rsidR="009F0928" w:rsidRDefault="009F0928">
      <w:pPr>
        <w:spacing w:line="288" w:lineRule="auto"/>
        <w:ind w:firstLine="720"/>
        <w:jc w:val="both"/>
        <w:rPr>
          <w:rFonts w:ascii="Times New Roman" w:hAnsi="Times New Roman"/>
          <w:sz w:val="20"/>
          <w:szCs w:val="20"/>
        </w:rPr>
      </w:pPr>
    </w:p>
    <w:p w14:paraId="0BC976E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Our Internet address is </w:t>
      </w:r>
      <w:r>
        <w:rPr>
          <w:rFonts w:ascii="Arial" w:eastAsia="宋体" w:hAnsi="Arial" w:cs="Arial"/>
          <w:sz w:val="20"/>
          <w:szCs w:val="20"/>
          <w:u w:val="single"/>
        </w:rPr>
        <w:t>www.ebay.com</w:t>
      </w:r>
      <w:r>
        <w:rPr>
          <w:rFonts w:ascii="Arial" w:eastAsia="宋体" w:hAnsi="Arial" w:cs="Arial"/>
          <w:sz w:val="20"/>
          <w:szCs w:val="20"/>
        </w:rPr>
        <w:t xml:space="preserve">. Our investor relations website is located at </w:t>
      </w:r>
      <w:r>
        <w:rPr>
          <w:rFonts w:ascii="Arial" w:eastAsia="宋体" w:hAnsi="Arial" w:cs="Arial"/>
          <w:sz w:val="20"/>
          <w:szCs w:val="20"/>
          <w:u w:val="single"/>
        </w:rPr>
        <w:t>investors.ebayinc.com</w:t>
      </w:r>
      <w:r>
        <w:rPr>
          <w:rFonts w:ascii="Arial" w:eastAsia="宋体" w:hAnsi="Arial" w:cs="Arial"/>
          <w:sz w:val="20"/>
          <w:szCs w:val="20"/>
        </w:rPr>
        <w:t>. We make available free of charge on our investor relations website under the hea</w:t>
      </w:r>
      <w:r>
        <w:rPr>
          <w:rFonts w:ascii="Arial" w:eastAsia="宋体" w:hAnsi="Arial" w:cs="Arial"/>
          <w:sz w:val="20"/>
          <w:szCs w:val="20"/>
        </w:rPr>
        <w:t>ding “Financial Information - SEC Filings” our Annual Reports on Form 10-K, Quarterly Reports on Form 10-Q, Current Reports on Form 8-K and amendments to those reports as soon as reasonably practicable after such materials are electronically filed with (or</w:t>
      </w:r>
      <w:r>
        <w:rPr>
          <w:rFonts w:ascii="Arial" w:eastAsia="宋体" w:hAnsi="Arial" w:cs="Arial"/>
          <w:sz w:val="20"/>
          <w:szCs w:val="20"/>
        </w:rPr>
        <w:t xml:space="preserve"> furnished to) the SEC.</w:t>
      </w:r>
    </w:p>
    <w:p w14:paraId="0BC976F0" w14:textId="77777777" w:rsidR="009F0928" w:rsidRDefault="009F0928">
      <w:pPr>
        <w:spacing w:line="288" w:lineRule="auto"/>
        <w:ind w:firstLine="720"/>
        <w:jc w:val="both"/>
        <w:rPr>
          <w:rFonts w:ascii="Times New Roman" w:hAnsi="Times New Roman"/>
          <w:sz w:val="20"/>
          <w:szCs w:val="20"/>
        </w:rPr>
      </w:pPr>
    </w:p>
    <w:p w14:paraId="0BC976F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webcast our earnings calls and certain events we participate in or host with members of the investment community on our investor relations website. Additionally, we provide notifications of news or announcements regarding our fi</w:t>
      </w:r>
      <w:r>
        <w:rPr>
          <w:rFonts w:ascii="Arial" w:eastAsia="宋体" w:hAnsi="Arial" w:cs="Arial"/>
          <w:sz w:val="20"/>
          <w:szCs w:val="20"/>
        </w:rPr>
        <w:t>nancial performance, including SEC filings, investor events, press and earnings releases, and blogs on our investor relations website. Company sustainability information for investors is available on our investor relations website under the heading “ESG In</w:t>
      </w:r>
      <w:r>
        <w:rPr>
          <w:rFonts w:ascii="Arial" w:eastAsia="宋体" w:hAnsi="Arial" w:cs="Arial"/>
          <w:sz w:val="20"/>
          <w:szCs w:val="20"/>
        </w:rPr>
        <w:t>vestors.” Corporate governance information, including our governance guidelines for our Board of Directors (“Board”), Board committee charters and code of conduct, is also available on our investor relations website under the heading “Corporate Governance.</w:t>
      </w:r>
      <w:r>
        <w:rPr>
          <w:rFonts w:ascii="Arial" w:eastAsia="宋体" w:hAnsi="Arial" w:cs="Arial"/>
          <w:sz w:val="20"/>
          <w:szCs w:val="20"/>
        </w:rPr>
        <w:t>”</w:t>
      </w:r>
    </w:p>
    <w:p w14:paraId="0BC976F2" w14:textId="77777777" w:rsidR="009F0928" w:rsidRDefault="009F0928">
      <w:pPr>
        <w:spacing w:line="288" w:lineRule="auto"/>
        <w:ind w:firstLine="720"/>
        <w:jc w:val="both"/>
        <w:rPr>
          <w:rFonts w:ascii="Times New Roman" w:hAnsi="Times New Roman"/>
          <w:sz w:val="20"/>
          <w:szCs w:val="20"/>
        </w:rPr>
      </w:pPr>
    </w:p>
    <w:p w14:paraId="0BC976F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contents of our websites and webcasts and information that can be accessed through our websites and webcasts are not incorporated by reference into this Annual Report on Form 10-K or in any other report or document we file with (or furnish to) the S</w:t>
      </w:r>
      <w:r>
        <w:rPr>
          <w:rFonts w:ascii="Arial" w:eastAsia="宋体" w:hAnsi="Arial" w:cs="Arial"/>
          <w:sz w:val="20"/>
          <w:szCs w:val="20"/>
        </w:rPr>
        <w:t xml:space="preserve">EC, and any references to our websites and webcasts are intended to be inactive textual references only. </w:t>
      </w:r>
    </w:p>
    <w:p w14:paraId="0BC976F4" w14:textId="77777777" w:rsidR="009F0928" w:rsidRDefault="009F0928">
      <w:pPr>
        <w:rPr>
          <w:rFonts w:ascii="Times New Roman" w:hAnsi="Times New Roman"/>
          <w:sz w:val="20"/>
          <w:szCs w:val="20"/>
        </w:rPr>
      </w:pPr>
    </w:p>
    <w:p w14:paraId="0BC976F5"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9</w:t>
      </w:r>
    </w:p>
    <w:p w14:paraId="0BC976F6" w14:textId="77777777" w:rsidR="009F0928" w:rsidRDefault="002112BD">
      <w:r>
        <w:rPr>
          <w:rFonts w:ascii="Times New Roman" w:hAnsi="Times New Roman"/>
          <w:sz w:val="18"/>
          <w:szCs w:val="18"/>
        </w:rPr>
        <w:pict w14:anchorId="0BC9B4C4">
          <v:rect id="_x0000_i1034" style="width:415.3pt;height:1.5pt" o:hralign="center" o:hrstd="t" o:hr="t" fillcolor="#a0a0a0" stroked="f"/>
        </w:pict>
      </w:r>
    </w:p>
    <w:p w14:paraId="0BC976F7" w14:textId="77777777" w:rsidR="009F0928" w:rsidRDefault="009F0928">
      <w:pPr>
        <w:spacing w:line="288" w:lineRule="auto"/>
        <w:rPr>
          <w:rFonts w:ascii="Times New Roman" w:hAnsi="Times New Roman"/>
          <w:sz w:val="20"/>
          <w:szCs w:val="20"/>
        </w:rPr>
      </w:pPr>
    </w:p>
    <w:p w14:paraId="0BC976F8" w14:textId="77777777" w:rsidR="009F0928" w:rsidRDefault="009F0928">
      <w:pPr>
        <w:rPr>
          <w:rFonts w:ascii="Times New Roman" w:hAnsi="Times New Roman"/>
          <w:sz w:val="20"/>
          <w:szCs w:val="20"/>
        </w:rPr>
      </w:pPr>
    </w:p>
    <w:p w14:paraId="0BC976F9"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 xml:space="preserve">Item 1A: </w:t>
      </w:r>
      <w:r>
        <w:rPr>
          <w:rFonts w:ascii="Arial" w:eastAsia="宋体" w:hAnsi="Arial" w:cs="Arial"/>
          <w:b/>
          <w:bCs/>
          <w:i/>
          <w:iCs/>
          <w:sz w:val="20"/>
          <w:szCs w:val="20"/>
        </w:rPr>
        <w:t>RISK FACTORS</w:t>
      </w:r>
    </w:p>
    <w:p w14:paraId="0BC976FA" w14:textId="77777777" w:rsidR="009F0928" w:rsidRDefault="009F0928">
      <w:pPr>
        <w:spacing w:line="288" w:lineRule="auto"/>
        <w:jc w:val="both"/>
        <w:rPr>
          <w:rFonts w:ascii="Times New Roman" w:hAnsi="Times New Roman"/>
          <w:sz w:val="20"/>
          <w:szCs w:val="20"/>
        </w:rPr>
      </w:pPr>
    </w:p>
    <w:p w14:paraId="0BC976FB"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You should carefully review the following discussion of the risks that may affect our business, results of operations and financial condition, as well as our consolidated financial statements and notes thereto and the other information appearing in this re</w:t>
      </w:r>
      <w:r>
        <w:rPr>
          <w:rFonts w:ascii="Arial" w:eastAsia="宋体" w:hAnsi="Arial" w:cs="Arial"/>
          <w:sz w:val="20"/>
          <w:szCs w:val="20"/>
        </w:rPr>
        <w:t>port, for important information regarding risks that affect us. Current global economic events and conditions may amplify many of these risks. These risks are not the only risks that may affect us. Additional risks that we are not aware of or do not believ</w:t>
      </w:r>
      <w:r>
        <w:rPr>
          <w:rFonts w:ascii="Arial" w:eastAsia="宋体" w:hAnsi="Arial" w:cs="Arial"/>
          <w:sz w:val="20"/>
          <w:szCs w:val="20"/>
        </w:rPr>
        <w:t xml:space="preserve">e are material at the time of this filing may also become important factors that adversely affect our business. </w:t>
      </w:r>
    </w:p>
    <w:p w14:paraId="0BC976FC" w14:textId="77777777" w:rsidR="009F0928" w:rsidRDefault="009F0928">
      <w:pPr>
        <w:spacing w:line="288" w:lineRule="auto"/>
        <w:jc w:val="both"/>
        <w:rPr>
          <w:rFonts w:ascii="Times New Roman" w:hAnsi="Times New Roman"/>
          <w:sz w:val="20"/>
          <w:szCs w:val="20"/>
        </w:rPr>
      </w:pPr>
    </w:p>
    <w:p w14:paraId="0BC976FD"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Risk Factors That May Affect our Business, Results of Operations and Financial Condition </w:t>
      </w:r>
    </w:p>
    <w:p w14:paraId="0BC976FE" w14:textId="77777777" w:rsidR="009F0928" w:rsidRDefault="009F0928">
      <w:pPr>
        <w:spacing w:line="288" w:lineRule="auto"/>
        <w:ind w:firstLine="600"/>
        <w:jc w:val="both"/>
        <w:rPr>
          <w:rFonts w:ascii="Times New Roman" w:hAnsi="Times New Roman"/>
          <w:sz w:val="20"/>
          <w:szCs w:val="20"/>
        </w:rPr>
      </w:pPr>
    </w:p>
    <w:p w14:paraId="0BC976FF"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 xml:space="preserve">Our operating and financial results are subject to various risks and uncertainties that could adversely affect our business, financial condition, results of operations and cash flows, as well as the trading price of our common stock and debt securities. </w:t>
      </w:r>
    </w:p>
    <w:p w14:paraId="0BC97700" w14:textId="77777777" w:rsidR="009F0928" w:rsidRDefault="009F0928">
      <w:pPr>
        <w:spacing w:line="288" w:lineRule="auto"/>
        <w:ind w:firstLine="600"/>
        <w:jc w:val="both"/>
        <w:rPr>
          <w:rFonts w:ascii="Times New Roman" w:hAnsi="Times New Roman"/>
          <w:sz w:val="20"/>
          <w:szCs w:val="20"/>
        </w:rPr>
      </w:pPr>
    </w:p>
    <w:p w14:paraId="0BC97701"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Our operating and financial results have varied on a quarterly basis during our operating history and may continue to fluctuate significantly as a result of a variety of factors, including as a result of the risks set forth in this “Risk Factors” section. </w:t>
      </w:r>
      <w:r>
        <w:rPr>
          <w:rFonts w:ascii="Arial" w:eastAsia="宋体" w:hAnsi="Arial" w:cs="Arial"/>
          <w:sz w:val="20"/>
          <w:szCs w:val="20"/>
        </w:rPr>
        <w:t>It is difficult for us to forecast the level or source of our revenues or earnings (loss) accurately. In view of the rapidly evolving nature of our business, period-to-period comparisons of our operating results may not be meaningful, and you should not re</w:t>
      </w:r>
      <w:r>
        <w:rPr>
          <w:rFonts w:ascii="Arial" w:eastAsia="宋体" w:hAnsi="Arial" w:cs="Arial"/>
          <w:sz w:val="20"/>
          <w:szCs w:val="20"/>
        </w:rPr>
        <w:t>ly upon them as an indication of future performance. We do not have backlog, and substantially all of our net revenues each quarter come from transactions involving sales during that quarter. Due to the inherent difficulty in forecasting revenues, it is al</w:t>
      </w:r>
      <w:r>
        <w:rPr>
          <w:rFonts w:ascii="Arial" w:eastAsia="宋体" w:hAnsi="Arial" w:cs="Arial"/>
          <w:sz w:val="20"/>
          <w:szCs w:val="20"/>
        </w:rPr>
        <w:t>so difficult to forecast expenses as a percentage of net revenues. Quarterly and annual expenses as a percentage of net revenues reflected in our consolidated financial statements may be significantly different from historical or projected percentages. Our</w:t>
      </w:r>
      <w:r>
        <w:rPr>
          <w:rFonts w:ascii="Arial" w:eastAsia="宋体" w:hAnsi="Arial" w:cs="Arial"/>
          <w:sz w:val="20"/>
          <w:szCs w:val="20"/>
        </w:rPr>
        <w:t xml:space="preserve"> operating results in one or more future quarters may fall below the expectations of securities analysts and investors. The trading price of our common stock and debt securities could decline, perhaps substantially, as a result of the factors described in </w:t>
      </w:r>
      <w:r>
        <w:rPr>
          <w:rFonts w:ascii="Arial" w:eastAsia="宋体" w:hAnsi="Arial" w:cs="Arial"/>
          <w:sz w:val="20"/>
          <w:szCs w:val="20"/>
        </w:rPr>
        <w:t>this paragraph and the other risks set forth in this “Risk Factors” section.</w:t>
      </w:r>
    </w:p>
    <w:p w14:paraId="0BC97702" w14:textId="77777777" w:rsidR="009F0928" w:rsidRDefault="009F0928">
      <w:pPr>
        <w:spacing w:line="288" w:lineRule="auto"/>
        <w:ind w:firstLine="600"/>
        <w:jc w:val="both"/>
        <w:rPr>
          <w:rFonts w:ascii="Times New Roman" w:hAnsi="Times New Roman"/>
          <w:sz w:val="20"/>
          <w:szCs w:val="20"/>
        </w:rPr>
      </w:pPr>
    </w:p>
    <w:p w14:paraId="0BC97703"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Substantial and increasingly intense competition worldwide in ecommerce may harm our business.</w:t>
      </w:r>
    </w:p>
    <w:p w14:paraId="0BC97704" w14:textId="77777777" w:rsidR="009F0928" w:rsidRDefault="009F0928">
      <w:pPr>
        <w:spacing w:line="288" w:lineRule="auto"/>
        <w:ind w:firstLine="600"/>
        <w:jc w:val="both"/>
        <w:rPr>
          <w:rFonts w:ascii="Times New Roman" w:hAnsi="Times New Roman"/>
          <w:sz w:val="20"/>
          <w:szCs w:val="20"/>
        </w:rPr>
      </w:pPr>
    </w:p>
    <w:p w14:paraId="0BC97705"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The businesses and markets in which we operate are intensely competitive. We curre</w:t>
      </w:r>
      <w:r>
        <w:rPr>
          <w:rFonts w:ascii="Arial" w:eastAsia="宋体" w:hAnsi="Arial" w:cs="Arial"/>
          <w:sz w:val="20"/>
          <w:szCs w:val="20"/>
        </w:rPr>
        <w:t xml:space="preserve">ntly and potentially compete with a wide variety of online and offline companies providing goods and services to consumers and merchants. The Internet and mobile networks provide new, rapidly evolving and intensely competitive channels for the sale of all </w:t>
      </w:r>
      <w:r>
        <w:rPr>
          <w:rFonts w:ascii="Arial" w:eastAsia="宋体" w:hAnsi="Arial" w:cs="Arial"/>
          <w:sz w:val="20"/>
          <w:szCs w:val="20"/>
        </w:rPr>
        <w:t>types of goods and services. We compete in two-sided markets, and must attract both buyers and sellers to use our platforms. Consumers who purchase or sell goods and services through us have more and more alternatives, and merchants have more channels to r</w:t>
      </w:r>
      <w:r>
        <w:rPr>
          <w:rFonts w:ascii="Arial" w:eastAsia="宋体" w:hAnsi="Arial" w:cs="Arial"/>
          <w:sz w:val="20"/>
          <w:szCs w:val="20"/>
        </w:rPr>
        <w:t>each consumers. We expect competition to continue to intensify. Online and offline businesses increasingly are competing with each other and our competitors include a number of online and offline retailers with significant resources, large user communities</w:t>
      </w:r>
      <w:r>
        <w:rPr>
          <w:rFonts w:ascii="Arial" w:eastAsia="宋体" w:hAnsi="Arial" w:cs="Arial"/>
          <w:sz w:val="20"/>
          <w:szCs w:val="20"/>
        </w:rPr>
        <w:t xml:space="preserve"> and well-established brands. Moreover, the barriers to entry into these channels can be low, and businesses easily can launch online sites or mobile platforms and applications at nominal cost by using commercially available software or partnering with any</w:t>
      </w:r>
      <w:r>
        <w:rPr>
          <w:rFonts w:ascii="Arial" w:eastAsia="宋体" w:hAnsi="Arial" w:cs="Arial"/>
          <w:sz w:val="20"/>
          <w:szCs w:val="20"/>
        </w:rPr>
        <w:t xml:space="preserve"> of a number of successful ecommerce companies. As we respond to changes in the competitive environment, we may, from time to time, make pricing, service or marketing decisions or acquisitions that may be controversial with and lead to dissatisfaction amon</w:t>
      </w:r>
      <w:r>
        <w:rPr>
          <w:rFonts w:ascii="Arial" w:eastAsia="宋体" w:hAnsi="Arial" w:cs="Arial"/>
          <w:sz w:val="20"/>
          <w:szCs w:val="20"/>
        </w:rPr>
        <w:t>g sellers, which could reduce activity on our platform and harm our profitability.</w:t>
      </w:r>
    </w:p>
    <w:p w14:paraId="0BC97706" w14:textId="77777777" w:rsidR="009F0928" w:rsidRDefault="009F0928">
      <w:pPr>
        <w:spacing w:line="288" w:lineRule="auto"/>
        <w:ind w:firstLine="600"/>
        <w:jc w:val="both"/>
        <w:rPr>
          <w:rFonts w:ascii="Times New Roman" w:hAnsi="Times New Roman"/>
          <w:sz w:val="20"/>
          <w:szCs w:val="20"/>
        </w:rPr>
      </w:pPr>
    </w:p>
    <w:p w14:paraId="0BC97707"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face increased competitive pressure online and offline. In particular, the competitive norm for, and the expected level of service from, ecommerce and mobile commerce ha</w:t>
      </w:r>
      <w:r>
        <w:rPr>
          <w:rFonts w:ascii="Arial" w:eastAsia="宋体" w:hAnsi="Arial" w:cs="Arial"/>
          <w:sz w:val="20"/>
          <w:szCs w:val="20"/>
        </w:rPr>
        <w:t>s significantly increased due to, among other factors, improved user experience, greater ease of buying goods, lower (or no) shipping costs, faster shipping times and more favorable return policies. In addition, certain platform businesses, such as Alibaba</w:t>
      </w:r>
      <w:r>
        <w:rPr>
          <w:rFonts w:ascii="Arial" w:eastAsia="宋体" w:hAnsi="Arial" w:cs="Arial"/>
          <w:sz w:val="20"/>
          <w:szCs w:val="20"/>
        </w:rPr>
        <w:t>, Amazon, Apple, Facebook and Google, many of whom are larger than us or have greater capitalization, have a dominant and secure position in other industries or certain significant markets, and offer other goods and services to consumers and merchants that</w:t>
      </w:r>
      <w:r>
        <w:rPr>
          <w:rFonts w:ascii="Arial" w:eastAsia="宋体" w:hAnsi="Arial" w:cs="Arial"/>
          <w:sz w:val="20"/>
          <w:szCs w:val="20"/>
        </w:rPr>
        <w:t xml:space="preserve"> we do not offer. If we are unable to change our products, offerings and services in ways that reflect the changing demands of ecommerce and mobile commerce marketplaces, particularly the higher growth of sales of fixed-price items and higher expected serv</w:t>
      </w:r>
      <w:r>
        <w:rPr>
          <w:rFonts w:ascii="Arial" w:eastAsia="宋体" w:hAnsi="Arial" w:cs="Arial"/>
          <w:sz w:val="20"/>
          <w:szCs w:val="20"/>
        </w:rPr>
        <w:t>ice levels (some of which depend on services provided by sellers on our platforms), or compete effectively with and adapt to changes in larger platform businesses, our business will suffer.</w:t>
      </w:r>
    </w:p>
    <w:p w14:paraId="0BC97708" w14:textId="77777777" w:rsidR="009F0928" w:rsidRDefault="009F0928">
      <w:pPr>
        <w:spacing w:line="288" w:lineRule="auto"/>
        <w:ind w:firstLine="600"/>
        <w:jc w:val="both"/>
        <w:rPr>
          <w:rFonts w:ascii="Times New Roman" w:hAnsi="Times New Roman"/>
          <w:sz w:val="20"/>
          <w:szCs w:val="20"/>
        </w:rPr>
      </w:pPr>
    </w:p>
    <w:p w14:paraId="0BC97709"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Competitors with other revenue sources may also be able to devote</w:t>
      </w:r>
      <w:r>
        <w:rPr>
          <w:rFonts w:ascii="Arial" w:eastAsia="宋体" w:hAnsi="Arial" w:cs="Arial"/>
          <w:sz w:val="20"/>
          <w:szCs w:val="20"/>
        </w:rPr>
        <w:t xml:space="preserve"> more resources to marketing and promotional campaigns, adopt more aggressive pricing policies and devote more resources to website, mobile platforms and applications and systems development than we can. Other competitors may offer or continue to offer fas</w:t>
      </w:r>
      <w:r>
        <w:rPr>
          <w:rFonts w:ascii="Arial" w:eastAsia="宋体" w:hAnsi="Arial" w:cs="Arial"/>
          <w:sz w:val="20"/>
          <w:szCs w:val="20"/>
        </w:rPr>
        <w:t xml:space="preserve">ter and/or </w:t>
      </w:r>
    </w:p>
    <w:p w14:paraId="0BC9770A" w14:textId="77777777" w:rsidR="009F0928" w:rsidRDefault="009F0928">
      <w:pPr>
        <w:rPr>
          <w:rFonts w:ascii="Times New Roman" w:hAnsi="Times New Roman"/>
          <w:sz w:val="20"/>
          <w:szCs w:val="20"/>
        </w:rPr>
      </w:pPr>
    </w:p>
    <w:p w14:paraId="0BC9770B"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10</w:t>
      </w:r>
    </w:p>
    <w:p w14:paraId="0BC9770C" w14:textId="77777777" w:rsidR="009F0928" w:rsidRDefault="002112BD">
      <w:r>
        <w:rPr>
          <w:rFonts w:ascii="Times New Roman" w:hAnsi="Times New Roman"/>
          <w:sz w:val="18"/>
          <w:szCs w:val="18"/>
        </w:rPr>
        <w:pict w14:anchorId="0BC9B4C5">
          <v:rect id="_x0000_i1035" style="width:415.3pt;height:1.5pt" o:hralign="center" o:hrstd="t" o:hr="t" fillcolor="#a0a0a0" stroked="f"/>
        </w:pict>
      </w:r>
    </w:p>
    <w:p w14:paraId="0BC9770D" w14:textId="77777777" w:rsidR="009F0928" w:rsidRDefault="009F0928">
      <w:pPr>
        <w:spacing w:line="288" w:lineRule="auto"/>
        <w:rPr>
          <w:rFonts w:ascii="Times New Roman" w:hAnsi="Times New Roman"/>
          <w:sz w:val="20"/>
          <w:szCs w:val="20"/>
        </w:rPr>
      </w:pPr>
    </w:p>
    <w:p w14:paraId="0BC9770E" w14:textId="77777777" w:rsidR="009F0928" w:rsidRDefault="009F0928">
      <w:pPr>
        <w:rPr>
          <w:rFonts w:ascii="Times New Roman" w:hAnsi="Times New Roman"/>
          <w:sz w:val="20"/>
          <w:szCs w:val="20"/>
        </w:rPr>
      </w:pPr>
    </w:p>
    <w:p w14:paraId="0BC9770F"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xml:space="preserve">free shipping, delivery on Sunday, same-day delivery, favorable return policies or other transaction-related services which improve the user experience on their sites and which could be impractical or inefficient for our sellers to </w:t>
      </w:r>
      <w:r>
        <w:rPr>
          <w:rFonts w:ascii="Arial" w:eastAsia="宋体" w:hAnsi="Arial" w:cs="Arial"/>
          <w:sz w:val="20"/>
          <w:szCs w:val="20"/>
        </w:rPr>
        <w:t>match. Competitors may be able to innovate faster and more efficiently, and new technologies may increase the competitive pressures by enabling competitors to offer more efficient or lower-cost services.</w:t>
      </w:r>
    </w:p>
    <w:p w14:paraId="0BC97710" w14:textId="77777777" w:rsidR="009F0928" w:rsidRDefault="009F0928">
      <w:pPr>
        <w:spacing w:line="288" w:lineRule="auto"/>
        <w:ind w:firstLine="600"/>
        <w:jc w:val="both"/>
        <w:rPr>
          <w:rFonts w:ascii="Times New Roman" w:hAnsi="Times New Roman"/>
          <w:sz w:val="20"/>
          <w:szCs w:val="20"/>
        </w:rPr>
      </w:pPr>
    </w:p>
    <w:p w14:paraId="0BC97711"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Some of our competitors control other products and </w:t>
      </w:r>
      <w:r>
        <w:rPr>
          <w:rFonts w:ascii="Arial" w:eastAsia="宋体" w:hAnsi="Arial" w:cs="Arial"/>
          <w:sz w:val="20"/>
          <w:szCs w:val="20"/>
        </w:rPr>
        <w:t>services that are important to our success, including credit card interchange, Internet search, and mobile operating systems. Such competitors could manipulate pricing, availability, terms or operation of service related to their products and services in a</w:t>
      </w:r>
      <w:r>
        <w:rPr>
          <w:rFonts w:ascii="Arial" w:eastAsia="宋体" w:hAnsi="Arial" w:cs="Arial"/>
          <w:sz w:val="20"/>
          <w:szCs w:val="20"/>
        </w:rPr>
        <w:t xml:space="preserve"> manner that impacts our competitive offerings. For example, Google, which operates a shopping platform service, has from time to time made changes to its search algorithms that reduced the amount of search traffic directed to us from searches on Google. I</w:t>
      </w:r>
      <w:r>
        <w:rPr>
          <w:rFonts w:ascii="Arial" w:eastAsia="宋体" w:hAnsi="Arial" w:cs="Arial"/>
          <w:sz w:val="20"/>
          <w:szCs w:val="20"/>
        </w:rPr>
        <w:t xml:space="preserve">f we are unable to use or adapt to operational changes in such services, we may face higher costs for such services, face integration or technological barriers or lose customers, which could cause our business to suffer. </w:t>
      </w:r>
    </w:p>
    <w:p w14:paraId="0BC97712" w14:textId="77777777" w:rsidR="009F0928" w:rsidRDefault="009F0928">
      <w:pPr>
        <w:spacing w:line="288" w:lineRule="auto"/>
        <w:ind w:firstLine="600"/>
        <w:jc w:val="both"/>
        <w:rPr>
          <w:rFonts w:ascii="Times New Roman" w:hAnsi="Times New Roman"/>
          <w:sz w:val="20"/>
          <w:szCs w:val="20"/>
        </w:rPr>
      </w:pPr>
    </w:p>
    <w:p w14:paraId="0BC97713"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Consumers who might use our sites</w:t>
      </w:r>
      <w:r>
        <w:rPr>
          <w:rFonts w:ascii="Arial" w:eastAsia="宋体" w:hAnsi="Arial" w:cs="Arial"/>
          <w:sz w:val="20"/>
          <w:szCs w:val="20"/>
        </w:rPr>
        <w:t xml:space="preserve"> to buy goods have a wide variety of alternatives, including traditional department, warehouse, boutique, discount and general merchandise stores (as well as the online and mobile operations of these traditional retailers), online retailers and their relat</w:t>
      </w:r>
      <w:r>
        <w:rPr>
          <w:rFonts w:ascii="Arial" w:eastAsia="宋体" w:hAnsi="Arial" w:cs="Arial"/>
          <w:sz w:val="20"/>
          <w:szCs w:val="20"/>
        </w:rPr>
        <w:t>ed mobile offerings, online and offline classified services and other shopping channels, such as offline and online home shopping networks. In the United States, these include, but are not limited to, Amazon, Facebook, Google, Walmart, Target, Macy’s, Etsy</w:t>
      </w:r>
      <w:r>
        <w:rPr>
          <w:rFonts w:ascii="Arial" w:eastAsia="宋体" w:hAnsi="Arial" w:cs="Arial"/>
          <w:sz w:val="20"/>
          <w:szCs w:val="20"/>
        </w:rPr>
        <w:t>, Shopify, Wayfair, Costco, Rakuten, QVC and HSN, among others. In addition, consumers have a large number of online and offline channels focused on one or more of the categories of products offered on our site.</w:t>
      </w:r>
    </w:p>
    <w:p w14:paraId="0BC97714" w14:textId="77777777" w:rsidR="009F0928" w:rsidRDefault="009F0928">
      <w:pPr>
        <w:spacing w:line="288" w:lineRule="auto"/>
        <w:ind w:firstLine="600"/>
        <w:jc w:val="both"/>
        <w:rPr>
          <w:rFonts w:ascii="Times New Roman" w:hAnsi="Times New Roman"/>
          <w:sz w:val="20"/>
          <w:szCs w:val="20"/>
        </w:rPr>
      </w:pPr>
    </w:p>
    <w:p w14:paraId="0BC97715"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Consumers also can turn to many companies t</w:t>
      </w:r>
      <w:r>
        <w:rPr>
          <w:rFonts w:ascii="Arial" w:eastAsia="宋体" w:hAnsi="Arial" w:cs="Arial"/>
          <w:sz w:val="20"/>
          <w:szCs w:val="20"/>
        </w:rPr>
        <w:t xml:space="preserve">hat offer a variety of services that provide other channels for buyers to find and buy items from sellers of all sizes, including social media, online aggregation and classifieds platforms, such as websites operated by Schibsted ASA or Naspers Limited and </w:t>
      </w:r>
      <w:r>
        <w:rPr>
          <w:rFonts w:ascii="Arial" w:eastAsia="宋体" w:hAnsi="Arial" w:cs="Arial"/>
          <w:sz w:val="20"/>
          <w:szCs w:val="20"/>
        </w:rPr>
        <w:t>others such as craigslist, Oodle.com, Facebook. Consumers also can turn to shopping-comparison sites, such as Google Shopping. In certain markets, our fixed-price listing and traditional auction-style listing formats increasingly are being challenged by ot</w:t>
      </w:r>
      <w:r>
        <w:rPr>
          <w:rFonts w:ascii="Arial" w:eastAsia="宋体" w:hAnsi="Arial" w:cs="Arial"/>
          <w:sz w:val="20"/>
          <w:szCs w:val="20"/>
        </w:rPr>
        <w:t>her formats, such as classifieds.</w:t>
      </w:r>
    </w:p>
    <w:p w14:paraId="0BC97716" w14:textId="77777777" w:rsidR="009F0928" w:rsidRDefault="009F0928">
      <w:pPr>
        <w:spacing w:line="288" w:lineRule="auto"/>
        <w:ind w:firstLine="600"/>
        <w:jc w:val="both"/>
        <w:rPr>
          <w:rFonts w:ascii="Times New Roman" w:hAnsi="Times New Roman"/>
          <w:sz w:val="20"/>
          <w:szCs w:val="20"/>
        </w:rPr>
      </w:pPr>
    </w:p>
    <w:p w14:paraId="0BC97717"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Our Classifieds platforms offer classifieds listings in a variety of international markets. In many markets in which they operate, our Classifieds platforms compete for customers and for advertisers against more establish</w:t>
      </w:r>
      <w:r>
        <w:rPr>
          <w:rFonts w:ascii="Arial" w:eastAsia="宋体" w:hAnsi="Arial" w:cs="Arial"/>
          <w:sz w:val="20"/>
          <w:szCs w:val="20"/>
        </w:rPr>
        <w:t>ed online and offline classifieds platforms or other competing websites.</w:t>
      </w:r>
    </w:p>
    <w:p w14:paraId="0BC97718" w14:textId="77777777" w:rsidR="009F0928" w:rsidRDefault="009F0928">
      <w:pPr>
        <w:spacing w:line="288" w:lineRule="auto"/>
        <w:ind w:firstLine="600"/>
        <w:jc w:val="both"/>
        <w:rPr>
          <w:rFonts w:ascii="Times New Roman" w:hAnsi="Times New Roman"/>
          <w:sz w:val="20"/>
          <w:szCs w:val="20"/>
        </w:rPr>
      </w:pPr>
    </w:p>
    <w:p w14:paraId="0BC97719"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use product search engines and paid search advertising to help users find our sites, but these services also have the potential to divert users to other online shopping destinatio</w:t>
      </w:r>
      <w:r>
        <w:rPr>
          <w:rFonts w:ascii="Arial" w:eastAsia="宋体" w:hAnsi="Arial" w:cs="Arial"/>
          <w:sz w:val="20"/>
          <w:szCs w:val="20"/>
        </w:rPr>
        <w:t>ns. Consumers may choose to search for products and services with a horizontal search engine or shopping comparison website, and such sites may also send users to other shopping destinations. In addition, sellers are increasingly utilizing multiple sales c</w:t>
      </w:r>
      <w:r>
        <w:rPr>
          <w:rFonts w:ascii="Arial" w:eastAsia="宋体" w:hAnsi="Arial" w:cs="Arial"/>
          <w:sz w:val="20"/>
          <w:szCs w:val="20"/>
        </w:rPr>
        <w:t xml:space="preserve">hannels, including the acquisition of new customers by paying for search-related advertisements on horizontal search engine sites, such as Google, Naver and Baidu. </w:t>
      </w:r>
    </w:p>
    <w:p w14:paraId="0BC9771A" w14:textId="77777777" w:rsidR="009F0928" w:rsidRDefault="009F0928">
      <w:pPr>
        <w:spacing w:line="288" w:lineRule="auto"/>
        <w:ind w:firstLine="600"/>
        <w:jc w:val="both"/>
        <w:rPr>
          <w:rFonts w:ascii="Times New Roman" w:hAnsi="Times New Roman"/>
          <w:sz w:val="20"/>
          <w:szCs w:val="20"/>
        </w:rPr>
      </w:pPr>
    </w:p>
    <w:p w14:paraId="0BC9771B"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Consumers and merchants who might use our sites to sell goods also have many alternatives,</w:t>
      </w:r>
      <w:r>
        <w:rPr>
          <w:rFonts w:ascii="Arial" w:eastAsia="宋体" w:hAnsi="Arial" w:cs="Arial"/>
          <w:sz w:val="20"/>
          <w:szCs w:val="20"/>
        </w:rPr>
        <w:t xml:space="preserve"> including general ecommerce sites, such as Amazon, Alibaba, Zalando and Coupang and more specialized sites, such as Etsy. Our international sites also compete for sellers with general and specialized ecommerce sites. Sellers may also choose to sell their </w:t>
      </w:r>
      <w:r>
        <w:rPr>
          <w:rFonts w:ascii="Arial" w:eastAsia="宋体" w:hAnsi="Arial" w:cs="Arial"/>
          <w:sz w:val="20"/>
          <w:szCs w:val="20"/>
        </w:rPr>
        <w:t>goods through other channels, such as classifieds platforms. Consumers and merchants also can create and sell through their own sites, and may choose to purchase online advertising instead of using our services. In some countries, there are online sites th</w:t>
      </w:r>
      <w:r>
        <w:rPr>
          <w:rFonts w:ascii="Arial" w:eastAsia="宋体" w:hAnsi="Arial" w:cs="Arial"/>
          <w:sz w:val="20"/>
          <w:szCs w:val="20"/>
        </w:rPr>
        <w:t xml:space="preserve">at have larger customer bases and greater brand recognition, as well as competitors that may have a better understanding of local culture and commerce. We may increasingly compete with local competitors in developing countries that have unique advantages, </w:t>
      </w:r>
      <w:r>
        <w:rPr>
          <w:rFonts w:ascii="Arial" w:eastAsia="宋体" w:hAnsi="Arial" w:cs="Arial"/>
          <w:sz w:val="20"/>
          <w:szCs w:val="20"/>
        </w:rPr>
        <w:t>such as a greater ability to operate under local regulatory authorities.</w:t>
      </w:r>
    </w:p>
    <w:p w14:paraId="0BC9771C" w14:textId="77777777" w:rsidR="009F0928" w:rsidRDefault="009F0928">
      <w:pPr>
        <w:spacing w:line="288" w:lineRule="auto"/>
        <w:ind w:firstLine="600"/>
        <w:jc w:val="both"/>
        <w:rPr>
          <w:rFonts w:ascii="Times New Roman" w:hAnsi="Times New Roman"/>
          <w:sz w:val="20"/>
          <w:szCs w:val="20"/>
        </w:rPr>
      </w:pPr>
    </w:p>
    <w:p w14:paraId="0BC9771D"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In addition, certain manufacturers may limit or cease distribution of their products through online channels, such as our sites. Manufacturers may attempt to use contractual obligati</w:t>
      </w:r>
      <w:r>
        <w:rPr>
          <w:rFonts w:ascii="Arial" w:eastAsia="宋体" w:hAnsi="Arial" w:cs="Arial"/>
          <w:sz w:val="20"/>
          <w:szCs w:val="20"/>
        </w:rPr>
        <w:t>ons or existing or future government regulation to prohibit or limit ecommerce in certain categories of goods or services. Manufacturers may also attempt to enforce minimum resale price maintenance or minimum advertised price arrangements to prevent distri</w:t>
      </w:r>
      <w:r>
        <w:rPr>
          <w:rFonts w:ascii="Arial" w:eastAsia="宋体" w:hAnsi="Arial" w:cs="Arial"/>
          <w:sz w:val="20"/>
          <w:szCs w:val="20"/>
        </w:rPr>
        <w:t>butors from selling on our platforms or on the Internet generally, or drive distributors to sell at prices that would make us less attractive relative to other alternatives. The adoption by manufacturers of policies, or their use of laws or regulations, in</w:t>
      </w:r>
      <w:r>
        <w:rPr>
          <w:rFonts w:ascii="Arial" w:eastAsia="宋体" w:hAnsi="Arial" w:cs="Arial"/>
          <w:sz w:val="20"/>
          <w:szCs w:val="20"/>
        </w:rPr>
        <w:t xml:space="preserve"> each case discouraging or restricting the sales of goods or services over the Internet, could force our users to stop selling certain products on our platforms, which could adversely affect our results of operations and result in loss of market share and </w:t>
      </w:r>
      <w:r>
        <w:rPr>
          <w:rFonts w:ascii="Arial" w:eastAsia="宋体" w:hAnsi="Arial" w:cs="Arial"/>
          <w:sz w:val="20"/>
          <w:szCs w:val="20"/>
        </w:rPr>
        <w:t xml:space="preserve">diminished value of our brands. </w:t>
      </w:r>
    </w:p>
    <w:p w14:paraId="0BC9771E" w14:textId="77777777" w:rsidR="009F0928" w:rsidRDefault="009F0928">
      <w:pPr>
        <w:spacing w:line="288" w:lineRule="auto"/>
        <w:ind w:firstLine="600"/>
        <w:jc w:val="both"/>
        <w:rPr>
          <w:rFonts w:ascii="Times New Roman" w:hAnsi="Times New Roman"/>
          <w:sz w:val="20"/>
          <w:szCs w:val="20"/>
        </w:rPr>
      </w:pPr>
    </w:p>
    <w:p w14:paraId="0BC9771F" w14:textId="77777777" w:rsidR="009F0928" w:rsidRDefault="009F0928">
      <w:pPr>
        <w:rPr>
          <w:rFonts w:ascii="Times New Roman" w:hAnsi="Times New Roman"/>
          <w:sz w:val="20"/>
          <w:szCs w:val="20"/>
        </w:rPr>
      </w:pPr>
    </w:p>
    <w:p w14:paraId="0BC97720"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11</w:t>
      </w:r>
    </w:p>
    <w:p w14:paraId="0BC97721" w14:textId="77777777" w:rsidR="009F0928" w:rsidRDefault="002112BD">
      <w:r>
        <w:rPr>
          <w:rFonts w:ascii="Times New Roman" w:hAnsi="Times New Roman"/>
          <w:sz w:val="18"/>
          <w:szCs w:val="18"/>
        </w:rPr>
        <w:pict w14:anchorId="0BC9B4C6">
          <v:rect id="_x0000_i1036" style="width:415.3pt;height:1.5pt" o:hralign="center" o:hrstd="t" o:hr="t" fillcolor="#a0a0a0" stroked="f"/>
        </w:pict>
      </w:r>
    </w:p>
    <w:p w14:paraId="0BC97722" w14:textId="77777777" w:rsidR="009F0928" w:rsidRDefault="009F0928">
      <w:pPr>
        <w:spacing w:line="288" w:lineRule="auto"/>
        <w:rPr>
          <w:rFonts w:ascii="Times New Roman" w:hAnsi="Times New Roman"/>
          <w:sz w:val="20"/>
          <w:szCs w:val="20"/>
        </w:rPr>
      </w:pPr>
    </w:p>
    <w:p w14:paraId="0BC97723" w14:textId="77777777" w:rsidR="009F0928" w:rsidRDefault="009F0928">
      <w:pPr>
        <w:rPr>
          <w:rFonts w:ascii="Times New Roman" w:hAnsi="Times New Roman"/>
          <w:sz w:val="20"/>
          <w:szCs w:val="20"/>
        </w:rPr>
      </w:pPr>
    </w:p>
    <w:p w14:paraId="0BC97724"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The principal competitive factors for us include the following: </w:t>
      </w:r>
    </w:p>
    <w:p w14:paraId="0BC97725" w14:textId="77777777" w:rsidR="009F0928" w:rsidRDefault="002112BD">
      <w:pPr>
        <w:spacing w:line="288" w:lineRule="auto"/>
        <w:ind w:firstLine="960"/>
        <w:jc w:val="both"/>
        <w:rPr>
          <w:rFonts w:ascii="Times New Roman" w:hAnsi="Times New Roman"/>
          <w:sz w:val="20"/>
          <w:szCs w:val="20"/>
        </w:rPr>
      </w:pPr>
      <w:r>
        <w:rPr>
          <w:rFonts w:ascii="Arial" w:eastAsia="宋体" w:hAnsi="Arial" w:cs="Arial"/>
          <w:sz w:val="20"/>
          <w:szCs w:val="20"/>
        </w:rPr>
        <w:t>    </w:t>
      </w:r>
    </w:p>
    <w:tbl>
      <w:tblPr>
        <w:tblW w:w="0" w:type="auto"/>
        <w:tblCellSpacing w:w="0" w:type="dxa"/>
        <w:tblCellMar>
          <w:left w:w="0" w:type="dxa"/>
          <w:right w:w="0" w:type="dxa"/>
        </w:tblCellMar>
        <w:tblLook w:val="04A0" w:firstRow="1" w:lastRow="0" w:firstColumn="1" w:lastColumn="0" w:noHBand="0" w:noVBand="1"/>
      </w:tblPr>
      <w:tblGrid>
        <w:gridCol w:w="960"/>
        <w:gridCol w:w="4803"/>
      </w:tblGrid>
      <w:tr w:rsidR="009F0928" w14:paraId="0BC97728" w14:textId="77777777">
        <w:trPr>
          <w:tblCellSpacing w:w="0" w:type="dxa"/>
        </w:trPr>
        <w:tc>
          <w:tcPr>
            <w:tcW w:w="960" w:type="dxa"/>
            <w:shd w:val="clear" w:color="auto" w:fill="auto"/>
            <w:vAlign w:val="center"/>
          </w:tcPr>
          <w:p w14:paraId="0BC97726" w14:textId="77777777" w:rsidR="009F0928" w:rsidRDefault="009F0928">
            <w:pPr>
              <w:rPr>
                <w:rFonts w:ascii="Times New Roman" w:hAnsi="Times New Roman"/>
                <w:sz w:val="20"/>
                <w:szCs w:val="20"/>
              </w:rPr>
            </w:pPr>
          </w:p>
        </w:tc>
        <w:tc>
          <w:tcPr>
            <w:tcW w:w="0" w:type="auto"/>
            <w:shd w:val="clear" w:color="auto" w:fill="auto"/>
            <w:vAlign w:val="center"/>
          </w:tcPr>
          <w:p w14:paraId="0BC97727" w14:textId="77777777" w:rsidR="009F0928" w:rsidRDefault="009F0928">
            <w:pPr>
              <w:rPr>
                <w:rFonts w:ascii="Times New Roman" w:hAnsi="Times New Roman"/>
                <w:sz w:val="20"/>
                <w:szCs w:val="20"/>
              </w:rPr>
            </w:pPr>
          </w:p>
        </w:tc>
      </w:tr>
      <w:tr w:rsidR="009F0928" w14:paraId="0BC9772B" w14:textId="77777777">
        <w:trPr>
          <w:tblCellSpacing w:w="0" w:type="dxa"/>
        </w:trPr>
        <w:tc>
          <w:tcPr>
            <w:tcW w:w="0" w:type="auto"/>
            <w:shd w:val="clear" w:color="auto" w:fill="auto"/>
          </w:tcPr>
          <w:p w14:paraId="0BC97729"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2A"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ability to attract, retain and engage buyers and sellers;</w:t>
            </w:r>
          </w:p>
        </w:tc>
      </w:tr>
    </w:tbl>
    <w:p w14:paraId="0BC9772C"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992"/>
      </w:tblGrid>
      <w:tr w:rsidR="009F0928" w14:paraId="0BC9772F" w14:textId="77777777">
        <w:trPr>
          <w:tblCellSpacing w:w="0" w:type="dxa"/>
        </w:trPr>
        <w:tc>
          <w:tcPr>
            <w:tcW w:w="960" w:type="dxa"/>
            <w:shd w:val="clear" w:color="auto" w:fill="auto"/>
            <w:vAlign w:val="center"/>
          </w:tcPr>
          <w:p w14:paraId="0BC9772D" w14:textId="77777777" w:rsidR="009F0928" w:rsidRDefault="009F0928">
            <w:pPr>
              <w:rPr>
                <w:rFonts w:ascii="Times New Roman" w:hAnsi="Times New Roman"/>
                <w:sz w:val="20"/>
                <w:szCs w:val="20"/>
              </w:rPr>
            </w:pPr>
          </w:p>
        </w:tc>
        <w:tc>
          <w:tcPr>
            <w:tcW w:w="0" w:type="auto"/>
            <w:shd w:val="clear" w:color="auto" w:fill="auto"/>
            <w:vAlign w:val="center"/>
          </w:tcPr>
          <w:p w14:paraId="0BC9772E" w14:textId="77777777" w:rsidR="009F0928" w:rsidRDefault="009F0928">
            <w:pPr>
              <w:rPr>
                <w:rFonts w:ascii="Times New Roman" w:hAnsi="Times New Roman"/>
                <w:sz w:val="20"/>
                <w:szCs w:val="20"/>
              </w:rPr>
            </w:pPr>
          </w:p>
        </w:tc>
      </w:tr>
      <w:tr w:rsidR="009F0928" w14:paraId="0BC97732" w14:textId="77777777">
        <w:trPr>
          <w:tblCellSpacing w:w="0" w:type="dxa"/>
        </w:trPr>
        <w:tc>
          <w:tcPr>
            <w:tcW w:w="0" w:type="auto"/>
            <w:shd w:val="clear" w:color="auto" w:fill="auto"/>
          </w:tcPr>
          <w:p w14:paraId="0BC97730"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31"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volume of transactions and price and selection of goods;</w:t>
            </w:r>
          </w:p>
        </w:tc>
      </w:tr>
    </w:tbl>
    <w:p w14:paraId="0BC97733"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280"/>
      </w:tblGrid>
      <w:tr w:rsidR="009F0928" w14:paraId="0BC97736" w14:textId="77777777">
        <w:trPr>
          <w:tblCellSpacing w:w="0" w:type="dxa"/>
        </w:trPr>
        <w:tc>
          <w:tcPr>
            <w:tcW w:w="960" w:type="dxa"/>
            <w:shd w:val="clear" w:color="auto" w:fill="auto"/>
            <w:vAlign w:val="center"/>
          </w:tcPr>
          <w:p w14:paraId="0BC97734" w14:textId="77777777" w:rsidR="009F0928" w:rsidRDefault="009F0928">
            <w:pPr>
              <w:rPr>
                <w:rFonts w:ascii="Times New Roman" w:hAnsi="Times New Roman"/>
                <w:sz w:val="20"/>
                <w:szCs w:val="20"/>
              </w:rPr>
            </w:pPr>
          </w:p>
        </w:tc>
        <w:tc>
          <w:tcPr>
            <w:tcW w:w="0" w:type="auto"/>
            <w:shd w:val="clear" w:color="auto" w:fill="auto"/>
            <w:vAlign w:val="center"/>
          </w:tcPr>
          <w:p w14:paraId="0BC97735" w14:textId="77777777" w:rsidR="009F0928" w:rsidRDefault="009F0928">
            <w:pPr>
              <w:rPr>
                <w:rFonts w:ascii="Times New Roman" w:hAnsi="Times New Roman"/>
                <w:sz w:val="20"/>
                <w:szCs w:val="20"/>
              </w:rPr>
            </w:pPr>
          </w:p>
        </w:tc>
      </w:tr>
      <w:tr w:rsidR="009F0928" w14:paraId="0BC97739" w14:textId="77777777">
        <w:trPr>
          <w:tblCellSpacing w:w="0" w:type="dxa"/>
        </w:trPr>
        <w:tc>
          <w:tcPr>
            <w:tcW w:w="0" w:type="auto"/>
            <w:shd w:val="clear" w:color="auto" w:fill="auto"/>
          </w:tcPr>
          <w:p w14:paraId="0BC97737"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38"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trust in </w:t>
            </w:r>
            <w:r>
              <w:rPr>
                <w:rFonts w:ascii="Arial" w:eastAsia="宋体" w:hAnsi="Arial" w:cs="Arial"/>
                <w:sz w:val="20"/>
                <w:szCs w:val="20"/>
              </w:rPr>
              <w:t>the seller and the transaction;</w:t>
            </w:r>
          </w:p>
        </w:tc>
      </w:tr>
    </w:tbl>
    <w:p w14:paraId="0BC9773A"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568"/>
      </w:tblGrid>
      <w:tr w:rsidR="009F0928" w14:paraId="0BC9773D" w14:textId="77777777">
        <w:trPr>
          <w:tblCellSpacing w:w="0" w:type="dxa"/>
        </w:trPr>
        <w:tc>
          <w:tcPr>
            <w:tcW w:w="960" w:type="dxa"/>
            <w:shd w:val="clear" w:color="auto" w:fill="auto"/>
            <w:vAlign w:val="center"/>
          </w:tcPr>
          <w:p w14:paraId="0BC9773B" w14:textId="77777777" w:rsidR="009F0928" w:rsidRDefault="009F0928">
            <w:pPr>
              <w:rPr>
                <w:rFonts w:ascii="Times New Roman" w:hAnsi="Times New Roman"/>
                <w:sz w:val="20"/>
                <w:szCs w:val="20"/>
              </w:rPr>
            </w:pPr>
          </w:p>
        </w:tc>
        <w:tc>
          <w:tcPr>
            <w:tcW w:w="0" w:type="auto"/>
            <w:shd w:val="clear" w:color="auto" w:fill="auto"/>
            <w:vAlign w:val="center"/>
          </w:tcPr>
          <w:p w14:paraId="0BC9773C" w14:textId="77777777" w:rsidR="009F0928" w:rsidRDefault="009F0928">
            <w:pPr>
              <w:rPr>
                <w:rFonts w:ascii="Times New Roman" w:hAnsi="Times New Roman"/>
                <w:sz w:val="20"/>
                <w:szCs w:val="20"/>
              </w:rPr>
            </w:pPr>
          </w:p>
        </w:tc>
      </w:tr>
      <w:tr w:rsidR="009F0928" w14:paraId="0BC97740" w14:textId="77777777">
        <w:trPr>
          <w:tblCellSpacing w:w="0" w:type="dxa"/>
        </w:trPr>
        <w:tc>
          <w:tcPr>
            <w:tcW w:w="0" w:type="auto"/>
            <w:shd w:val="clear" w:color="auto" w:fill="auto"/>
          </w:tcPr>
          <w:p w14:paraId="0BC9773E"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3F"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customer service; </w:t>
            </w:r>
          </w:p>
        </w:tc>
      </w:tr>
    </w:tbl>
    <w:p w14:paraId="0BC97741"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824"/>
      </w:tblGrid>
      <w:tr w:rsidR="009F0928" w14:paraId="0BC97744" w14:textId="77777777">
        <w:trPr>
          <w:tblCellSpacing w:w="0" w:type="dxa"/>
        </w:trPr>
        <w:tc>
          <w:tcPr>
            <w:tcW w:w="960" w:type="dxa"/>
            <w:shd w:val="clear" w:color="auto" w:fill="auto"/>
            <w:vAlign w:val="center"/>
          </w:tcPr>
          <w:p w14:paraId="0BC97742" w14:textId="77777777" w:rsidR="009F0928" w:rsidRDefault="009F0928">
            <w:pPr>
              <w:rPr>
                <w:rFonts w:ascii="Times New Roman" w:hAnsi="Times New Roman"/>
                <w:sz w:val="20"/>
                <w:szCs w:val="20"/>
              </w:rPr>
            </w:pPr>
          </w:p>
        </w:tc>
        <w:tc>
          <w:tcPr>
            <w:tcW w:w="0" w:type="auto"/>
            <w:shd w:val="clear" w:color="auto" w:fill="auto"/>
            <w:vAlign w:val="center"/>
          </w:tcPr>
          <w:p w14:paraId="0BC97743" w14:textId="77777777" w:rsidR="009F0928" w:rsidRDefault="009F0928">
            <w:pPr>
              <w:rPr>
                <w:rFonts w:ascii="Times New Roman" w:hAnsi="Times New Roman"/>
                <w:sz w:val="20"/>
                <w:szCs w:val="20"/>
              </w:rPr>
            </w:pPr>
          </w:p>
        </w:tc>
      </w:tr>
      <w:tr w:rsidR="009F0928" w14:paraId="0BC97747" w14:textId="77777777">
        <w:trPr>
          <w:tblCellSpacing w:w="0" w:type="dxa"/>
        </w:trPr>
        <w:tc>
          <w:tcPr>
            <w:tcW w:w="0" w:type="auto"/>
            <w:shd w:val="clear" w:color="auto" w:fill="auto"/>
          </w:tcPr>
          <w:p w14:paraId="0BC97745"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46"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brand recognition;    </w:t>
            </w:r>
          </w:p>
        </w:tc>
      </w:tr>
    </w:tbl>
    <w:p w14:paraId="0BC97748"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713"/>
      </w:tblGrid>
      <w:tr w:rsidR="009F0928" w14:paraId="0BC9774B" w14:textId="77777777">
        <w:trPr>
          <w:tblCellSpacing w:w="0" w:type="dxa"/>
        </w:trPr>
        <w:tc>
          <w:tcPr>
            <w:tcW w:w="960" w:type="dxa"/>
            <w:shd w:val="clear" w:color="auto" w:fill="auto"/>
            <w:vAlign w:val="center"/>
          </w:tcPr>
          <w:p w14:paraId="0BC97749" w14:textId="77777777" w:rsidR="009F0928" w:rsidRDefault="009F0928">
            <w:pPr>
              <w:rPr>
                <w:rFonts w:ascii="Times New Roman" w:hAnsi="Times New Roman"/>
                <w:sz w:val="20"/>
                <w:szCs w:val="20"/>
              </w:rPr>
            </w:pPr>
          </w:p>
        </w:tc>
        <w:tc>
          <w:tcPr>
            <w:tcW w:w="0" w:type="auto"/>
            <w:shd w:val="clear" w:color="auto" w:fill="auto"/>
            <w:vAlign w:val="center"/>
          </w:tcPr>
          <w:p w14:paraId="0BC9774A" w14:textId="77777777" w:rsidR="009F0928" w:rsidRDefault="009F0928">
            <w:pPr>
              <w:rPr>
                <w:rFonts w:ascii="Times New Roman" w:hAnsi="Times New Roman"/>
                <w:sz w:val="20"/>
                <w:szCs w:val="20"/>
              </w:rPr>
            </w:pPr>
          </w:p>
        </w:tc>
      </w:tr>
      <w:tr w:rsidR="009F0928" w14:paraId="0BC9774E" w14:textId="77777777">
        <w:trPr>
          <w:tblCellSpacing w:w="0" w:type="dxa"/>
        </w:trPr>
        <w:tc>
          <w:tcPr>
            <w:tcW w:w="0" w:type="auto"/>
            <w:shd w:val="clear" w:color="auto" w:fill="auto"/>
          </w:tcPr>
          <w:p w14:paraId="0BC9774C"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4D"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community cohesion, interaction and size;</w:t>
            </w:r>
          </w:p>
        </w:tc>
      </w:tr>
    </w:tbl>
    <w:p w14:paraId="0BC9774F"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6237"/>
      </w:tblGrid>
      <w:tr w:rsidR="009F0928" w14:paraId="0BC97752" w14:textId="77777777">
        <w:trPr>
          <w:tblCellSpacing w:w="0" w:type="dxa"/>
        </w:trPr>
        <w:tc>
          <w:tcPr>
            <w:tcW w:w="960" w:type="dxa"/>
            <w:shd w:val="clear" w:color="auto" w:fill="auto"/>
            <w:vAlign w:val="center"/>
          </w:tcPr>
          <w:p w14:paraId="0BC97750" w14:textId="77777777" w:rsidR="009F0928" w:rsidRDefault="009F0928">
            <w:pPr>
              <w:rPr>
                <w:rFonts w:ascii="Times New Roman" w:hAnsi="Times New Roman"/>
                <w:sz w:val="20"/>
                <w:szCs w:val="20"/>
              </w:rPr>
            </w:pPr>
          </w:p>
        </w:tc>
        <w:tc>
          <w:tcPr>
            <w:tcW w:w="0" w:type="auto"/>
            <w:shd w:val="clear" w:color="auto" w:fill="auto"/>
            <w:vAlign w:val="center"/>
          </w:tcPr>
          <w:p w14:paraId="0BC97751" w14:textId="77777777" w:rsidR="009F0928" w:rsidRDefault="009F0928">
            <w:pPr>
              <w:rPr>
                <w:rFonts w:ascii="Times New Roman" w:hAnsi="Times New Roman"/>
                <w:sz w:val="20"/>
                <w:szCs w:val="20"/>
              </w:rPr>
            </w:pPr>
          </w:p>
        </w:tc>
      </w:tr>
      <w:tr w:rsidR="009F0928" w14:paraId="0BC97755" w14:textId="77777777">
        <w:trPr>
          <w:tblCellSpacing w:w="0" w:type="dxa"/>
        </w:trPr>
        <w:tc>
          <w:tcPr>
            <w:tcW w:w="0" w:type="auto"/>
            <w:shd w:val="clear" w:color="auto" w:fill="auto"/>
          </w:tcPr>
          <w:p w14:paraId="0BC97753"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54"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website, mobile platform and application ease-of-use and accessibility;</w:t>
            </w:r>
          </w:p>
        </w:tc>
      </w:tr>
    </w:tbl>
    <w:p w14:paraId="0BC97756"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657"/>
      </w:tblGrid>
      <w:tr w:rsidR="009F0928" w14:paraId="0BC97759" w14:textId="77777777">
        <w:trPr>
          <w:tblCellSpacing w:w="0" w:type="dxa"/>
        </w:trPr>
        <w:tc>
          <w:tcPr>
            <w:tcW w:w="960" w:type="dxa"/>
            <w:shd w:val="clear" w:color="auto" w:fill="auto"/>
            <w:vAlign w:val="center"/>
          </w:tcPr>
          <w:p w14:paraId="0BC97757" w14:textId="77777777" w:rsidR="009F0928" w:rsidRDefault="009F0928">
            <w:pPr>
              <w:rPr>
                <w:rFonts w:ascii="Times New Roman" w:hAnsi="Times New Roman"/>
                <w:sz w:val="20"/>
                <w:szCs w:val="20"/>
              </w:rPr>
            </w:pPr>
          </w:p>
        </w:tc>
        <w:tc>
          <w:tcPr>
            <w:tcW w:w="0" w:type="auto"/>
            <w:shd w:val="clear" w:color="auto" w:fill="auto"/>
            <w:vAlign w:val="center"/>
          </w:tcPr>
          <w:p w14:paraId="0BC97758" w14:textId="77777777" w:rsidR="009F0928" w:rsidRDefault="009F0928">
            <w:pPr>
              <w:rPr>
                <w:rFonts w:ascii="Times New Roman" w:hAnsi="Times New Roman"/>
                <w:sz w:val="20"/>
                <w:szCs w:val="20"/>
              </w:rPr>
            </w:pPr>
          </w:p>
        </w:tc>
      </w:tr>
      <w:tr w:rsidR="009F0928" w14:paraId="0BC9775C" w14:textId="77777777">
        <w:trPr>
          <w:tblCellSpacing w:w="0" w:type="dxa"/>
        </w:trPr>
        <w:tc>
          <w:tcPr>
            <w:tcW w:w="0" w:type="auto"/>
            <w:shd w:val="clear" w:color="auto" w:fill="auto"/>
          </w:tcPr>
          <w:p w14:paraId="0BC9775A"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5B"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system reliability and </w:t>
            </w:r>
            <w:r>
              <w:rPr>
                <w:rFonts w:ascii="Arial" w:eastAsia="宋体" w:hAnsi="Arial" w:cs="Arial"/>
                <w:sz w:val="20"/>
                <w:szCs w:val="20"/>
              </w:rPr>
              <w:t>security;</w:t>
            </w:r>
          </w:p>
        </w:tc>
      </w:tr>
    </w:tbl>
    <w:p w14:paraId="0BC9775D"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760" w14:textId="77777777">
        <w:trPr>
          <w:tblCellSpacing w:w="0" w:type="dxa"/>
        </w:trPr>
        <w:tc>
          <w:tcPr>
            <w:tcW w:w="960" w:type="dxa"/>
            <w:shd w:val="clear" w:color="auto" w:fill="auto"/>
            <w:vAlign w:val="center"/>
          </w:tcPr>
          <w:p w14:paraId="0BC9775E" w14:textId="77777777" w:rsidR="009F0928" w:rsidRDefault="009F0928">
            <w:pPr>
              <w:rPr>
                <w:rFonts w:ascii="Times New Roman" w:hAnsi="Times New Roman"/>
                <w:sz w:val="20"/>
                <w:szCs w:val="20"/>
              </w:rPr>
            </w:pPr>
          </w:p>
        </w:tc>
        <w:tc>
          <w:tcPr>
            <w:tcW w:w="0" w:type="auto"/>
            <w:shd w:val="clear" w:color="auto" w:fill="auto"/>
            <w:vAlign w:val="center"/>
          </w:tcPr>
          <w:p w14:paraId="0BC9775F" w14:textId="77777777" w:rsidR="009F0928" w:rsidRDefault="009F0928">
            <w:pPr>
              <w:rPr>
                <w:rFonts w:ascii="Times New Roman" w:hAnsi="Times New Roman"/>
                <w:sz w:val="20"/>
                <w:szCs w:val="20"/>
              </w:rPr>
            </w:pPr>
          </w:p>
        </w:tc>
      </w:tr>
      <w:tr w:rsidR="009F0928" w14:paraId="0BC97763" w14:textId="77777777">
        <w:trPr>
          <w:tblCellSpacing w:w="0" w:type="dxa"/>
        </w:trPr>
        <w:tc>
          <w:tcPr>
            <w:tcW w:w="0" w:type="auto"/>
            <w:shd w:val="clear" w:color="auto" w:fill="auto"/>
          </w:tcPr>
          <w:p w14:paraId="0BC97761"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62"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reliability of delivery and payment, including customer preference for fast delivery and free shipping and returns;</w:t>
            </w:r>
          </w:p>
        </w:tc>
      </w:tr>
    </w:tbl>
    <w:p w14:paraId="0BC97764"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202"/>
      </w:tblGrid>
      <w:tr w:rsidR="009F0928" w14:paraId="0BC97767" w14:textId="77777777">
        <w:trPr>
          <w:tblCellSpacing w:w="0" w:type="dxa"/>
        </w:trPr>
        <w:tc>
          <w:tcPr>
            <w:tcW w:w="960" w:type="dxa"/>
            <w:shd w:val="clear" w:color="auto" w:fill="auto"/>
            <w:vAlign w:val="center"/>
          </w:tcPr>
          <w:p w14:paraId="0BC97765" w14:textId="77777777" w:rsidR="009F0928" w:rsidRDefault="009F0928">
            <w:pPr>
              <w:rPr>
                <w:rFonts w:ascii="Times New Roman" w:hAnsi="Times New Roman"/>
                <w:sz w:val="20"/>
                <w:szCs w:val="20"/>
              </w:rPr>
            </w:pPr>
          </w:p>
        </w:tc>
        <w:tc>
          <w:tcPr>
            <w:tcW w:w="0" w:type="auto"/>
            <w:shd w:val="clear" w:color="auto" w:fill="auto"/>
            <w:vAlign w:val="center"/>
          </w:tcPr>
          <w:p w14:paraId="0BC97766" w14:textId="77777777" w:rsidR="009F0928" w:rsidRDefault="009F0928">
            <w:pPr>
              <w:rPr>
                <w:rFonts w:ascii="Times New Roman" w:hAnsi="Times New Roman"/>
                <w:sz w:val="20"/>
                <w:szCs w:val="20"/>
              </w:rPr>
            </w:pPr>
          </w:p>
        </w:tc>
      </w:tr>
      <w:tr w:rsidR="009F0928" w14:paraId="0BC9776A" w14:textId="77777777">
        <w:trPr>
          <w:tblCellSpacing w:w="0" w:type="dxa"/>
        </w:trPr>
        <w:tc>
          <w:tcPr>
            <w:tcW w:w="0" w:type="auto"/>
            <w:shd w:val="clear" w:color="auto" w:fill="auto"/>
          </w:tcPr>
          <w:p w14:paraId="0BC97768"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69"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level of service fees; and</w:t>
            </w:r>
          </w:p>
        </w:tc>
      </w:tr>
    </w:tbl>
    <w:p w14:paraId="0BC9776B"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990"/>
      </w:tblGrid>
      <w:tr w:rsidR="009F0928" w14:paraId="0BC9776E" w14:textId="77777777">
        <w:trPr>
          <w:tblCellSpacing w:w="0" w:type="dxa"/>
        </w:trPr>
        <w:tc>
          <w:tcPr>
            <w:tcW w:w="960" w:type="dxa"/>
            <w:shd w:val="clear" w:color="auto" w:fill="auto"/>
            <w:vAlign w:val="center"/>
          </w:tcPr>
          <w:p w14:paraId="0BC9776C" w14:textId="77777777" w:rsidR="009F0928" w:rsidRDefault="009F0928">
            <w:pPr>
              <w:rPr>
                <w:rFonts w:ascii="Times New Roman" w:hAnsi="Times New Roman"/>
                <w:sz w:val="20"/>
                <w:szCs w:val="20"/>
              </w:rPr>
            </w:pPr>
          </w:p>
        </w:tc>
        <w:tc>
          <w:tcPr>
            <w:tcW w:w="0" w:type="auto"/>
            <w:shd w:val="clear" w:color="auto" w:fill="auto"/>
            <w:vAlign w:val="center"/>
          </w:tcPr>
          <w:p w14:paraId="0BC9776D" w14:textId="77777777" w:rsidR="009F0928" w:rsidRDefault="009F0928">
            <w:pPr>
              <w:rPr>
                <w:rFonts w:ascii="Times New Roman" w:hAnsi="Times New Roman"/>
                <w:sz w:val="20"/>
                <w:szCs w:val="20"/>
              </w:rPr>
            </w:pPr>
          </w:p>
        </w:tc>
      </w:tr>
      <w:tr w:rsidR="009F0928" w14:paraId="0BC97771" w14:textId="77777777">
        <w:trPr>
          <w:tblCellSpacing w:w="0" w:type="dxa"/>
        </w:trPr>
        <w:tc>
          <w:tcPr>
            <w:tcW w:w="0" w:type="auto"/>
            <w:shd w:val="clear" w:color="auto" w:fill="auto"/>
          </w:tcPr>
          <w:p w14:paraId="0BC9776F"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70"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quality of search tools.</w:t>
            </w:r>
          </w:p>
        </w:tc>
      </w:tr>
    </w:tbl>
    <w:p w14:paraId="0BC97772" w14:textId="77777777" w:rsidR="009F0928" w:rsidRDefault="009F0928">
      <w:pPr>
        <w:spacing w:line="288" w:lineRule="auto"/>
        <w:jc w:val="both"/>
        <w:rPr>
          <w:rFonts w:ascii="Times New Roman" w:hAnsi="Times New Roman"/>
          <w:sz w:val="20"/>
          <w:szCs w:val="20"/>
        </w:rPr>
      </w:pPr>
    </w:p>
    <w:p w14:paraId="0BC97773"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We may be unable to compete successfully against </w:t>
      </w:r>
      <w:r>
        <w:rPr>
          <w:rFonts w:ascii="Arial" w:eastAsia="宋体" w:hAnsi="Arial" w:cs="Arial"/>
          <w:sz w:val="20"/>
          <w:szCs w:val="20"/>
        </w:rPr>
        <w:t>current and future competitors. Some current and potential competitors have longer operating histories, larger customer bases and greater brand recognition in other business and Internet sectors than we do.</w:t>
      </w:r>
    </w:p>
    <w:p w14:paraId="0BC97774" w14:textId="77777777" w:rsidR="009F0928" w:rsidRDefault="009F0928">
      <w:pPr>
        <w:spacing w:line="288" w:lineRule="auto"/>
        <w:jc w:val="both"/>
        <w:rPr>
          <w:rFonts w:ascii="Times New Roman" w:hAnsi="Times New Roman"/>
          <w:sz w:val="20"/>
          <w:szCs w:val="20"/>
        </w:rPr>
      </w:pPr>
    </w:p>
    <w:p w14:paraId="0BC97775"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Global and regional economic conditions could ha</w:t>
      </w:r>
      <w:r>
        <w:rPr>
          <w:rFonts w:ascii="Arial" w:eastAsia="宋体" w:hAnsi="Arial" w:cs="Arial"/>
          <w:i/>
          <w:iCs/>
          <w:sz w:val="20"/>
          <w:szCs w:val="20"/>
        </w:rPr>
        <w:t>rm our business.</w:t>
      </w:r>
    </w:p>
    <w:p w14:paraId="0BC97776" w14:textId="77777777" w:rsidR="009F0928" w:rsidRDefault="009F0928">
      <w:pPr>
        <w:spacing w:line="288" w:lineRule="auto"/>
        <w:ind w:firstLine="600"/>
        <w:jc w:val="both"/>
        <w:rPr>
          <w:rFonts w:ascii="Times New Roman" w:hAnsi="Times New Roman"/>
          <w:sz w:val="20"/>
          <w:szCs w:val="20"/>
        </w:rPr>
      </w:pPr>
    </w:p>
    <w:p w14:paraId="0BC97777"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Our operations and performance depend significantly on global and regional economic conditions. Economic conditions, including inflation, recession, or other adverse economic events or changes, could have a negative and adverse impact on </w:t>
      </w:r>
      <w:r>
        <w:rPr>
          <w:rFonts w:ascii="Arial" w:eastAsia="宋体" w:hAnsi="Arial" w:cs="Arial"/>
          <w:sz w:val="20"/>
          <w:szCs w:val="20"/>
        </w:rPr>
        <w:t>companies and customers with which we do business and</w:t>
      </w:r>
      <w:r>
        <w:rPr>
          <w:rFonts w:ascii="Times New Roman" w:eastAsia="宋体" w:hAnsi="Times New Roman"/>
          <w:sz w:val="20"/>
          <w:szCs w:val="20"/>
        </w:rPr>
        <w:t xml:space="preserve"> </w:t>
      </w:r>
      <w:r>
        <w:rPr>
          <w:rFonts w:ascii="Arial" w:eastAsia="宋体" w:hAnsi="Arial" w:cs="Arial"/>
          <w:sz w:val="20"/>
          <w:szCs w:val="20"/>
        </w:rPr>
        <w:t>could have a material adverse effect on our business, including a reduction in the volume and prices of transactions on our commerce platforms. These events and conditions, including uncertainties and instability in economic and market conditions caused by</w:t>
      </w:r>
      <w:r>
        <w:rPr>
          <w:rFonts w:ascii="Arial" w:eastAsia="宋体" w:hAnsi="Arial" w:cs="Arial"/>
          <w:sz w:val="20"/>
          <w:szCs w:val="20"/>
        </w:rPr>
        <w:t xml:space="preserve"> the United Kingdom’s vote to exit the European Union (known as “Brexit”) and any outcomes resulting from that vote, could have a negative and adverse impact on companies and customers with which we do business or cause us to write down our assets or inves</w:t>
      </w:r>
      <w:r>
        <w:rPr>
          <w:rFonts w:ascii="Arial" w:eastAsia="宋体" w:hAnsi="Arial" w:cs="Arial"/>
          <w:sz w:val="20"/>
          <w:szCs w:val="20"/>
        </w:rPr>
        <w:t xml:space="preserve">tments. Because we have global operations, including in the United Kingdom and the European Union, we face risks due to the uncertainty and the potential disruptions surrounding Brexit, including potential financial, legal, tax and trade implications. </w:t>
      </w:r>
    </w:p>
    <w:p w14:paraId="0BC97778" w14:textId="77777777" w:rsidR="009F0928" w:rsidRDefault="009F0928">
      <w:pPr>
        <w:spacing w:line="288" w:lineRule="auto"/>
        <w:ind w:firstLine="600"/>
        <w:jc w:val="both"/>
        <w:rPr>
          <w:rFonts w:ascii="Times New Roman" w:hAnsi="Times New Roman"/>
          <w:sz w:val="20"/>
          <w:szCs w:val="20"/>
        </w:rPr>
      </w:pPr>
    </w:p>
    <w:p w14:paraId="0BC97779"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We are exposed to fluctuations in foreign currency exchange rates, which could negatively impact our financial results.</w:t>
      </w:r>
    </w:p>
    <w:p w14:paraId="0BC9777A" w14:textId="77777777" w:rsidR="009F0928" w:rsidRDefault="009F0928">
      <w:pPr>
        <w:spacing w:line="288" w:lineRule="auto"/>
        <w:ind w:firstLine="600"/>
        <w:jc w:val="both"/>
        <w:rPr>
          <w:rFonts w:ascii="Times New Roman" w:hAnsi="Times New Roman"/>
          <w:sz w:val="20"/>
          <w:szCs w:val="20"/>
        </w:rPr>
      </w:pPr>
    </w:p>
    <w:p w14:paraId="0BC9777B"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Because we generate the majority of our revenues outside the United States but report our financial results in U.S. dollars, our financ</w:t>
      </w:r>
      <w:r>
        <w:rPr>
          <w:rFonts w:ascii="Arial" w:eastAsia="宋体" w:hAnsi="Arial" w:cs="Arial"/>
          <w:sz w:val="20"/>
          <w:szCs w:val="20"/>
        </w:rPr>
        <w:t>ial results are impacted by fluctuations in foreign currency exchange rates, or foreign exchange rates. The results of operations of many of our internationally focused platforms are exposed to foreign exchange rate fluctuations as the financial results of</w:t>
      </w:r>
      <w:r>
        <w:rPr>
          <w:rFonts w:ascii="Arial" w:eastAsia="宋体" w:hAnsi="Arial" w:cs="Arial"/>
          <w:sz w:val="20"/>
          <w:szCs w:val="20"/>
        </w:rPr>
        <w:t xml:space="preserve"> the applicable subsidiaries are translated from the local currency into U.S. dollars for financial reporting purposes. If the U.S. dollar weakens against foreign currencies, the translation of these foreign currency denominated revenues or expenses will r</w:t>
      </w:r>
      <w:r>
        <w:rPr>
          <w:rFonts w:ascii="Arial" w:eastAsia="宋体" w:hAnsi="Arial" w:cs="Arial"/>
          <w:sz w:val="20"/>
          <w:szCs w:val="20"/>
        </w:rPr>
        <w:t>esult in increased U.S. dollar denominated revenues and expenses. Similarly, if the U.S. dollar strengthens against foreign currencies, particularly the euro, British pound, Korean won or Australian dollar, our translation of foreign currency denominated r</w:t>
      </w:r>
      <w:r>
        <w:rPr>
          <w:rFonts w:ascii="Arial" w:eastAsia="宋体" w:hAnsi="Arial" w:cs="Arial"/>
          <w:sz w:val="20"/>
          <w:szCs w:val="20"/>
        </w:rPr>
        <w:t>evenues or expenses will result in lower U.S. dollar denominated net revenues and expenses. In addition to this translation effect, a strengthening U.S. dollar will typically adversely affect the volume of goods being sold by U.S. sellers to Europe and Aus</w:t>
      </w:r>
      <w:r>
        <w:rPr>
          <w:rFonts w:ascii="Arial" w:eastAsia="宋体" w:hAnsi="Arial" w:cs="Arial"/>
          <w:sz w:val="20"/>
          <w:szCs w:val="20"/>
        </w:rPr>
        <w:t xml:space="preserve">tralia more than it positively affects the volume of goods being sold by sellers in those geographies to buyers in the United States, thereby further negatively impacting our financial results. </w:t>
      </w:r>
    </w:p>
    <w:p w14:paraId="0BC9777C" w14:textId="77777777" w:rsidR="009F0928" w:rsidRDefault="009F0928">
      <w:pPr>
        <w:spacing w:line="288" w:lineRule="auto"/>
        <w:ind w:firstLine="600"/>
        <w:jc w:val="both"/>
        <w:rPr>
          <w:rFonts w:ascii="Times New Roman" w:hAnsi="Times New Roman"/>
          <w:sz w:val="20"/>
          <w:szCs w:val="20"/>
        </w:rPr>
      </w:pPr>
    </w:p>
    <w:p w14:paraId="0BC9777D"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While from time to time we enter into transactions to hedge </w:t>
      </w:r>
      <w:r>
        <w:rPr>
          <w:rFonts w:ascii="Arial" w:eastAsia="宋体" w:hAnsi="Arial" w:cs="Arial"/>
          <w:sz w:val="20"/>
          <w:szCs w:val="20"/>
        </w:rPr>
        <w:t>portions of our foreign currency translation exposure, it is impossible to predict or eliminate the effects of this exposure. Fluctuations in foreign exchange rates could significantly impact our financial results, which may have a significant impact on th</w:t>
      </w:r>
      <w:r>
        <w:rPr>
          <w:rFonts w:ascii="Arial" w:eastAsia="宋体" w:hAnsi="Arial" w:cs="Arial"/>
          <w:sz w:val="20"/>
          <w:szCs w:val="20"/>
        </w:rPr>
        <w:t>e trading price of our common stock and debt securities.</w:t>
      </w:r>
    </w:p>
    <w:p w14:paraId="0BC9777E" w14:textId="77777777" w:rsidR="009F0928" w:rsidRDefault="009F0928">
      <w:pPr>
        <w:spacing w:line="288" w:lineRule="auto"/>
        <w:ind w:firstLine="600"/>
        <w:jc w:val="both"/>
        <w:rPr>
          <w:rFonts w:ascii="Times New Roman" w:hAnsi="Times New Roman"/>
          <w:sz w:val="20"/>
          <w:szCs w:val="20"/>
        </w:rPr>
      </w:pPr>
    </w:p>
    <w:p w14:paraId="0BC9777F"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Our international operations are subject to increased risks, which could harm our business.</w:t>
      </w:r>
    </w:p>
    <w:p w14:paraId="0BC97780" w14:textId="77777777" w:rsidR="009F0928" w:rsidRDefault="009F0928">
      <w:pPr>
        <w:spacing w:line="288" w:lineRule="auto"/>
        <w:ind w:firstLine="600"/>
        <w:jc w:val="both"/>
        <w:rPr>
          <w:rFonts w:ascii="Times New Roman" w:hAnsi="Times New Roman"/>
          <w:sz w:val="20"/>
          <w:szCs w:val="20"/>
        </w:rPr>
      </w:pPr>
    </w:p>
    <w:p w14:paraId="0BC97781"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Our international businesses, especially in the United Kingdom, Germany, Australia and Korea, and cross-b</w:t>
      </w:r>
      <w:r>
        <w:rPr>
          <w:rFonts w:ascii="Arial" w:eastAsia="宋体" w:hAnsi="Arial" w:cs="Arial"/>
          <w:sz w:val="20"/>
          <w:szCs w:val="20"/>
        </w:rPr>
        <w:t xml:space="preserve">order business from greater China, have generated a majority of our net revenues in recent years. In addition to uncertainty about our ability to generate revenues from our foreign operations and expand into international markets, there are risks inherent </w:t>
      </w:r>
      <w:r>
        <w:rPr>
          <w:rFonts w:ascii="Arial" w:eastAsia="宋体" w:hAnsi="Arial" w:cs="Arial"/>
          <w:sz w:val="20"/>
          <w:szCs w:val="20"/>
        </w:rPr>
        <w:t>in doing business internationally, including:</w:t>
      </w:r>
    </w:p>
    <w:p w14:paraId="0BC97782" w14:textId="77777777" w:rsidR="009F0928" w:rsidRDefault="009F0928">
      <w:pPr>
        <w:rPr>
          <w:rFonts w:ascii="Times New Roman" w:hAnsi="Times New Roman"/>
          <w:sz w:val="20"/>
          <w:szCs w:val="20"/>
        </w:rPr>
      </w:pPr>
    </w:p>
    <w:p w14:paraId="0BC97783"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12</w:t>
      </w:r>
    </w:p>
    <w:p w14:paraId="0BC97784" w14:textId="77777777" w:rsidR="009F0928" w:rsidRDefault="002112BD">
      <w:r>
        <w:rPr>
          <w:rFonts w:ascii="Times New Roman" w:hAnsi="Times New Roman"/>
          <w:sz w:val="18"/>
          <w:szCs w:val="18"/>
        </w:rPr>
        <w:pict w14:anchorId="0BC9B4C7">
          <v:rect id="_x0000_i1037" style="width:415.3pt;height:1.5pt" o:hralign="center" o:hrstd="t" o:hr="t" fillcolor="#a0a0a0" stroked="f"/>
        </w:pict>
      </w:r>
    </w:p>
    <w:p w14:paraId="0BC97785" w14:textId="77777777" w:rsidR="009F0928" w:rsidRDefault="009F0928">
      <w:pPr>
        <w:spacing w:line="288" w:lineRule="auto"/>
        <w:rPr>
          <w:rFonts w:ascii="Times New Roman" w:hAnsi="Times New Roman"/>
          <w:sz w:val="20"/>
          <w:szCs w:val="20"/>
        </w:rPr>
      </w:pPr>
    </w:p>
    <w:p w14:paraId="0BC97786" w14:textId="77777777" w:rsidR="009F0928" w:rsidRDefault="009F0928">
      <w:pPr>
        <w:rPr>
          <w:rFonts w:ascii="Times New Roman" w:hAnsi="Times New Roman"/>
          <w:sz w:val="20"/>
          <w:szCs w:val="20"/>
        </w:rPr>
      </w:pPr>
    </w:p>
    <w:p w14:paraId="0BC97787" w14:textId="77777777" w:rsidR="009F0928" w:rsidRDefault="009F0928">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78A" w14:textId="77777777">
        <w:trPr>
          <w:tblCellSpacing w:w="0" w:type="dxa"/>
        </w:trPr>
        <w:tc>
          <w:tcPr>
            <w:tcW w:w="960" w:type="dxa"/>
            <w:shd w:val="clear" w:color="auto" w:fill="auto"/>
            <w:vAlign w:val="center"/>
          </w:tcPr>
          <w:p w14:paraId="0BC97788" w14:textId="77777777" w:rsidR="009F0928" w:rsidRDefault="009F0928">
            <w:pPr>
              <w:rPr>
                <w:rFonts w:ascii="Times New Roman" w:hAnsi="Times New Roman"/>
                <w:sz w:val="20"/>
                <w:szCs w:val="20"/>
              </w:rPr>
            </w:pPr>
          </w:p>
        </w:tc>
        <w:tc>
          <w:tcPr>
            <w:tcW w:w="0" w:type="auto"/>
            <w:shd w:val="clear" w:color="auto" w:fill="auto"/>
            <w:vAlign w:val="center"/>
          </w:tcPr>
          <w:p w14:paraId="0BC97789" w14:textId="77777777" w:rsidR="009F0928" w:rsidRDefault="009F0928">
            <w:pPr>
              <w:rPr>
                <w:rFonts w:ascii="Times New Roman" w:hAnsi="Times New Roman"/>
                <w:sz w:val="20"/>
                <w:szCs w:val="20"/>
              </w:rPr>
            </w:pPr>
          </w:p>
        </w:tc>
      </w:tr>
      <w:tr w:rsidR="009F0928" w14:paraId="0BC9778D" w14:textId="77777777">
        <w:trPr>
          <w:tblCellSpacing w:w="0" w:type="dxa"/>
        </w:trPr>
        <w:tc>
          <w:tcPr>
            <w:tcW w:w="0" w:type="auto"/>
            <w:shd w:val="clear" w:color="auto" w:fill="auto"/>
          </w:tcPr>
          <w:p w14:paraId="0BC9778B"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8C"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uncertainties and instability in economic and market conditions caused by the United Kingdom’s vote to exit the European Union and any outcomes resulting from that vote;</w:t>
            </w:r>
          </w:p>
        </w:tc>
      </w:tr>
    </w:tbl>
    <w:p w14:paraId="0BC9778E"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791" w14:textId="77777777">
        <w:trPr>
          <w:tblCellSpacing w:w="0" w:type="dxa"/>
        </w:trPr>
        <w:tc>
          <w:tcPr>
            <w:tcW w:w="960" w:type="dxa"/>
            <w:shd w:val="clear" w:color="auto" w:fill="auto"/>
            <w:vAlign w:val="center"/>
          </w:tcPr>
          <w:p w14:paraId="0BC9778F" w14:textId="77777777" w:rsidR="009F0928" w:rsidRDefault="009F0928">
            <w:pPr>
              <w:rPr>
                <w:rFonts w:ascii="Times New Roman" w:hAnsi="Times New Roman"/>
                <w:sz w:val="20"/>
                <w:szCs w:val="20"/>
              </w:rPr>
            </w:pPr>
          </w:p>
        </w:tc>
        <w:tc>
          <w:tcPr>
            <w:tcW w:w="0" w:type="auto"/>
            <w:shd w:val="clear" w:color="auto" w:fill="auto"/>
            <w:vAlign w:val="center"/>
          </w:tcPr>
          <w:p w14:paraId="0BC97790" w14:textId="77777777" w:rsidR="009F0928" w:rsidRDefault="009F0928">
            <w:pPr>
              <w:rPr>
                <w:rFonts w:ascii="Times New Roman" w:hAnsi="Times New Roman"/>
                <w:sz w:val="20"/>
                <w:szCs w:val="20"/>
              </w:rPr>
            </w:pPr>
          </w:p>
        </w:tc>
      </w:tr>
      <w:tr w:rsidR="009F0928" w14:paraId="0BC97794" w14:textId="77777777">
        <w:trPr>
          <w:tblCellSpacing w:w="0" w:type="dxa"/>
        </w:trPr>
        <w:tc>
          <w:tcPr>
            <w:tcW w:w="0" w:type="auto"/>
            <w:shd w:val="clear" w:color="auto" w:fill="auto"/>
          </w:tcPr>
          <w:p w14:paraId="0BC97792"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93"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uncertainty regarding how the United Kingdom’s access to the European Union Single Market and the wider trading, legal, regulatory and labor environments, especially in the United Kingdom and European Union, will be impacted by the United Kingdom’s vote to</w:t>
            </w:r>
            <w:r>
              <w:rPr>
                <w:rFonts w:ascii="Arial" w:eastAsia="宋体" w:hAnsi="Arial" w:cs="Arial"/>
                <w:sz w:val="20"/>
                <w:szCs w:val="20"/>
              </w:rPr>
              <w:t xml:space="preserve"> exit the European Union and any outcomes resulting from that vote, including the resulting impact on our business and that of our clients;</w:t>
            </w:r>
          </w:p>
        </w:tc>
      </w:tr>
    </w:tbl>
    <w:p w14:paraId="0BC97795"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798" w14:textId="77777777">
        <w:trPr>
          <w:tblCellSpacing w:w="0" w:type="dxa"/>
        </w:trPr>
        <w:tc>
          <w:tcPr>
            <w:tcW w:w="960" w:type="dxa"/>
            <w:shd w:val="clear" w:color="auto" w:fill="auto"/>
            <w:vAlign w:val="center"/>
          </w:tcPr>
          <w:p w14:paraId="0BC97796" w14:textId="77777777" w:rsidR="009F0928" w:rsidRDefault="009F0928">
            <w:pPr>
              <w:rPr>
                <w:rFonts w:ascii="Times New Roman" w:hAnsi="Times New Roman"/>
                <w:sz w:val="20"/>
                <w:szCs w:val="20"/>
              </w:rPr>
            </w:pPr>
          </w:p>
        </w:tc>
        <w:tc>
          <w:tcPr>
            <w:tcW w:w="0" w:type="auto"/>
            <w:shd w:val="clear" w:color="auto" w:fill="auto"/>
            <w:vAlign w:val="center"/>
          </w:tcPr>
          <w:p w14:paraId="0BC97797" w14:textId="77777777" w:rsidR="009F0928" w:rsidRDefault="009F0928">
            <w:pPr>
              <w:rPr>
                <w:rFonts w:ascii="Times New Roman" w:hAnsi="Times New Roman"/>
                <w:sz w:val="20"/>
                <w:szCs w:val="20"/>
              </w:rPr>
            </w:pPr>
          </w:p>
        </w:tc>
      </w:tr>
      <w:tr w:rsidR="009F0928" w14:paraId="0BC9779B" w14:textId="77777777">
        <w:trPr>
          <w:tblCellSpacing w:w="0" w:type="dxa"/>
        </w:trPr>
        <w:tc>
          <w:tcPr>
            <w:tcW w:w="0" w:type="auto"/>
            <w:shd w:val="clear" w:color="auto" w:fill="auto"/>
          </w:tcPr>
          <w:p w14:paraId="0BC97799"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9A"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expenses associated with localizing our products and services and customer data, including offering </w:t>
            </w:r>
            <w:r>
              <w:rPr>
                <w:rFonts w:ascii="Arial" w:eastAsia="宋体" w:hAnsi="Arial" w:cs="Arial"/>
                <w:sz w:val="20"/>
                <w:szCs w:val="20"/>
              </w:rPr>
              <w:t>customers the ability to transact business in the local currency and adapting our products and services to local preferences (e.g., payment methods) with which we may have limited or no experience;</w:t>
            </w:r>
          </w:p>
        </w:tc>
      </w:tr>
    </w:tbl>
    <w:p w14:paraId="0BC9779C"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203"/>
      </w:tblGrid>
      <w:tr w:rsidR="009F0928" w14:paraId="0BC9779F" w14:textId="77777777">
        <w:trPr>
          <w:tblCellSpacing w:w="0" w:type="dxa"/>
        </w:trPr>
        <w:tc>
          <w:tcPr>
            <w:tcW w:w="960" w:type="dxa"/>
            <w:shd w:val="clear" w:color="auto" w:fill="auto"/>
            <w:vAlign w:val="center"/>
          </w:tcPr>
          <w:p w14:paraId="0BC9779D" w14:textId="77777777" w:rsidR="009F0928" w:rsidRDefault="009F0928">
            <w:pPr>
              <w:rPr>
                <w:rFonts w:ascii="Times New Roman" w:hAnsi="Times New Roman"/>
                <w:sz w:val="20"/>
                <w:szCs w:val="20"/>
              </w:rPr>
            </w:pPr>
          </w:p>
        </w:tc>
        <w:tc>
          <w:tcPr>
            <w:tcW w:w="0" w:type="auto"/>
            <w:shd w:val="clear" w:color="auto" w:fill="auto"/>
            <w:vAlign w:val="center"/>
          </w:tcPr>
          <w:p w14:paraId="0BC9779E" w14:textId="77777777" w:rsidR="009F0928" w:rsidRDefault="009F0928">
            <w:pPr>
              <w:rPr>
                <w:rFonts w:ascii="Times New Roman" w:hAnsi="Times New Roman"/>
                <w:sz w:val="20"/>
                <w:szCs w:val="20"/>
              </w:rPr>
            </w:pPr>
          </w:p>
        </w:tc>
      </w:tr>
      <w:tr w:rsidR="009F0928" w14:paraId="0BC977A2" w14:textId="77777777">
        <w:trPr>
          <w:tblCellSpacing w:w="0" w:type="dxa"/>
        </w:trPr>
        <w:tc>
          <w:tcPr>
            <w:tcW w:w="0" w:type="auto"/>
            <w:shd w:val="clear" w:color="auto" w:fill="auto"/>
          </w:tcPr>
          <w:p w14:paraId="0BC977A0"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A1"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trade barriers and changes in trade </w:t>
            </w:r>
            <w:r>
              <w:rPr>
                <w:rFonts w:ascii="Arial" w:eastAsia="宋体" w:hAnsi="Arial" w:cs="Arial"/>
                <w:sz w:val="20"/>
                <w:szCs w:val="20"/>
              </w:rPr>
              <w:t>regulations;</w:t>
            </w:r>
          </w:p>
        </w:tc>
      </w:tr>
    </w:tbl>
    <w:p w14:paraId="0BC977A3"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7A6" w14:textId="77777777">
        <w:trPr>
          <w:tblCellSpacing w:w="0" w:type="dxa"/>
        </w:trPr>
        <w:tc>
          <w:tcPr>
            <w:tcW w:w="960" w:type="dxa"/>
            <w:shd w:val="clear" w:color="auto" w:fill="auto"/>
            <w:vAlign w:val="center"/>
          </w:tcPr>
          <w:p w14:paraId="0BC977A4" w14:textId="77777777" w:rsidR="009F0928" w:rsidRDefault="009F0928">
            <w:pPr>
              <w:rPr>
                <w:rFonts w:ascii="Times New Roman" w:hAnsi="Times New Roman"/>
                <w:sz w:val="20"/>
                <w:szCs w:val="20"/>
              </w:rPr>
            </w:pPr>
          </w:p>
        </w:tc>
        <w:tc>
          <w:tcPr>
            <w:tcW w:w="0" w:type="auto"/>
            <w:shd w:val="clear" w:color="auto" w:fill="auto"/>
            <w:vAlign w:val="center"/>
          </w:tcPr>
          <w:p w14:paraId="0BC977A5" w14:textId="77777777" w:rsidR="009F0928" w:rsidRDefault="009F0928">
            <w:pPr>
              <w:rPr>
                <w:rFonts w:ascii="Times New Roman" w:hAnsi="Times New Roman"/>
                <w:sz w:val="20"/>
                <w:szCs w:val="20"/>
              </w:rPr>
            </w:pPr>
          </w:p>
        </w:tc>
      </w:tr>
      <w:tr w:rsidR="009F0928" w14:paraId="0BC977A9" w14:textId="77777777">
        <w:trPr>
          <w:tblCellSpacing w:w="0" w:type="dxa"/>
        </w:trPr>
        <w:tc>
          <w:tcPr>
            <w:tcW w:w="0" w:type="auto"/>
            <w:shd w:val="clear" w:color="auto" w:fill="auto"/>
          </w:tcPr>
          <w:p w14:paraId="0BC977A7"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A8"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difficulties in developing, staffing, and simultaneously managing a large number of varying foreign operations as a result of distance, language, and cultural differences;</w:t>
            </w:r>
          </w:p>
        </w:tc>
      </w:tr>
    </w:tbl>
    <w:p w14:paraId="0BC977AA"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669"/>
      </w:tblGrid>
      <w:tr w:rsidR="009F0928" w14:paraId="0BC977AD" w14:textId="77777777">
        <w:trPr>
          <w:tblCellSpacing w:w="0" w:type="dxa"/>
        </w:trPr>
        <w:tc>
          <w:tcPr>
            <w:tcW w:w="960" w:type="dxa"/>
            <w:shd w:val="clear" w:color="auto" w:fill="auto"/>
            <w:vAlign w:val="center"/>
          </w:tcPr>
          <w:p w14:paraId="0BC977AB" w14:textId="77777777" w:rsidR="009F0928" w:rsidRDefault="009F0928">
            <w:pPr>
              <w:rPr>
                <w:rFonts w:ascii="Times New Roman" w:hAnsi="Times New Roman"/>
                <w:sz w:val="20"/>
                <w:szCs w:val="20"/>
              </w:rPr>
            </w:pPr>
          </w:p>
        </w:tc>
        <w:tc>
          <w:tcPr>
            <w:tcW w:w="0" w:type="auto"/>
            <w:shd w:val="clear" w:color="auto" w:fill="auto"/>
            <w:vAlign w:val="center"/>
          </w:tcPr>
          <w:p w14:paraId="0BC977AC" w14:textId="77777777" w:rsidR="009F0928" w:rsidRDefault="009F0928">
            <w:pPr>
              <w:rPr>
                <w:rFonts w:ascii="Times New Roman" w:hAnsi="Times New Roman"/>
                <w:sz w:val="20"/>
                <w:szCs w:val="20"/>
              </w:rPr>
            </w:pPr>
          </w:p>
        </w:tc>
      </w:tr>
      <w:tr w:rsidR="009F0928" w14:paraId="0BC977B0" w14:textId="77777777">
        <w:trPr>
          <w:tblCellSpacing w:w="0" w:type="dxa"/>
        </w:trPr>
        <w:tc>
          <w:tcPr>
            <w:tcW w:w="0" w:type="auto"/>
            <w:shd w:val="clear" w:color="auto" w:fill="auto"/>
          </w:tcPr>
          <w:p w14:paraId="0BC977AE"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AF"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stringent local labor laws and regulations;</w:t>
            </w:r>
          </w:p>
        </w:tc>
      </w:tr>
    </w:tbl>
    <w:p w14:paraId="0BC977B1"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036"/>
      </w:tblGrid>
      <w:tr w:rsidR="009F0928" w14:paraId="0BC977B4" w14:textId="77777777">
        <w:trPr>
          <w:tblCellSpacing w:w="0" w:type="dxa"/>
        </w:trPr>
        <w:tc>
          <w:tcPr>
            <w:tcW w:w="960" w:type="dxa"/>
            <w:shd w:val="clear" w:color="auto" w:fill="auto"/>
            <w:vAlign w:val="center"/>
          </w:tcPr>
          <w:p w14:paraId="0BC977B2" w14:textId="77777777" w:rsidR="009F0928" w:rsidRDefault="009F0928">
            <w:pPr>
              <w:rPr>
                <w:rFonts w:ascii="Times New Roman" w:hAnsi="Times New Roman"/>
                <w:sz w:val="20"/>
                <w:szCs w:val="20"/>
              </w:rPr>
            </w:pPr>
          </w:p>
        </w:tc>
        <w:tc>
          <w:tcPr>
            <w:tcW w:w="0" w:type="auto"/>
            <w:shd w:val="clear" w:color="auto" w:fill="auto"/>
            <w:vAlign w:val="center"/>
          </w:tcPr>
          <w:p w14:paraId="0BC977B3" w14:textId="77777777" w:rsidR="009F0928" w:rsidRDefault="009F0928">
            <w:pPr>
              <w:rPr>
                <w:rFonts w:ascii="Times New Roman" w:hAnsi="Times New Roman"/>
                <w:sz w:val="20"/>
                <w:szCs w:val="20"/>
              </w:rPr>
            </w:pPr>
          </w:p>
        </w:tc>
      </w:tr>
      <w:tr w:rsidR="009F0928" w14:paraId="0BC977B7" w14:textId="77777777">
        <w:trPr>
          <w:tblCellSpacing w:w="0" w:type="dxa"/>
        </w:trPr>
        <w:tc>
          <w:tcPr>
            <w:tcW w:w="0" w:type="auto"/>
            <w:shd w:val="clear" w:color="auto" w:fill="auto"/>
          </w:tcPr>
          <w:p w14:paraId="0BC977B5"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B6"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credit risk and higher levels of payment fraud;</w:t>
            </w:r>
          </w:p>
        </w:tc>
      </w:tr>
    </w:tbl>
    <w:p w14:paraId="0BC977B8"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7BB" w14:textId="77777777">
        <w:trPr>
          <w:tblCellSpacing w:w="0" w:type="dxa"/>
        </w:trPr>
        <w:tc>
          <w:tcPr>
            <w:tcW w:w="960" w:type="dxa"/>
            <w:shd w:val="clear" w:color="auto" w:fill="auto"/>
            <w:vAlign w:val="center"/>
          </w:tcPr>
          <w:p w14:paraId="0BC977B9" w14:textId="77777777" w:rsidR="009F0928" w:rsidRDefault="009F0928">
            <w:pPr>
              <w:rPr>
                <w:rFonts w:ascii="Times New Roman" w:hAnsi="Times New Roman"/>
                <w:sz w:val="20"/>
                <w:szCs w:val="20"/>
              </w:rPr>
            </w:pPr>
          </w:p>
        </w:tc>
        <w:tc>
          <w:tcPr>
            <w:tcW w:w="0" w:type="auto"/>
            <w:shd w:val="clear" w:color="auto" w:fill="auto"/>
            <w:vAlign w:val="center"/>
          </w:tcPr>
          <w:p w14:paraId="0BC977BA" w14:textId="77777777" w:rsidR="009F0928" w:rsidRDefault="009F0928">
            <w:pPr>
              <w:rPr>
                <w:rFonts w:ascii="Times New Roman" w:hAnsi="Times New Roman"/>
                <w:sz w:val="20"/>
                <w:szCs w:val="20"/>
              </w:rPr>
            </w:pPr>
          </w:p>
        </w:tc>
      </w:tr>
      <w:tr w:rsidR="009F0928" w14:paraId="0BC977BE" w14:textId="77777777">
        <w:trPr>
          <w:tblCellSpacing w:w="0" w:type="dxa"/>
        </w:trPr>
        <w:tc>
          <w:tcPr>
            <w:tcW w:w="0" w:type="auto"/>
            <w:shd w:val="clear" w:color="auto" w:fill="auto"/>
          </w:tcPr>
          <w:p w14:paraId="0BC977BC"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BD"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profit repatriation restrictions, foreign currency exchange restrictions or extreme fluctuations in foreign currency exchange rates for a particular currency;</w:t>
            </w:r>
          </w:p>
        </w:tc>
      </w:tr>
    </w:tbl>
    <w:p w14:paraId="0BC977BF"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148"/>
      </w:tblGrid>
      <w:tr w:rsidR="009F0928" w14:paraId="0BC977C2" w14:textId="77777777">
        <w:trPr>
          <w:tblCellSpacing w:w="0" w:type="dxa"/>
        </w:trPr>
        <w:tc>
          <w:tcPr>
            <w:tcW w:w="960" w:type="dxa"/>
            <w:shd w:val="clear" w:color="auto" w:fill="auto"/>
            <w:vAlign w:val="center"/>
          </w:tcPr>
          <w:p w14:paraId="0BC977C0" w14:textId="77777777" w:rsidR="009F0928" w:rsidRDefault="009F0928">
            <w:pPr>
              <w:rPr>
                <w:rFonts w:ascii="Times New Roman" w:hAnsi="Times New Roman"/>
                <w:sz w:val="20"/>
                <w:szCs w:val="20"/>
              </w:rPr>
            </w:pPr>
          </w:p>
        </w:tc>
        <w:tc>
          <w:tcPr>
            <w:tcW w:w="0" w:type="auto"/>
            <w:shd w:val="clear" w:color="auto" w:fill="auto"/>
            <w:vAlign w:val="center"/>
          </w:tcPr>
          <w:p w14:paraId="0BC977C1" w14:textId="77777777" w:rsidR="009F0928" w:rsidRDefault="009F0928">
            <w:pPr>
              <w:rPr>
                <w:rFonts w:ascii="Times New Roman" w:hAnsi="Times New Roman"/>
                <w:sz w:val="20"/>
                <w:szCs w:val="20"/>
              </w:rPr>
            </w:pPr>
          </w:p>
        </w:tc>
      </w:tr>
      <w:tr w:rsidR="009F0928" w14:paraId="0BC977C5" w14:textId="77777777">
        <w:trPr>
          <w:tblCellSpacing w:w="0" w:type="dxa"/>
        </w:trPr>
        <w:tc>
          <w:tcPr>
            <w:tcW w:w="0" w:type="auto"/>
            <w:shd w:val="clear" w:color="auto" w:fill="auto"/>
          </w:tcPr>
          <w:p w14:paraId="0BC977C3"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C4"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political or social unrest, </w:t>
            </w:r>
            <w:r>
              <w:rPr>
                <w:rFonts w:ascii="Arial" w:eastAsia="宋体" w:hAnsi="Arial" w:cs="Arial"/>
                <w:sz w:val="20"/>
                <w:szCs w:val="20"/>
              </w:rPr>
              <w:t>economic instability, repression, or human rights issues;</w:t>
            </w:r>
          </w:p>
        </w:tc>
      </w:tr>
    </w:tbl>
    <w:p w14:paraId="0BC977C6"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7C9" w14:textId="77777777">
        <w:trPr>
          <w:tblCellSpacing w:w="0" w:type="dxa"/>
        </w:trPr>
        <w:tc>
          <w:tcPr>
            <w:tcW w:w="960" w:type="dxa"/>
            <w:shd w:val="clear" w:color="auto" w:fill="auto"/>
            <w:vAlign w:val="center"/>
          </w:tcPr>
          <w:p w14:paraId="0BC977C7" w14:textId="77777777" w:rsidR="009F0928" w:rsidRDefault="009F0928">
            <w:pPr>
              <w:rPr>
                <w:rFonts w:ascii="Times New Roman" w:hAnsi="Times New Roman"/>
                <w:sz w:val="20"/>
                <w:szCs w:val="20"/>
              </w:rPr>
            </w:pPr>
          </w:p>
        </w:tc>
        <w:tc>
          <w:tcPr>
            <w:tcW w:w="0" w:type="auto"/>
            <w:shd w:val="clear" w:color="auto" w:fill="auto"/>
            <w:vAlign w:val="center"/>
          </w:tcPr>
          <w:p w14:paraId="0BC977C8" w14:textId="77777777" w:rsidR="009F0928" w:rsidRDefault="009F0928">
            <w:pPr>
              <w:rPr>
                <w:rFonts w:ascii="Times New Roman" w:hAnsi="Times New Roman"/>
                <w:sz w:val="20"/>
                <w:szCs w:val="20"/>
              </w:rPr>
            </w:pPr>
          </w:p>
        </w:tc>
      </w:tr>
      <w:tr w:rsidR="009F0928" w14:paraId="0BC977CC" w14:textId="77777777">
        <w:trPr>
          <w:tblCellSpacing w:w="0" w:type="dxa"/>
        </w:trPr>
        <w:tc>
          <w:tcPr>
            <w:tcW w:w="0" w:type="auto"/>
            <w:shd w:val="clear" w:color="auto" w:fill="auto"/>
          </w:tcPr>
          <w:p w14:paraId="0BC977CA"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CB"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geopolitical events, including natural disasters, public health issues, acts of war, and terrorism;</w:t>
            </w:r>
          </w:p>
        </w:tc>
      </w:tr>
    </w:tbl>
    <w:p w14:paraId="0BC977CD"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491"/>
      </w:tblGrid>
      <w:tr w:rsidR="009F0928" w14:paraId="0BC977D0" w14:textId="77777777">
        <w:trPr>
          <w:tblCellSpacing w:w="0" w:type="dxa"/>
        </w:trPr>
        <w:tc>
          <w:tcPr>
            <w:tcW w:w="960" w:type="dxa"/>
            <w:shd w:val="clear" w:color="auto" w:fill="auto"/>
            <w:vAlign w:val="center"/>
          </w:tcPr>
          <w:p w14:paraId="0BC977CE" w14:textId="77777777" w:rsidR="009F0928" w:rsidRDefault="009F0928">
            <w:pPr>
              <w:rPr>
                <w:rFonts w:ascii="Times New Roman" w:hAnsi="Times New Roman"/>
                <w:sz w:val="20"/>
                <w:szCs w:val="20"/>
              </w:rPr>
            </w:pPr>
          </w:p>
        </w:tc>
        <w:tc>
          <w:tcPr>
            <w:tcW w:w="0" w:type="auto"/>
            <w:shd w:val="clear" w:color="auto" w:fill="auto"/>
            <w:vAlign w:val="center"/>
          </w:tcPr>
          <w:p w14:paraId="0BC977CF" w14:textId="77777777" w:rsidR="009F0928" w:rsidRDefault="009F0928">
            <w:pPr>
              <w:rPr>
                <w:rFonts w:ascii="Times New Roman" w:hAnsi="Times New Roman"/>
                <w:sz w:val="20"/>
                <w:szCs w:val="20"/>
              </w:rPr>
            </w:pPr>
          </w:p>
        </w:tc>
      </w:tr>
      <w:tr w:rsidR="009F0928" w14:paraId="0BC977D3" w14:textId="77777777">
        <w:trPr>
          <w:tblCellSpacing w:w="0" w:type="dxa"/>
        </w:trPr>
        <w:tc>
          <w:tcPr>
            <w:tcW w:w="0" w:type="auto"/>
            <w:shd w:val="clear" w:color="auto" w:fill="auto"/>
          </w:tcPr>
          <w:p w14:paraId="0BC977D1"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D2"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import or export regulations;</w:t>
            </w:r>
          </w:p>
        </w:tc>
      </w:tr>
    </w:tbl>
    <w:p w14:paraId="0BC977D4"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7D7" w14:textId="77777777">
        <w:trPr>
          <w:tblCellSpacing w:w="0" w:type="dxa"/>
        </w:trPr>
        <w:tc>
          <w:tcPr>
            <w:tcW w:w="960" w:type="dxa"/>
            <w:shd w:val="clear" w:color="auto" w:fill="auto"/>
            <w:vAlign w:val="center"/>
          </w:tcPr>
          <w:p w14:paraId="0BC977D5" w14:textId="77777777" w:rsidR="009F0928" w:rsidRDefault="009F0928">
            <w:pPr>
              <w:rPr>
                <w:rFonts w:ascii="Times New Roman" w:hAnsi="Times New Roman"/>
                <w:sz w:val="20"/>
                <w:szCs w:val="20"/>
              </w:rPr>
            </w:pPr>
          </w:p>
        </w:tc>
        <w:tc>
          <w:tcPr>
            <w:tcW w:w="0" w:type="auto"/>
            <w:shd w:val="clear" w:color="auto" w:fill="auto"/>
            <w:vAlign w:val="center"/>
          </w:tcPr>
          <w:p w14:paraId="0BC977D6" w14:textId="77777777" w:rsidR="009F0928" w:rsidRDefault="009F0928">
            <w:pPr>
              <w:rPr>
                <w:rFonts w:ascii="Times New Roman" w:hAnsi="Times New Roman"/>
                <w:sz w:val="20"/>
                <w:szCs w:val="20"/>
              </w:rPr>
            </w:pPr>
          </w:p>
        </w:tc>
      </w:tr>
      <w:tr w:rsidR="009F0928" w14:paraId="0BC977DA" w14:textId="77777777">
        <w:trPr>
          <w:tblCellSpacing w:w="0" w:type="dxa"/>
        </w:trPr>
        <w:tc>
          <w:tcPr>
            <w:tcW w:w="0" w:type="auto"/>
            <w:shd w:val="clear" w:color="auto" w:fill="auto"/>
          </w:tcPr>
          <w:p w14:paraId="0BC977D8"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D9"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compliance with U.S. laws such as the </w:t>
            </w:r>
            <w:r>
              <w:rPr>
                <w:rFonts w:ascii="Arial" w:eastAsia="宋体" w:hAnsi="Arial" w:cs="Arial"/>
                <w:sz w:val="20"/>
                <w:szCs w:val="20"/>
              </w:rPr>
              <w:t>Foreign Corrupt Practices Act, and foreign laws prohibiting corrupt payments to government officials, as well as U.S. and foreign laws designed to combat money laundering and the financing of terrorist activities;</w:t>
            </w:r>
          </w:p>
        </w:tc>
      </w:tr>
    </w:tbl>
    <w:p w14:paraId="0BC977DB"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269"/>
      </w:tblGrid>
      <w:tr w:rsidR="009F0928" w14:paraId="0BC977DE" w14:textId="77777777">
        <w:trPr>
          <w:tblCellSpacing w:w="0" w:type="dxa"/>
        </w:trPr>
        <w:tc>
          <w:tcPr>
            <w:tcW w:w="960" w:type="dxa"/>
            <w:shd w:val="clear" w:color="auto" w:fill="auto"/>
            <w:vAlign w:val="center"/>
          </w:tcPr>
          <w:p w14:paraId="0BC977DC" w14:textId="77777777" w:rsidR="009F0928" w:rsidRDefault="009F0928">
            <w:pPr>
              <w:rPr>
                <w:rFonts w:ascii="Times New Roman" w:hAnsi="Times New Roman"/>
                <w:sz w:val="20"/>
                <w:szCs w:val="20"/>
              </w:rPr>
            </w:pPr>
          </w:p>
        </w:tc>
        <w:tc>
          <w:tcPr>
            <w:tcW w:w="0" w:type="auto"/>
            <w:shd w:val="clear" w:color="auto" w:fill="auto"/>
            <w:vAlign w:val="center"/>
          </w:tcPr>
          <w:p w14:paraId="0BC977DD" w14:textId="77777777" w:rsidR="009F0928" w:rsidRDefault="009F0928">
            <w:pPr>
              <w:rPr>
                <w:rFonts w:ascii="Times New Roman" w:hAnsi="Times New Roman"/>
                <w:sz w:val="20"/>
                <w:szCs w:val="20"/>
              </w:rPr>
            </w:pPr>
          </w:p>
        </w:tc>
      </w:tr>
      <w:tr w:rsidR="009F0928" w14:paraId="0BC977E1" w14:textId="77777777">
        <w:trPr>
          <w:tblCellSpacing w:w="0" w:type="dxa"/>
        </w:trPr>
        <w:tc>
          <w:tcPr>
            <w:tcW w:w="0" w:type="auto"/>
            <w:shd w:val="clear" w:color="auto" w:fill="auto"/>
          </w:tcPr>
          <w:p w14:paraId="0BC977DF"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E0"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antitrust and </w:t>
            </w:r>
            <w:r>
              <w:rPr>
                <w:rFonts w:ascii="Arial" w:eastAsia="宋体" w:hAnsi="Arial" w:cs="Arial"/>
                <w:sz w:val="20"/>
                <w:szCs w:val="20"/>
              </w:rPr>
              <w:t>competition regulations;</w:t>
            </w:r>
          </w:p>
        </w:tc>
      </w:tr>
    </w:tbl>
    <w:p w14:paraId="0BC977E2"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082"/>
      </w:tblGrid>
      <w:tr w:rsidR="009F0928" w14:paraId="0BC977E5" w14:textId="77777777">
        <w:trPr>
          <w:tblCellSpacing w:w="0" w:type="dxa"/>
        </w:trPr>
        <w:tc>
          <w:tcPr>
            <w:tcW w:w="960" w:type="dxa"/>
            <w:shd w:val="clear" w:color="auto" w:fill="auto"/>
            <w:vAlign w:val="center"/>
          </w:tcPr>
          <w:p w14:paraId="0BC977E3" w14:textId="77777777" w:rsidR="009F0928" w:rsidRDefault="009F0928">
            <w:pPr>
              <w:rPr>
                <w:rFonts w:ascii="Times New Roman" w:hAnsi="Times New Roman"/>
                <w:sz w:val="20"/>
                <w:szCs w:val="20"/>
              </w:rPr>
            </w:pPr>
          </w:p>
        </w:tc>
        <w:tc>
          <w:tcPr>
            <w:tcW w:w="0" w:type="auto"/>
            <w:shd w:val="clear" w:color="auto" w:fill="auto"/>
            <w:vAlign w:val="center"/>
          </w:tcPr>
          <w:p w14:paraId="0BC977E4" w14:textId="77777777" w:rsidR="009F0928" w:rsidRDefault="009F0928">
            <w:pPr>
              <w:rPr>
                <w:rFonts w:ascii="Times New Roman" w:hAnsi="Times New Roman"/>
                <w:sz w:val="20"/>
                <w:szCs w:val="20"/>
              </w:rPr>
            </w:pPr>
          </w:p>
        </w:tc>
      </w:tr>
      <w:tr w:rsidR="009F0928" w14:paraId="0BC977E8" w14:textId="77777777">
        <w:trPr>
          <w:tblCellSpacing w:w="0" w:type="dxa"/>
        </w:trPr>
        <w:tc>
          <w:tcPr>
            <w:tcW w:w="0" w:type="auto"/>
            <w:shd w:val="clear" w:color="auto" w:fill="auto"/>
          </w:tcPr>
          <w:p w14:paraId="0BC977E6"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E7"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potentially adverse tax developments and consequences;</w:t>
            </w:r>
          </w:p>
        </w:tc>
      </w:tr>
    </w:tbl>
    <w:p w14:paraId="0BC977E9"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304"/>
      </w:tblGrid>
      <w:tr w:rsidR="009F0928" w14:paraId="0BC977EC" w14:textId="77777777">
        <w:trPr>
          <w:tblCellSpacing w:w="0" w:type="dxa"/>
        </w:trPr>
        <w:tc>
          <w:tcPr>
            <w:tcW w:w="960" w:type="dxa"/>
            <w:shd w:val="clear" w:color="auto" w:fill="auto"/>
            <w:vAlign w:val="center"/>
          </w:tcPr>
          <w:p w14:paraId="0BC977EA" w14:textId="77777777" w:rsidR="009F0928" w:rsidRDefault="009F0928">
            <w:pPr>
              <w:rPr>
                <w:rFonts w:ascii="Times New Roman" w:hAnsi="Times New Roman"/>
                <w:sz w:val="20"/>
                <w:szCs w:val="20"/>
              </w:rPr>
            </w:pPr>
          </w:p>
        </w:tc>
        <w:tc>
          <w:tcPr>
            <w:tcW w:w="0" w:type="auto"/>
            <w:shd w:val="clear" w:color="auto" w:fill="auto"/>
            <w:vAlign w:val="center"/>
          </w:tcPr>
          <w:p w14:paraId="0BC977EB" w14:textId="77777777" w:rsidR="009F0928" w:rsidRDefault="009F0928">
            <w:pPr>
              <w:rPr>
                <w:rFonts w:ascii="Times New Roman" w:hAnsi="Times New Roman"/>
                <w:sz w:val="20"/>
                <w:szCs w:val="20"/>
              </w:rPr>
            </w:pPr>
          </w:p>
        </w:tc>
      </w:tr>
      <w:tr w:rsidR="009F0928" w14:paraId="0BC977EF" w14:textId="77777777">
        <w:trPr>
          <w:tblCellSpacing w:w="0" w:type="dxa"/>
        </w:trPr>
        <w:tc>
          <w:tcPr>
            <w:tcW w:w="0" w:type="auto"/>
            <w:shd w:val="clear" w:color="auto" w:fill="auto"/>
          </w:tcPr>
          <w:p w14:paraId="0BC977ED"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EE"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economic uncertainties relating to sovereign and other debt;</w:t>
            </w:r>
          </w:p>
        </w:tc>
      </w:tr>
    </w:tbl>
    <w:p w14:paraId="0BC977F0"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7F3" w14:textId="77777777">
        <w:trPr>
          <w:tblCellSpacing w:w="0" w:type="dxa"/>
        </w:trPr>
        <w:tc>
          <w:tcPr>
            <w:tcW w:w="960" w:type="dxa"/>
            <w:shd w:val="clear" w:color="auto" w:fill="auto"/>
            <w:vAlign w:val="center"/>
          </w:tcPr>
          <w:p w14:paraId="0BC977F1" w14:textId="77777777" w:rsidR="009F0928" w:rsidRDefault="009F0928">
            <w:pPr>
              <w:rPr>
                <w:rFonts w:ascii="Times New Roman" w:hAnsi="Times New Roman"/>
                <w:sz w:val="20"/>
                <w:szCs w:val="20"/>
              </w:rPr>
            </w:pPr>
          </w:p>
        </w:tc>
        <w:tc>
          <w:tcPr>
            <w:tcW w:w="0" w:type="auto"/>
            <w:shd w:val="clear" w:color="auto" w:fill="auto"/>
            <w:vAlign w:val="center"/>
          </w:tcPr>
          <w:p w14:paraId="0BC977F2" w14:textId="77777777" w:rsidR="009F0928" w:rsidRDefault="009F0928">
            <w:pPr>
              <w:rPr>
                <w:rFonts w:ascii="Times New Roman" w:hAnsi="Times New Roman"/>
                <w:sz w:val="20"/>
                <w:szCs w:val="20"/>
              </w:rPr>
            </w:pPr>
          </w:p>
        </w:tc>
      </w:tr>
      <w:tr w:rsidR="009F0928" w14:paraId="0BC977F6" w14:textId="77777777">
        <w:trPr>
          <w:tblCellSpacing w:w="0" w:type="dxa"/>
        </w:trPr>
        <w:tc>
          <w:tcPr>
            <w:tcW w:w="0" w:type="auto"/>
            <w:shd w:val="clear" w:color="auto" w:fill="auto"/>
          </w:tcPr>
          <w:p w14:paraId="0BC977F4"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F5"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different, uncertain, or more stringent user protection, data protection, privacy, and other laws; </w:t>
            </w:r>
          </w:p>
        </w:tc>
      </w:tr>
    </w:tbl>
    <w:p w14:paraId="0BC977F7"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37"/>
      </w:tblGrid>
      <w:tr w:rsidR="009F0928" w14:paraId="0BC977FA" w14:textId="77777777">
        <w:trPr>
          <w:tblCellSpacing w:w="0" w:type="dxa"/>
        </w:trPr>
        <w:tc>
          <w:tcPr>
            <w:tcW w:w="960" w:type="dxa"/>
            <w:shd w:val="clear" w:color="auto" w:fill="auto"/>
            <w:vAlign w:val="center"/>
          </w:tcPr>
          <w:p w14:paraId="0BC977F8" w14:textId="77777777" w:rsidR="009F0928" w:rsidRDefault="009F0928">
            <w:pPr>
              <w:rPr>
                <w:rFonts w:ascii="Times New Roman" w:hAnsi="Times New Roman"/>
                <w:sz w:val="20"/>
                <w:szCs w:val="20"/>
              </w:rPr>
            </w:pPr>
          </w:p>
        </w:tc>
        <w:tc>
          <w:tcPr>
            <w:tcW w:w="0" w:type="auto"/>
            <w:shd w:val="clear" w:color="auto" w:fill="auto"/>
            <w:vAlign w:val="center"/>
          </w:tcPr>
          <w:p w14:paraId="0BC977F9" w14:textId="77777777" w:rsidR="009F0928" w:rsidRDefault="009F0928">
            <w:pPr>
              <w:rPr>
                <w:rFonts w:ascii="Times New Roman" w:hAnsi="Times New Roman"/>
                <w:sz w:val="20"/>
                <w:szCs w:val="20"/>
              </w:rPr>
            </w:pPr>
          </w:p>
        </w:tc>
      </w:tr>
      <w:tr w:rsidR="009F0928" w14:paraId="0BC977FD" w14:textId="77777777">
        <w:trPr>
          <w:tblCellSpacing w:w="0" w:type="dxa"/>
        </w:trPr>
        <w:tc>
          <w:tcPr>
            <w:tcW w:w="0" w:type="auto"/>
            <w:shd w:val="clear" w:color="auto" w:fill="auto"/>
          </w:tcPr>
          <w:p w14:paraId="0BC977FB"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7FC"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risks related to other government regulation or required compliance with local laws;</w:t>
            </w:r>
          </w:p>
        </w:tc>
      </w:tr>
    </w:tbl>
    <w:p w14:paraId="0BC977FE"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626"/>
      </w:tblGrid>
      <w:tr w:rsidR="009F0928" w14:paraId="0BC97801" w14:textId="77777777">
        <w:trPr>
          <w:tblCellSpacing w:w="0" w:type="dxa"/>
        </w:trPr>
        <w:tc>
          <w:tcPr>
            <w:tcW w:w="960" w:type="dxa"/>
            <w:shd w:val="clear" w:color="auto" w:fill="auto"/>
            <w:vAlign w:val="center"/>
          </w:tcPr>
          <w:p w14:paraId="0BC977FF" w14:textId="77777777" w:rsidR="009F0928" w:rsidRDefault="009F0928">
            <w:pPr>
              <w:rPr>
                <w:rFonts w:ascii="Times New Roman" w:hAnsi="Times New Roman"/>
                <w:sz w:val="20"/>
                <w:szCs w:val="20"/>
              </w:rPr>
            </w:pPr>
          </w:p>
        </w:tc>
        <w:tc>
          <w:tcPr>
            <w:tcW w:w="0" w:type="auto"/>
            <w:shd w:val="clear" w:color="auto" w:fill="auto"/>
            <w:vAlign w:val="center"/>
          </w:tcPr>
          <w:p w14:paraId="0BC97800" w14:textId="77777777" w:rsidR="009F0928" w:rsidRDefault="009F0928">
            <w:pPr>
              <w:rPr>
                <w:rFonts w:ascii="Times New Roman" w:hAnsi="Times New Roman"/>
                <w:sz w:val="20"/>
                <w:szCs w:val="20"/>
              </w:rPr>
            </w:pPr>
          </w:p>
        </w:tc>
      </w:tr>
      <w:tr w:rsidR="009F0928" w14:paraId="0BC97804" w14:textId="77777777">
        <w:trPr>
          <w:tblCellSpacing w:w="0" w:type="dxa"/>
        </w:trPr>
        <w:tc>
          <w:tcPr>
            <w:tcW w:w="0" w:type="auto"/>
            <w:shd w:val="clear" w:color="auto" w:fill="auto"/>
          </w:tcPr>
          <w:p w14:paraId="0BC97802"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803"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national or regional differences in </w:t>
            </w:r>
            <w:r>
              <w:rPr>
                <w:rFonts w:ascii="Arial" w:eastAsia="宋体" w:hAnsi="Arial" w:cs="Arial"/>
                <w:sz w:val="20"/>
                <w:szCs w:val="20"/>
              </w:rPr>
              <w:t>macroeconomic growth rates;</w:t>
            </w:r>
          </w:p>
        </w:tc>
      </w:tr>
    </w:tbl>
    <w:p w14:paraId="0BC97805"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169"/>
      </w:tblGrid>
      <w:tr w:rsidR="009F0928" w14:paraId="0BC97808" w14:textId="77777777">
        <w:trPr>
          <w:tblCellSpacing w:w="0" w:type="dxa"/>
        </w:trPr>
        <w:tc>
          <w:tcPr>
            <w:tcW w:w="960" w:type="dxa"/>
            <w:shd w:val="clear" w:color="auto" w:fill="auto"/>
            <w:vAlign w:val="center"/>
          </w:tcPr>
          <w:p w14:paraId="0BC97806" w14:textId="77777777" w:rsidR="009F0928" w:rsidRDefault="009F0928">
            <w:pPr>
              <w:rPr>
                <w:rFonts w:ascii="Times New Roman" w:hAnsi="Times New Roman"/>
                <w:sz w:val="20"/>
                <w:szCs w:val="20"/>
              </w:rPr>
            </w:pPr>
          </w:p>
        </w:tc>
        <w:tc>
          <w:tcPr>
            <w:tcW w:w="0" w:type="auto"/>
            <w:shd w:val="clear" w:color="auto" w:fill="auto"/>
            <w:vAlign w:val="center"/>
          </w:tcPr>
          <w:p w14:paraId="0BC97807" w14:textId="77777777" w:rsidR="009F0928" w:rsidRDefault="009F0928">
            <w:pPr>
              <w:rPr>
                <w:rFonts w:ascii="Times New Roman" w:hAnsi="Times New Roman"/>
                <w:sz w:val="20"/>
                <w:szCs w:val="20"/>
              </w:rPr>
            </w:pPr>
          </w:p>
        </w:tc>
      </w:tr>
      <w:tr w:rsidR="009F0928" w14:paraId="0BC9780B" w14:textId="77777777">
        <w:trPr>
          <w:tblCellSpacing w:w="0" w:type="dxa"/>
        </w:trPr>
        <w:tc>
          <w:tcPr>
            <w:tcW w:w="0" w:type="auto"/>
            <w:shd w:val="clear" w:color="auto" w:fill="auto"/>
          </w:tcPr>
          <w:p w14:paraId="0BC97809"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80A"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payment intermediation regulations;</w:t>
            </w:r>
          </w:p>
        </w:tc>
      </w:tr>
    </w:tbl>
    <w:p w14:paraId="0BC9780C"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936"/>
      </w:tblGrid>
      <w:tr w:rsidR="009F0928" w14:paraId="0BC9780F" w14:textId="77777777">
        <w:trPr>
          <w:tblCellSpacing w:w="0" w:type="dxa"/>
        </w:trPr>
        <w:tc>
          <w:tcPr>
            <w:tcW w:w="960" w:type="dxa"/>
            <w:shd w:val="clear" w:color="auto" w:fill="auto"/>
            <w:vAlign w:val="center"/>
          </w:tcPr>
          <w:p w14:paraId="0BC9780D" w14:textId="77777777" w:rsidR="009F0928" w:rsidRDefault="009F0928">
            <w:pPr>
              <w:rPr>
                <w:rFonts w:ascii="Times New Roman" w:hAnsi="Times New Roman"/>
                <w:sz w:val="20"/>
                <w:szCs w:val="20"/>
              </w:rPr>
            </w:pPr>
          </w:p>
        </w:tc>
        <w:tc>
          <w:tcPr>
            <w:tcW w:w="0" w:type="auto"/>
            <w:shd w:val="clear" w:color="auto" w:fill="auto"/>
            <w:vAlign w:val="center"/>
          </w:tcPr>
          <w:p w14:paraId="0BC9780E" w14:textId="77777777" w:rsidR="009F0928" w:rsidRDefault="009F0928">
            <w:pPr>
              <w:rPr>
                <w:rFonts w:ascii="Times New Roman" w:hAnsi="Times New Roman"/>
                <w:sz w:val="20"/>
                <w:szCs w:val="20"/>
              </w:rPr>
            </w:pPr>
          </w:p>
        </w:tc>
      </w:tr>
      <w:tr w:rsidR="009F0928" w14:paraId="0BC97812" w14:textId="77777777">
        <w:trPr>
          <w:tblCellSpacing w:w="0" w:type="dxa"/>
        </w:trPr>
        <w:tc>
          <w:tcPr>
            <w:tcW w:w="0" w:type="auto"/>
            <w:shd w:val="clear" w:color="auto" w:fill="auto"/>
          </w:tcPr>
          <w:p w14:paraId="0BC97810"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811"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local licensing and reporting obligations; and</w:t>
            </w:r>
          </w:p>
        </w:tc>
      </w:tr>
    </w:tbl>
    <w:p w14:paraId="0BC97813"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781"/>
      </w:tblGrid>
      <w:tr w:rsidR="009F0928" w14:paraId="0BC97816" w14:textId="77777777">
        <w:trPr>
          <w:tblCellSpacing w:w="0" w:type="dxa"/>
        </w:trPr>
        <w:tc>
          <w:tcPr>
            <w:tcW w:w="960" w:type="dxa"/>
            <w:shd w:val="clear" w:color="auto" w:fill="auto"/>
            <w:vAlign w:val="center"/>
          </w:tcPr>
          <w:p w14:paraId="0BC97814" w14:textId="77777777" w:rsidR="009F0928" w:rsidRDefault="009F0928">
            <w:pPr>
              <w:rPr>
                <w:rFonts w:ascii="Times New Roman" w:hAnsi="Times New Roman"/>
                <w:sz w:val="20"/>
                <w:szCs w:val="20"/>
              </w:rPr>
            </w:pPr>
          </w:p>
        </w:tc>
        <w:tc>
          <w:tcPr>
            <w:tcW w:w="0" w:type="auto"/>
            <w:shd w:val="clear" w:color="auto" w:fill="auto"/>
            <w:vAlign w:val="center"/>
          </w:tcPr>
          <w:p w14:paraId="0BC97815" w14:textId="77777777" w:rsidR="009F0928" w:rsidRDefault="009F0928">
            <w:pPr>
              <w:rPr>
                <w:rFonts w:ascii="Times New Roman" w:hAnsi="Times New Roman"/>
                <w:sz w:val="20"/>
                <w:szCs w:val="20"/>
              </w:rPr>
            </w:pPr>
          </w:p>
        </w:tc>
      </w:tr>
      <w:tr w:rsidR="009F0928" w14:paraId="0BC97819" w14:textId="77777777">
        <w:trPr>
          <w:tblCellSpacing w:w="0" w:type="dxa"/>
        </w:trPr>
        <w:tc>
          <w:tcPr>
            <w:tcW w:w="0" w:type="auto"/>
            <w:shd w:val="clear" w:color="auto" w:fill="auto"/>
          </w:tcPr>
          <w:p w14:paraId="0BC97817"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818"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increased difficulties in collecting accounts receivable.</w:t>
            </w:r>
          </w:p>
        </w:tc>
      </w:tr>
    </w:tbl>
    <w:p w14:paraId="0BC9781A"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w:t>
      </w:r>
    </w:p>
    <w:p w14:paraId="0BC9781B"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Violations of the complex foreign and U.S. laws and regulations that apply to our international operations may result in fines, criminal actions, or sanctions against us, our officers, or our employees; prohibitions on the conduct of our business; and dama</w:t>
      </w:r>
      <w:r>
        <w:rPr>
          <w:rFonts w:ascii="Arial" w:eastAsia="宋体" w:hAnsi="Arial" w:cs="Arial"/>
          <w:sz w:val="20"/>
          <w:szCs w:val="20"/>
        </w:rPr>
        <w:t>ge to our reputation. Although we have implemented policies and procedures designed to promote compliance with these laws, there can be no assurance that our employees, contractors, or agents will not violate our policies. These risks inherent in our inter</w:t>
      </w:r>
      <w:r>
        <w:rPr>
          <w:rFonts w:ascii="Arial" w:eastAsia="宋体" w:hAnsi="Arial" w:cs="Arial"/>
          <w:sz w:val="20"/>
          <w:szCs w:val="20"/>
        </w:rPr>
        <w:t xml:space="preserve">national operations and expansion increase our costs of doing business internationally and could harm our business. </w:t>
      </w:r>
    </w:p>
    <w:p w14:paraId="0BC9781C" w14:textId="77777777" w:rsidR="009F0928" w:rsidRDefault="009F0928">
      <w:pPr>
        <w:spacing w:line="288" w:lineRule="auto"/>
        <w:ind w:firstLine="600"/>
        <w:jc w:val="both"/>
        <w:rPr>
          <w:rFonts w:ascii="Times New Roman" w:hAnsi="Times New Roman"/>
          <w:sz w:val="20"/>
          <w:szCs w:val="20"/>
        </w:rPr>
      </w:pPr>
    </w:p>
    <w:p w14:paraId="0BC9781D"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Any factors that reduce cross-border trade or make such trade more difficult could harm our business.</w:t>
      </w:r>
    </w:p>
    <w:p w14:paraId="0BC9781E" w14:textId="77777777" w:rsidR="009F0928" w:rsidRDefault="009F0928">
      <w:pPr>
        <w:spacing w:line="288" w:lineRule="auto"/>
        <w:ind w:firstLine="600"/>
        <w:jc w:val="both"/>
        <w:rPr>
          <w:rFonts w:ascii="Times New Roman" w:hAnsi="Times New Roman"/>
          <w:sz w:val="20"/>
          <w:szCs w:val="20"/>
        </w:rPr>
      </w:pPr>
    </w:p>
    <w:p w14:paraId="0BC9781F"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Cross-border trade is an important </w:t>
      </w:r>
      <w:r>
        <w:rPr>
          <w:rFonts w:ascii="Arial" w:eastAsia="宋体" w:hAnsi="Arial" w:cs="Arial"/>
          <w:sz w:val="20"/>
          <w:szCs w:val="20"/>
        </w:rPr>
        <w:t>source of both revenue and profits for us. Cross-border trade also represents our primary (or in some cases, only) presence in certain important markets, such as Brazil, Latin America, China, and various other countries. In addition, our cross-border trade</w:t>
      </w:r>
      <w:r>
        <w:rPr>
          <w:rFonts w:ascii="Arial" w:eastAsia="宋体" w:hAnsi="Arial" w:cs="Arial"/>
          <w:sz w:val="20"/>
          <w:szCs w:val="20"/>
        </w:rPr>
        <w:t xml:space="preserve"> is also subject to, and may be impacted by, foreign exchange rate fluctuations. </w:t>
      </w:r>
    </w:p>
    <w:p w14:paraId="0BC97820" w14:textId="77777777" w:rsidR="009F0928" w:rsidRDefault="009F0928">
      <w:pPr>
        <w:spacing w:line="288" w:lineRule="auto"/>
        <w:ind w:firstLine="600"/>
        <w:jc w:val="both"/>
        <w:rPr>
          <w:rFonts w:ascii="Times New Roman" w:hAnsi="Times New Roman"/>
          <w:sz w:val="20"/>
          <w:szCs w:val="20"/>
        </w:rPr>
      </w:pPr>
    </w:p>
    <w:p w14:paraId="0BC97821"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The interpretation and application of specific national or regional laws, such as those related to intellectual property rights of authentic products, selective </w:t>
      </w:r>
      <w:r>
        <w:rPr>
          <w:rFonts w:ascii="Arial" w:eastAsia="宋体" w:hAnsi="Arial" w:cs="Arial"/>
          <w:sz w:val="20"/>
          <w:szCs w:val="20"/>
        </w:rPr>
        <w:t xml:space="preserve">distribution networks, and sellers in other countries listing items on the Internet, and the potential interpretation and application of laws of multiple jurisdictions (e.g., the jurisdiction of the buyer, the seller, and/or the location of the item being </w:t>
      </w:r>
      <w:r>
        <w:rPr>
          <w:rFonts w:ascii="Arial" w:eastAsia="宋体" w:hAnsi="Arial" w:cs="Arial"/>
          <w:sz w:val="20"/>
          <w:szCs w:val="20"/>
        </w:rPr>
        <w:t>sold) are often extremely complicated in the context of cross-border trade. The interpretation and/or application of such laws could impose restrictions on, or increase the costs of, purchasing, selling, shipping, or returning goods across national borders</w:t>
      </w:r>
      <w:r>
        <w:rPr>
          <w:rFonts w:ascii="Arial" w:eastAsia="宋体" w:hAnsi="Arial" w:cs="Arial"/>
          <w:sz w:val="20"/>
          <w:szCs w:val="20"/>
        </w:rPr>
        <w:t>.</w:t>
      </w:r>
    </w:p>
    <w:p w14:paraId="0BC97822"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w:t>
      </w:r>
    </w:p>
    <w:p w14:paraId="0BC97823"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The shipping of goods across national borders is often more expensive and complicated than domestic shipping. Customs and duty procedures and reviews, including duty-free thresholds in various key markets, the interaction of national postal systems, a</w:t>
      </w:r>
      <w:r>
        <w:rPr>
          <w:rFonts w:ascii="Arial" w:eastAsia="宋体" w:hAnsi="Arial" w:cs="Arial"/>
          <w:sz w:val="20"/>
          <w:szCs w:val="20"/>
        </w:rPr>
        <w:t xml:space="preserve">nd security related governmental processes at international borders, may increase costs, discourage cross-border purchases, delay transit and create shipping uncertainties. Any factors that increase the costs </w:t>
      </w:r>
    </w:p>
    <w:p w14:paraId="0BC97824" w14:textId="77777777" w:rsidR="009F0928" w:rsidRDefault="009F0928">
      <w:pPr>
        <w:rPr>
          <w:rFonts w:ascii="Times New Roman" w:hAnsi="Times New Roman"/>
          <w:sz w:val="20"/>
          <w:szCs w:val="20"/>
        </w:rPr>
      </w:pPr>
    </w:p>
    <w:p w14:paraId="0BC97825"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13</w:t>
      </w:r>
    </w:p>
    <w:p w14:paraId="0BC97826" w14:textId="77777777" w:rsidR="009F0928" w:rsidRDefault="002112BD">
      <w:r>
        <w:rPr>
          <w:rFonts w:ascii="Times New Roman" w:hAnsi="Times New Roman"/>
          <w:sz w:val="18"/>
          <w:szCs w:val="18"/>
        </w:rPr>
        <w:pict w14:anchorId="0BC9B4C8">
          <v:rect id="_x0000_i1038" style="width:415.3pt;height:1.5pt" o:hralign="center" o:hrstd="t" o:hr="t" fillcolor="#a0a0a0" stroked="f"/>
        </w:pict>
      </w:r>
    </w:p>
    <w:p w14:paraId="0BC97827" w14:textId="77777777" w:rsidR="009F0928" w:rsidRDefault="009F0928">
      <w:pPr>
        <w:spacing w:line="288" w:lineRule="auto"/>
        <w:rPr>
          <w:rFonts w:ascii="Times New Roman" w:hAnsi="Times New Roman"/>
          <w:sz w:val="20"/>
          <w:szCs w:val="20"/>
        </w:rPr>
      </w:pPr>
    </w:p>
    <w:p w14:paraId="0BC97828" w14:textId="77777777" w:rsidR="009F0928" w:rsidRDefault="009F0928">
      <w:pPr>
        <w:rPr>
          <w:rFonts w:ascii="Times New Roman" w:hAnsi="Times New Roman"/>
          <w:sz w:val="20"/>
          <w:szCs w:val="20"/>
        </w:rPr>
      </w:pPr>
    </w:p>
    <w:p w14:paraId="0BC97829"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xml:space="preserve">of cross-border trade or restrict, delay, or make cross-border trade more difficult or impractical would lower our revenues and profits and could harm our business. </w:t>
      </w:r>
    </w:p>
    <w:p w14:paraId="0BC9782A" w14:textId="77777777" w:rsidR="009F0928" w:rsidRDefault="009F0928">
      <w:pPr>
        <w:spacing w:line="288" w:lineRule="auto"/>
        <w:ind w:firstLine="600"/>
        <w:jc w:val="both"/>
        <w:rPr>
          <w:rFonts w:ascii="Times New Roman" w:hAnsi="Times New Roman"/>
          <w:sz w:val="20"/>
          <w:szCs w:val="20"/>
        </w:rPr>
      </w:pPr>
    </w:p>
    <w:p w14:paraId="0BC9782B"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Our business may be adversely affected by geopolitical events, natural disasters, seasona</w:t>
      </w:r>
      <w:r>
        <w:rPr>
          <w:rFonts w:ascii="Arial" w:eastAsia="宋体" w:hAnsi="Arial" w:cs="Arial"/>
          <w:i/>
          <w:iCs/>
          <w:sz w:val="20"/>
          <w:szCs w:val="20"/>
        </w:rPr>
        <w:t>l factors and other factors that cause our users to spend less time on our websites or mobile platforms and applications, including increased usage of other websites.</w:t>
      </w:r>
    </w:p>
    <w:p w14:paraId="0BC9782C" w14:textId="77777777" w:rsidR="009F0928" w:rsidRDefault="009F0928">
      <w:pPr>
        <w:spacing w:line="288" w:lineRule="auto"/>
        <w:ind w:firstLine="600"/>
        <w:jc w:val="both"/>
        <w:rPr>
          <w:rFonts w:ascii="Times New Roman" w:hAnsi="Times New Roman"/>
          <w:sz w:val="20"/>
          <w:szCs w:val="20"/>
        </w:rPr>
      </w:pPr>
    </w:p>
    <w:p w14:paraId="0BC9782D"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Our users may spend less time on our websites and our applications for mobile devices as</w:t>
      </w:r>
      <w:r>
        <w:rPr>
          <w:rFonts w:ascii="Arial" w:eastAsia="宋体" w:hAnsi="Arial" w:cs="Arial"/>
          <w:sz w:val="20"/>
          <w:szCs w:val="20"/>
        </w:rPr>
        <w:t xml:space="preserve"> a result of a variety of diversions, including: geopolitical events, such as war, the threat of war, or terrorist activity; natural disasters or the effects of climate change (such as drought, flooding, wildfires, increased storm severity, and sea level r</w:t>
      </w:r>
      <w:r>
        <w:rPr>
          <w:rFonts w:ascii="Arial" w:eastAsia="宋体" w:hAnsi="Arial" w:cs="Arial"/>
          <w:sz w:val="20"/>
          <w:szCs w:val="20"/>
        </w:rPr>
        <w:t>ise); power shortages or outages, major public health issues, including pandemics; social networking or other entertainment websites or mobile applications; significant local, national or global events capturing the attention of a large part of the populat</w:t>
      </w:r>
      <w:r>
        <w:rPr>
          <w:rFonts w:ascii="Arial" w:eastAsia="宋体" w:hAnsi="Arial" w:cs="Arial"/>
          <w:sz w:val="20"/>
          <w:szCs w:val="20"/>
        </w:rPr>
        <w:t xml:space="preserve">ion; and seasonal fluctuations due to a variety of factors. If any of these, or any other factors, divert our users from using our websites or mobile applications, our business could be materially adversely affected. </w:t>
      </w:r>
    </w:p>
    <w:p w14:paraId="0BC9782E" w14:textId="77777777" w:rsidR="009F0928" w:rsidRDefault="009F0928">
      <w:pPr>
        <w:spacing w:line="288" w:lineRule="auto"/>
        <w:ind w:firstLine="600"/>
        <w:jc w:val="both"/>
        <w:rPr>
          <w:rFonts w:ascii="Times New Roman" w:hAnsi="Times New Roman"/>
          <w:sz w:val="20"/>
          <w:szCs w:val="20"/>
        </w:rPr>
      </w:pPr>
    </w:p>
    <w:p w14:paraId="0BC9782F"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Our success depends to a large degree</w:t>
      </w:r>
      <w:r>
        <w:rPr>
          <w:rFonts w:ascii="Arial" w:eastAsia="宋体" w:hAnsi="Arial" w:cs="Arial"/>
          <w:i/>
          <w:iCs/>
          <w:sz w:val="20"/>
          <w:szCs w:val="20"/>
        </w:rPr>
        <w:t xml:space="preserve"> on our ability to successfully address the rapidly evolving market for transactions on mobile devices.</w:t>
      </w:r>
    </w:p>
    <w:p w14:paraId="0BC97830" w14:textId="77777777" w:rsidR="009F0928" w:rsidRDefault="009F0928">
      <w:pPr>
        <w:spacing w:line="288" w:lineRule="auto"/>
        <w:ind w:firstLine="600"/>
        <w:jc w:val="both"/>
        <w:rPr>
          <w:rFonts w:ascii="Times New Roman" w:hAnsi="Times New Roman"/>
          <w:sz w:val="20"/>
          <w:szCs w:val="20"/>
        </w:rPr>
      </w:pPr>
    </w:p>
    <w:p w14:paraId="0BC97831"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Mobile devices are increasingly used for ecommerce transactions. A significant and growing portion of our users access our platforms through mobile dev</w:t>
      </w:r>
      <w:r>
        <w:rPr>
          <w:rFonts w:ascii="Arial" w:eastAsia="宋体" w:hAnsi="Arial" w:cs="Arial"/>
          <w:sz w:val="20"/>
          <w:szCs w:val="20"/>
        </w:rPr>
        <w:t>ices. We may lose users if we are not able to continue to meet our users’ mobile and multi-screen experience expectations. The variety of technical and other configurations across different mobile devices and platforms increases the challenges associated w</w:t>
      </w:r>
      <w:r>
        <w:rPr>
          <w:rFonts w:ascii="Arial" w:eastAsia="宋体" w:hAnsi="Arial" w:cs="Arial"/>
          <w:sz w:val="20"/>
          <w:szCs w:val="20"/>
        </w:rPr>
        <w:t>ith this environment. In addition, a number of other companies with significant resources and a number of innovative startups have introduced products and services focusing on mobile markets.</w:t>
      </w:r>
    </w:p>
    <w:p w14:paraId="0BC97832" w14:textId="77777777" w:rsidR="009F0928" w:rsidRDefault="009F0928">
      <w:pPr>
        <w:spacing w:line="288" w:lineRule="auto"/>
        <w:ind w:firstLine="600"/>
        <w:jc w:val="both"/>
        <w:rPr>
          <w:rFonts w:ascii="Times New Roman" w:hAnsi="Times New Roman"/>
          <w:sz w:val="20"/>
          <w:szCs w:val="20"/>
        </w:rPr>
      </w:pPr>
    </w:p>
    <w:p w14:paraId="0BC97833"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Our ability to successfully address the challenges posed by the</w:t>
      </w:r>
      <w:r>
        <w:rPr>
          <w:rFonts w:ascii="Arial" w:eastAsia="宋体" w:hAnsi="Arial" w:cs="Arial"/>
          <w:sz w:val="20"/>
          <w:szCs w:val="20"/>
        </w:rPr>
        <w:t xml:space="preserve"> rapidly evolving market for mobile transactions is crucial to our continued success, and any failure to continuously increase the volume of mobile transactions effected through our platforms could harm our business.</w:t>
      </w:r>
    </w:p>
    <w:p w14:paraId="0BC97834" w14:textId="77777777" w:rsidR="009F0928" w:rsidRDefault="009F0928">
      <w:pPr>
        <w:spacing w:line="288" w:lineRule="auto"/>
        <w:ind w:firstLine="600"/>
        <w:jc w:val="both"/>
        <w:rPr>
          <w:rFonts w:ascii="Times New Roman" w:hAnsi="Times New Roman"/>
          <w:sz w:val="20"/>
          <w:szCs w:val="20"/>
        </w:rPr>
      </w:pPr>
    </w:p>
    <w:p w14:paraId="0BC97835"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If we cannot keep pace with rapid tech</w:t>
      </w:r>
      <w:r>
        <w:rPr>
          <w:rFonts w:ascii="Arial" w:eastAsia="宋体" w:hAnsi="Arial" w:cs="Arial"/>
          <w:i/>
          <w:iCs/>
          <w:sz w:val="20"/>
          <w:szCs w:val="20"/>
        </w:rPr>
        <w:t>nological developments or continue to innovate and create new initiatives to provide new programs, products and services, the use of our products and our revenues could decline.</w:t>
      </w:r>
    </w:p>
    <w:p w14:paraId="0BC97836" w14:textId="77777777" w:rsidR="009F0928" w:rsidRDefault="009F0928">
      <w:pPr>
        <w:spacing w:line="288" w:lineRule="auto"/>
        <w:ind w:firstLine="600"/>
        <w:jc w:val="both"/>
        <w:rPr>
          <w:rFonts w:ascii="Times New Roman" w:hAnsi="Times New Roman"/>
          <w:sz w:val="20"/>
          <w:szCs w:val="20"/>
        </w:rPr>
      </w:pPr>
    </w:p>
    <w:p w14:paraId="0BC97837"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Rapid, significant technological changes continue to confront the industries </w:t>
      </w:r>
      <w:r>
        <w:rPr>
          <w:rFonts w:ascii="Arial" w:eastAsia="宋体" w:hAnsi="Arial" w:cs="Arial"/>
          <w:sz w:val="20"/>
          <w:szCs w:val="20"/>
        </w:rPr>
        <w:t>in which we operate and we cannot predict the effect of technological changes on our business. We also continuously strive to create new initiatives and innovations that offer growth opportunities, such as our new payments and advertising offerings. In add</w:t>
      </w:r>
      <w:r>
        <w:rPr>
          <w:rFonts w:ascii="Arial" w:eastAsia="宋体" w:hAnsi="Arial" w:cs="Arial"/>
          <w:sz w:val="20"/>
          <w:szCs w:val="20"/>
        </w:rPr>
        <w:t xml:space="preserve">ition to our own initiatives and innovations, we rely in part on third parties, including some of our competitors, for the development of and access to new technologies. We expect that new services and technologies applicable to the industries in which we </w:t>
      </w:r>
      <w:r>
        <w:rPr>
          <w:rFonts w:ascii="Arial" w:eastAsia="宋体" w:hAnsi="Arial" w:cs="Arial"/>
          <w:sz w:val="20"/>
          <w:szCs w:val="20"/>
        </w:rPr>
        <w:t>operate will continue to emerge. These new services and technologies may be superior to, or render obsolete, the technologies we currently use in our products and services. Incorporating new technologies into our products and services may require substanti</w:t>
      </w:r>
      <w:r>
        <w:rPr>
          <w:rFonts w:ascii="Arial" w:eastAsia="宋体" w:hAnsi="Arial" w:cs="Arial"/>
          <w:sz w:val="20"/>
          <w:szCs w:val="20"/>
        </w:rPr>
        <w:t>al expenditures and take considerable time, and ultimately may not be successful. In addition, our ability to adopt new services and develop new technologies may be inhibited by industry-wide standards, new laws and regulations, resistance to change from o</w:t>
      </w:r>
      <w:r>
        <w:rPr>
          <w:rFonts w:ascii="Arial" w:eastAsia="宋体" w:hAnsi="Arial" w:cs="Arial"/>
          <w:sz w:val="20"/>
          <w:szCs w:val="20"/>
        </w:rPr>
        <w:t>ur users, clients or merchants, or third parties’ intellectual property rights. Our success will depend on our ability to develop new technologies and adapt to technological changes and evolving industry standards.</w:t>
      </w:r>
    </w:p>
    <w:p w14:paraId="0BC97838" w14:textId="77777777" w:rsidR="009F0928" w:rsidRDefault="009F0928">
      <w:pPr>
        <w:spacing w:line="288" w:lineRule="auto"/>
        <w:ind w:firstLine="600"/>
        <w:jc w:val="both"/>
        <w:rPr>
          <w:rFonts w:ascii="Times New Roman" w:hAnsi="Times New Roman"/>
          <w:sz w:val="20"/>
          <w:szCs w:val="20"/>
        </w:rPr>
      </w:pPr>
    </w:p>
    <w:p w14:paraId="0BC97839"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 xml:space="preserve">Our business is subject to </w:t>
      </w:r>
      <w:r>
        <w:rPr>
          <w:rFonts w:ascii="Arial" w:eastAsia="宋体" w:hAnsi="Arial" w:cs="Arial"/>
          <w:i/>
          <w:iCs/>
          <w:sz w:val="20"/>
          <w:szCs w:val="20"/>
        </w:rPr>
        <w:t>extensive government regulation and oversight.</w:t>
      </w:r>
    </w:p>
    <w:p w14:paraId="0BC9783A" w14:textId="77777777" w:rsidR="009F0928" w:rsidRDefault="009F0928">
      <w:pPr>
        <w:spacing w:line="288" w:lineRule="auto"/>
        <w:ind w:firstLine="600"/>
        <w:jc w:val="both"/>
        <w:rPr>
          <w:rFonts w:ascii="Times New Roman" w:hAnsi="Times New Roman"/>
          <w:sz w:val="20"/>
          <w:szCs w:val="20"/>
        </w:rPr>
      </w:pPr>
    </w:p>
    <w:p w14:paraId="0BC9783B"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are subject to laws and regulations affecting our domestic and international operations in a number of areas, including consumer protection, data privacy requirements, intellectual property ownership and i</w:t>
      </w:r>
      <w:r>
        <w:rPr>
          <w:rFonts w:ascii="Arial" w:eastAsia="宋体" w:hAnsi="Arial" w:cs="Arial"/>
          <w:sz w:val="20"/>
          <w:szCs w:val="20"/>
        </w:rPr>
        <w:t>nfringement, prohibited items and stolen goods, resale of event tickets, tax, antitrust and anti-competition, export requirements, anti-corruption, labor, advertising, digital content, real estate, billing, ecommerce, promotions, quality of services, telec</w:t>
      </w:r>
      <w:r>
        <w:rPr>
          <w:rFonts w:ascii="Arial" w:eastAsia="宋体" w:hAnsi="Arial" w:cs="Arial"/>
          <w:sz w:val="20"/>
          <w:szCs w:val="20"/>
        </w:rPr>
        <w:t xml:space="preserve">ommunications, mobile communications and media, environmental, and health and safety regulations, as well as laws and regulations intended to combat money laundering and the financing of terrorist activities. In addition, we are, or may become, subject to </w:t>
      </w:r>
      <w:r>
        <w:rPr>
          <w:rFonts w:ascii="Arial" w:eastAsia="宋体" w:hAnsi="Arial" w:cs="Arial"/>
          <w:sz w:val="20"/>
          <w:szCs w:val="20"/>
        </w:rPr>
        <w:t>further regulation in some of the above-mentioned areas or new areas as a result of the continued development and expansion of our payments capabilities.</w:t>
      </w:r>
    </w:p>
    <w:p w14:paraId="0BC9783C" w14:textId="77777777" w:rsidR="009F0928" w:rsidRDefault="009F0928">
      <w:pPr>
        <w:spacing w:line="288" w:lineRule="auto"/>
        <w:ind w:firstLine="600"/>
        <w:jc w:val="both"/>
        <w:rPr>
          <w:rFonts w:ascii="Times New Roman" w:hAnsi="Times New Roman"/>
          <w:sz w:val="20"/>
          <w:szCs w:val="20"/>
        </w:rPr>
      </w:pPr>
    </w:p>
    <w:p w14:paraId="0BC9783D" w14:textId="77777777" w:rsidR="009F0928" w:rsidRDefault="009F0928">
      <w:pPr>
        <w:rPr>
          <w:rFonts w:ascii="Times New Roman" w:hAnsi="Times New Roman"/>
          <w:sz w:val="20"/>
          <w:szCs w:val="20"/>
        </w:rPr>
      </w:pPr>
    </w:p>
    <w:p w14:paraId="0BC9783E"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14</w:t>
      </w:r>
    </w:p>
    <w:p w14:paraId="0BC9783F" w14:textId="77777777" w:rsidR="009F0928" w:rsidRDefault="002112BD">
      <w:r>
        <w:rPr>
          <w:rFonts w:ascii="Times New Roman" w:hAnsi="Times New Roman"/>
          <w:sz w:val="18"/>
          <w:szCs w:val="18"/>
        </w:rPr>
        <w:pict w14:anchorId="0BC9B4C9">
          <v:rect id="_x0000_i1039" style="width:415.3pt;height:1.5pt" o:hralign="center" o:hrstd="t" o:hr="t" fillcolor="#a0a0a0" stroked="f"/>
        </w:pict>
      </w:r>
    </w:p>
    <w:p w14:paraId="0BC97840" w14:textId="77777777" w:rsidR="009F0928" w:rsidRDefault="009F0928">
      <w:pPr>
        <w:spacing w:line="288" w:lineRule="auto"/>
        <w:rPr>
          <w:rFonts w:ascii="Times New Roman" w:hAnsi="Times New Roman"/>
          <w:sz w:val="20"/>
          <w:szCs w:val="20"/>
        </w:rPr>
      </w:pPr>
    </w:p>
    <w:p w14:paraId="0BC97841" w14:textId="77777777" w:rsidR="009F0928" w:rsidRDefault="009F0928">
      <w:pPr>
        <w:rPr>
          <w:rFonts w:ascii="Times New Roman" w:hAnsi="Times New Roman"/>
          <w:sz w:val="20"/>
          <w:szCs w:val="20"/>
        </w:rPr>
      </w:pPr>
    </w:p>
    <w:p w14:paraId="0BC97842"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Compliance with these laws, regulations, and similar requirements may be onerous and expensiv</w:t>
      </w:r>
      <w:r>
        <w:rPr>
          <w:rFonts w:ascii="Arial" w:eastAsia="宋体" w:hAnsi="Arial" w:cs="Arial"/>
          <w:sz w:val="20"/>
          <w:szCs w:val="20"/>
        </w:rPr>
        <w:t>e, and variances and inconsistencies from jurisdiction to jurisdiction may further increase the cost of compliance and doing business. Any such costs, which may rise in the future as a result of changes in these laws and regulations or in their interpretat</w:t>
      </w:r>
      <w:r>
        <w:rPr>
          <w:rFonts w:ascii="Arial" w:eastAsia="宋体" w:hAnsi="Arial" w:cs="Arial"/>
          <w:sz w:val="20"/>
          <w:szCs w:val="20"/>
        </w:rPr>
        <w:t>ion, could individually or in the aggregate make our products and services less attractive to our customers, delay the introduction of new products or services in one or more regions, or cause us to change or limit our business practices. We have implement</w:t>
      </w:r>
      <w:r>
        <w:rPr>
          <w:rFonts w:ascii="Arial" w:eastAsia="宋体" w:hAnsi="Arial" w:cs="Arial"/>
          <w:sz w:val="20"/>
          <w:szCs w:val="20"/>
        </w:rPr>
        <w:t>ed policies and procedures designed to ensure compliance with applicable laws and regulations, but there can be no assurance that our employees, contractors, or agents will not violate such laws and regulations or our policies and procedures.  </w:t>
      </w:r>
    </w:p>
    <w:p w14:paraId="0BC97843" w14:textId="77777777" w:rsidR="009F0928" w:rsidRDefault="009F0928">
      <w:pPr>
        <w:spacing w:line="288" w:lineRule="auto"/>
        <w:ind w:firstLine="600"/>
        <w:jc w:val="both"/>
        <w:rPr>
          <w:rFonts w:ascii="Times New Roman" w:hAnsi="Times New Roman"/>
          <w:sz w:val="20"/>
          <w:szCs w:val="20"/>
        </w:rPr>
      </w:pPr>
    </w:p>
    <w:p w14:paraId="0BC97844"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Regulation</w:t>
      </w:r>
      <w:r>
        <w:rPr>
          <w:rFonts w:ascii="Arial" w:eastAsia="宋体" w:hAnsi="Arial" w:cs="Arial"/>
          <w:i/>
          <w:iCs/>
          <w:sz w:val="20"/>
          <w:szCs w:val="20"/>
        </w:rPr>
        <w:t xml:space="preserve"> in the areas of privacy and protection of user data could harm our business. </w:t>
      </w:r>
    </w:p>
    <w:p w14:paraId="0BC97845" w14:textId="77777777" w:rsidR="009F0928" w:rsidRDefault="009F0928">
      <w:pPr>
        <w:spacing w:line="288" w:lineRule="auto"/>
        <w:ind w:firstLine="600"/>
        <w:jc w:val="both"/>
        <w:rPr>
          <w:rFonts w:ascii="Times New Roman" w:hAnsi="Times New Roman"/>
          <w:sz w:val="20"/>
          <w:szCs w:val="20"/>
        </w:rPr>
      </w:pPr>
    </w:p>
    <w:p w14:paraId="0BC97846"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are subject to laws relating to the collection, use, retention, security, and transfer of personally identifiable information about our users around the world. Much of the p</w:t>
      </w:r>
      <w:r>
        <w:rPr>
          <w:rFonts w:ascii="Arial" w:eastAsia="宋体" w:hAnsi="Arial" w:cs="Arial"/>
          <w:sz w:val="20"/>
          <w:szCs w:val="20"/>
        </w:rPr>
        <w:t>ersonal information that we collect, especially financial information, is regulated by multiple laws. User data protection laws may be interpreted and applied inconsistently from country to country. In many cases, these laws apply not only to third-party t</w:t>
      </w:r>
      <w:r>
        <w:rPr>
          <w:rFonts w:ascii="Arial" w:eastAsia="宋体" w:hAnsi="Arial" w:cs="Arial"/>
          <w:sz w:val="20"/>
          <w:szCs w:val="20"/>
        </w:rPr>
        <w:t>ransactions, but also to transfers of information between or among ourselves, our subsidiaries, and other parties with which we have commercial relations. These laws continue to develop in ways we cannot predict and that may harm our business.</w:t>
      </w:r>
    </w:p>
    <w:p w14:paraId="0BC97847" w14:textId="77777777" w:rsidR="009F0928" w:rsidRDefault="009F0928">
      <w:pPr>
        <w:spacing w:line="288" w:lineRule="auto"/>
        <w:ind w:firstLine="600"/>
        <w:jc w:val="both"/>
        <w:rPr>
          <w:rFonts w:ascii="Times New Roman" w:hAnsi="Times New Roman"/>
          <w:sz w:val="20"/>
          <w:szCs w:val="20"/>
        </w:rPr>
      </w:pPr>
    </w:p>
    <w:p w14:paraId="0BC97848"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Regulatory </w:t>
      </w:r>
      <w:r>
        <w:rPr>
          <w:rFonts w:ascii="Arial" w:eastAsia="宋体" w:hAnsi="Arial" w:cs="Arial"/>
          <w:sz w:val="20"/>
          <w:szCs w:val="20"/>
        </w:rPr>
        <w:t>scrutiny of privacy, user data protection, use of data and data collection is increasing on a global basis. We are subject to a number of privacy and similar laws and regulations in the countries in which we operate and these laws and regulations will like</w:t>
      </w:r>
      <w:r>
        <w:rPr>
          <w:rFonts w:ascii="Arial" w:eastAsia="宋体" w:hAnsi="Arial" w:cs="Arial"/>
          <w:sz w:val="20"/>
          <w:szCs w:val="20"/>
        </w:rPr>
        <w:t>ly continue to evolve over time, both through regulatory and legislative action and judicial decisions. In addition, compliance with these laws may restrict our ability to provide services to our customers that they may find to be valuable. For example, th</w:t>
      </w:r>
      <w:r>
        <w:rPr>
          <w:rFonts w:ascii="Arial" w:eastAsia="宋体" w:hAnsi="Arial" w:cs="Arial"/>
          <w:sz w:val="20"/>
          <w:szCs w:val="20"/>
        </w:rPr>
        <w:t xml:space="preserve">e General Data Protection Regulation (“GDPR”) became effective in May 2018. The GDPR, which applies to all of our activities conducted from an establishment in the European Union or related to products and services offered in the European Union, imposes a </w:t>
      </w:r>
      <w:r>
        <w:rPr>
          <w:rFonts w:ascii="Arial" w:eastAsia="宋体" w:hAnsi="Arial" w:cs="Arial"/>
          <w:sz w:val="20"/>
          <w:szCs w:val="20"/>
        </w:rPr>
        <w:t>range of new compliance obligations regarding the handling of personal data. The GDPR imposes significant new obligations and compliance with these obligations depends in part on how particular regulators interpret and apply them. If we fail to comply with</w:t>
      </w:r>
      <w:r>
        <w:rPr>
          <w:rFonts w:ascii="Arial" w:eastAsia="宋体" w:hAnsi="Arial" w:cs="Arial"/>
          <w:sz w:val="20"/>
          <w:szCs w:val="20"/>
        </w:rPr>
        <w:t xml:space="preserve"> the GDPR, or if regulators assert we have failed to comply with the GDPR, it may lead to regulatory enforcement actions, which can result in monetary penalties of up to 4% of worldwide revenue, private lawsuits, or reputational damage. In the U.S., Califo</w:t>
      </w:r>
      <w:r>
        <w:rPr>
          <w:rFonts w:ascii="Arial" w:eastAsia="宋体" w:hAnsi="Arial" w:cs="Arial"/>
          <w:sz w:val="20"/>
          <w:szCs w:val="20"/>
        </w:rPr>
        <w:t>rnia has adopted the California Consumer Privacy Act of 2018 (“CCPA”), which became effective January 1, 2020 and which provides a new private right of action for data breaches and requires companies that process information on California residents to make</w:t>
      </w:r>
      <w:r>
        <w:rPr>
          <w:rFonts w:ascii="Arial" w:eastAsia="宋体" w:hAnsi="Arial" w:cs="Arial"/>
          <w:sz w:val="20"/>
          <w:szCs w:val="20"/>
        </w:rPr>
        <w:t xml:space="preserve"> new disclosures to consumers about their data collection, use and sharing practices and allow consumers to opt out of certain data sharing with third parties. In addition to the CCPA, several other U.S. states are considering adopting laws and regulations</w:t>
      </w:r>
      <w:r>
        <w:rPr>
          <w:rFonts w:ascii="Arial" w:eastAsia="宋体" w:hAnsi="Arial" w:cs="Arial"/>
          <w:sz w:val="20"/>
          <w:szCs w:val="20"/>
        </w:rPr>
        <w:t xml:space="preserve"> imposing obligations regarding the handling of personal data. Compliance with the GDPR, the CCPA, and other current and future applicable international and U.S. privacy, cybersecurity and related laws can be costly and time-consuming. Complying with these</w:t>
      </w:r>
      <w:r>
        <w:rPr>
          <w:rFonts w:ascii="Arial" w:eastAsia="宋体" w:hAnsi="Arial" w:cs="Arial"/>
          <w:sz w:val="20"/>
          <w:szCs w:val="20"/>
        </w:rPr>
        <w:t xml:space="preserve"> varying national and international requirements could cause us to incur substantial costs or require us to change our business practices in a manner adverse to our business and violations of privacy-related laws can result in significant penalties.</w:t>
      </w:r>
    </w:p>
    <w:p w14:paraId="0BC97849" w14:textId="77777777" w:rsidR="009F0928" w:rsidRDefault="009F0928">
      <w:pPr>
        <w:spacing w:line="288" w:lineRule="auto"/>
        <w:ind w:firstLine="600"/>
        <w:jc w:val="both"/>
        <w:rPr>
          <w:rFonts w:ascii="Times New Roman" w:hAnsi="Times New Roman"/>
          <w:sz w:val="20"/>
          <w:szCs w:val="20"/>
        </w:rPr>
      </w:pPr>
    </w:p>
    <w:p w14:paraId="0BC9784A"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A det</w:t>
      </w:r>
      <w:r>
        <w:rPr>
          <w:rFonts w:ascii="Arial" w:eastAsia="宋体" w:hAnsi="Arial" w:cs="Arial"/>
          <w:sz w:val="20"/>
          <w:szCs w:val="20"/>
        </w:rPr>
        <w:t>ermination that there have been violations of laws relating to our practices under communications-based laws could also expose us to significant damage awards, fines and other penalties that could, individually or in the aggregate, materially harm our busi</w:t>
      </w:r>
      <w:r>
        <w:rPr>
          <w:rFonts w:ascii="Arial" w:eastAsia="宋体" w:hAnsi="Arial" w:cs="Arial"/>
          <w:sz w:val="20"/>
          <w:szCs w:val="20"/>
        </w:rPr>
        <w:t>ness. In particular, because of the enormous number of texts, emails and other communications we send to our users, communications laws that provide a specified monetary damage award or fine for each violation (such as those described below) could result i</w:t>
      </w:r>
      <w:r>
        <w:rPr>
          <w:rFonts w:ascii="Arial" w:eastAsia="宋体" w:hAnsi="Arial" w:cs="Arial"/>
          <w:sz w:val="20"/>
          <w:szCs w:val="20"/>
        </w:rPr>
        <w:t>n particularly large awards or fines.</w:t>
      </w:r>
    </w:p>
    <w:p w14:paraId="0BC9784B" w14:textId="77777777" w:rsidR="009F0928" w:rsidRDefault="009F0928">
      <w:pPr>
        <w:spacing w:line="288" w:lineRule="auto"/>
        <w:ind w:firstLine="600"/>
        <w:jc w:val="both"/>
        <w:rPr>
          <w:rFonts w:ascii="Times New Roman" w:hAnsi="Times New Roman"/>
          <w:sz w:val="20"/>
          <w:szCs w:val="20"/>
        </w:rPr>
      </w:pPr>
    </w:p>
    <w:p w14:paraId="0BC9784C"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For example, the Federal Communications Commission amended certain of its regulations under the Telephone Consumer Protection Act, or TCPA, in 2012 and 2013 in a manner that could increase our exposure to liability fo</w:t>
      </w:r>
      <w:r>
        <w:rPr>
          <w:rFonts w:ascii="Arial" w:eastAsia="宋体" w:hAnsi="Arial" w:cs="Arial"/>
          <w:sz w:val="20"/>
          <w:szCs w:val="20"/>
        </w:rPr>
        <w:t>r certain types of telephonic communication with customers, including but not limited to text messages to mobile phones. Under the TCPA, plaintiffs may seek actual monetary loss or statutory damages of $500 per violation, whichever is greater, and courts m</w:t>
      </w:r>
      <w:r>
        <w:rPr>
          <w:rFonts w:ascii="Arial" w:eastAsia="宋体" w:hAnsi="Arial" w:cs="Arial"/>
          <w:sz w:val="20"/>
          <w:szCs w:val="20"/>
        </w:rPr>
        <w:t>ay treble the damage award for willful or knowing violations. We are regularly subject to class-action lawsuits, as well as individual lawsuits, containing allegations that our businesses violated the TCPA. These lawsuits, and other private lawsuits not cu</w:t>
      </w:r>
      <w:r>
        <w:rPr>
          <w:rFonts w:ascii="Arial" w:eastAsia="宋体" w:hAnsi="Arial" w:cs="Arial"/>
          <w:sz w:val="20"/>
          <w:szCs w:val="20"/>
        </w:rPr>
        <w:t>rrently alleged as class actions, seek damages (including statutory damages) and injunctive relief, among other remedies. Given the enormous number of communications we send to our users, a determination that there have been violations of the TCPA or other</w:t>
      </w:r>
      <w:r>
        <w:rPr>
          <w:rFonts w:ascii="Arial" w:eastAsia="宋体" w:hAnsi="Arial" w:cs="Arial"/>
          <w:sz w:val="20"/>
          <w:szCs w:val="20"/>
        </w:rPr>
        <w:t xml:space="preserve"> communications-based statutes could expose us to significant damage awards that could, individually or in the aggregate, materially harm our business.</w:t>
      </w:r>
    </w:p>
    <w:p w14:paraId="0BC9784D" w14:textId="77777777" w:rsidR="009F0928" w:rsidRDefault="009F0928">
      <w:pPr>
        <w:spacing w:line="288" w:lineRule="auto"/>
        <w:ind w:firstLine="600"/>
        <w:jc w:val="both"/>
        <w:rPr>
          <w:rFonts w:ascii="Times New Roman" w:hAnsi="Times New Roman"/>
          <w:sz w:val="20"/>
          <w:szCs w:val="20"/>
        </w:rPr>
      </w:pPr>
    </w:p>
    <w:p w14:paraId="0BC9784E"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post on our websites our privacy policies and practices concerning the collection, use and disclosur</w:t>
      </w:r>
      <w:r>
        <w:rPr>
          <w:rFonts w:ascii="Arial" w:eastAsia="宋体" w:hAnsi="Arial" w:cs="Arial"/>
          <w:sz w:val="20"/>
          <w:szCs w:val="20"/>
        </w:rPr>
        <w:t xml:space="preserve">e of user data. Any failure, or perceived failure, by us to comply with our posted privacy policies or with any regulatory requirements </w:t>
      </w:r>
    </w:p>
    <w:p w14:paraId="0BC9784F" w14:textId="77777777" w:rsidR="009F0928" w:rsidRDefault="009F0928">
      <w:pPr>
        <w:rPr>
          <w:rFonts w:ascii="Times New Roman" w:hAnsi="Times New Roman"/>
          <w:sz w:val="20"/>
          <w:szCs w:val="20"/>
        </w:rPr>
      </w:pPr>
    </w:p>
    <w:p w14:paraId="0BC97850"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15</w:t>
      </w:r>
    </w:p>
    <w:p w14:paraId="0BC97851" w14:textId="77777777" w:rsidR="009F0928" w:rsidRDefault="002112BD">
      <w:r>
        <w:rPr>
          <w:rFonts w:ascii="Times New Roman" w:hAnsi="Times New Roman"/>
          <w:sz w:val="18"/>
          <w:szCs w:val="18"/>
        </w:rPr>
        <w:pict w14:anchorId="0BC9B4CA">
          <v:rect id="_x0000_i1040" style="width:415.3pt;height:1.5pt" o:hralign="center" o:hrstd="t" o:hr="t" fillcolor="#a0a0a0" stroked="f"/>
        </w:pict>
      </w:r>
    </w:p>
    <w:p w14:paraId="0BC97852" w14:textId="77777777" w:rsidR="009F0928" w:rsidRDefault="009F0928">
      <w:pPr>
        <w:spacing w:line="288" w:lineRule="auto"/>
        <w:rPr>
          <w:rFonts w:ascii="Times New Roman" w:hAnsi="Times New Roman"/>
          <w:sz w:val="20"/>
          <w:szCs w:val="20"/>
        </w:rPr>
      </w:pPr>
    </w:p>
    <w:p w14:paraId="0BC97853" w14:textId="77777777" w:rsidR="009F0928" w:rsidRDefault="009F0928">
      <w:pPr>
        <w:rPr>
          <w:rFonts w:ascii="Times New Roman" w:hAnsi="Times New Roman"/>
          <w:sz w:val="20"/>
          <w:szCs w:val="20"/>
        </w:rPr>
      </w:pPr>
    </w:p>
    <w:p w14:paraId="0BC97854"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xml:space="preserve">or orders or other federal, state or international privacy or consumer protection-related laws and </w:t>
      </w:r>
      <w:r>
        <w:rPr>
          <w:rFonts w:ascii="Arial" w:eastAsia="宋体" w:hAnsi="Arial" w:cs="Arial"/>
          <w:sz w:val="20"/>
          <w:szCs w:val="20"/>
        </w:rPr>
        <w:t>regulations, including the GDPR and the CCPA, could result in proceedings or actions against us by governmental entities or others (e.g., class action privacy litigation), subject us to significant penalties and negative publicity, require us to change our</w:t>
      </w:r>
      <w:r>
        <w:rPr>
          <w:rFonts w:ascii="Arial" w:eastAsia="宋体" w:hAnsi="Arial" w:cs="Arial"/>
          <w:sz w:val="20"/>
          <w:szCs w:val="20"/>
        </w:rPr>
        <w:t xml:space="preserve"> business practices, increase our costs and adversely affect our business. Data collection, privacy and security have become the subject of increasing public concern. If Internet and mobile users were to reduce their use of our websites, mobile platforms, </w:t>
      </w:r>
      <w:r>
        <w:rPr>
          <w:rFonts w:ascii="Arial" w:eastAsia="宋体" w:hAnsi="Arial" w:cs="Arial"/>
          <w:sz w:val="20"/>
          <w:szCs w:val="20"/>
        </w:rPr>
        <w:t>products, and services as a result of these concerns, our business could be harmed. As noted above, we are also subject to the possibility of security breaches, which themselves may result in a violation of these laws.</w:t>
      </w:r>
    </w:p>
    <w:p w14:paraId="0BC97855" w14:textId="77777777" w:rsidR="009F0928" w:rsidRDefault="009F0928">
      <w:pPr>
        <w:spacing w:line="288" w:lineRule="auto"/>
        <w:ind w:firstLine="600"/>
        <w:jc w:val="both"/>
        <w:rPr>
          <w:rFonts w:ascii="Times New Roman" w:hAnsi="Times New Roman"/>
          <w:sz w:val="20"/>
          <w:szCs w:val="20"/>
        </w:rPr>
      </w:pPr>
    </w:p>
    <w:p w14:paraId="0BC97856"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Other laws and regulations could har</w:t>
      </w:r>
      <w:r>
        <w:rPr>
          <w:rFonts w:ascii="Arial" w:eastAsia="宋体" w:hAnsi="Arial" w:cs="Arial"/>
          <w:i/>
          <w:iCs/>
          <w:sz w:val="20"/>
          <w:szCs w:val="20"/>
        </w:rPr>
        <w:t>m our business.</w:t>
      </w:r>
    </w:p>
    <w:p w14:paraId="0BC97857" w14:textId="77777777" w:rsidR="009F0928" w:rsidRDefault="009F0928">
      <w:pPr>
        <w:spacing w:line="288" w:lineRule="auto"/>
        <w:ind w:firstLine="600"/>
        <w:jc w:val="both"/>
        <w:rPr>
          <w:rFonts w:ascii="Times New Roman" w:hAnsi="Times New Roman"/>
          <w:sz w:val="20"/>
          <w:szCs w:val="20"/>
        </w:rPr>
      </w:pPr>
    </w:p>
    <w:p w14:paraId="0BC97858"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It is not always clear how laws and regulations governing matters relevant to our business, such as property ownership, copyrights, trademarks, and other intellectual property issues, parallel imports and distribution controls, taxation, l</w:t>
      </w:r>
      <w:r>
        <w:rPr>
          <w:rFonts w:ascii="Arial" w:eastAsia="宋体" w:hAnsi="Arial" w:cs="Arial"/>
          <w:sz w:val="20"/>
          <w:szCs w:val="20"/>
        </w:rPr>
        <w:t xml:space="preserve">ibel and defamation, and obscenity apply to our businesses. Many of these laws were adopted prior to the advent of the Internet, mobile, and related technologies and, as a result, do not contemplate or address the unique issues of the Internet and related </w:t>
      </w:r>
      <w:r>
        <w:rPr>
          <w:rFonts w:ascii="Arial" w:eastAsia="宋体" w:hAnsi="Arial" w:cs="Arial"/>
          <w:sz w:val="20"/>
          <w:szCs w:val="20"/>
        </w:rPr>
        <w:t xml:space="preserve">technologies. Many of these laws, including some of those that do reference the Internet are subject to interpretation by the courts on an ongoing basis and the resulting uncertainty in the scope and application of these laws and regulations increases the </w:t>
      </w:r>
      <w:r>
        <w:rPr>
          <w:rFonts w:ascii="Arial" w:eastAsia="宋体" w:hAnsi="Arial" w:cs="Arial"/>
          <w:sz w:val="20"/>
          <w:szCs w:val="20"/>
        </w:rPr>
        <w:t xml:space="preserve">risk that we will be subject to private claims and governmental actions alleging violations of those laws and regulations. </w:t>
      </w:r>
    </w:p>
    <w:p w14:paraId="0BC97859" w14:textId="77777777" w:rsidR="009F0928" w:rsidRDefault="009F0928">
      <w:pPr>
        <w:spacing w:line="288" w:lineRule="auto"/>
        <w:ind w:firstLine="600"/>
        <w:jc w:val="both"/>
        <w:rPr>
          <w:rFonts w:ascii="Times New Roman" w:hAnsi="Times New Roman"/>
          <w:sz w:val="20"/>
          <w:szCs w:val="20"/>
        </w:rPr>
      </w:pPr>
    </w:p>
    <w:p w14:paraId="0BC9785A"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As our activities, the products and services we offer, and our geographical scope continue to expand, regulatory agencies or courts</w:t>
      </w:r>
      <w:r>
        <w:rPr>
          <w:rFonts w:ascii="Arial" w:eastAsia="宋体" w:hAnsi="Arial" w:cs="Arial"/>
          <w:sz w:val="20"/>
          <w:szCs w:val="20"/>
        </w:rPr>
        <w:t xml:space="preserve"> may claim or hold that we or our users are subject to additional requirements (including licensure) or prohibited from conducting our business in their jurisdiction, either generally or with respect to certain actions. Financial and political events have </w:t>
      </w:r>
      <w:r>
        <w:rPr>
          <w:rFonts w:ascii="Arial" w:eastAsia="宋体" w:hAnsi="Arial" w:cs="Arial"/>
          <w:sz w:val="20"/>
          <w:szCs w:val="20"/>
        </w:rPr>
        <w:t>increased the level of regulatory scrutiny on large companies, and regulatory agencies may view matters or interpret laws and regulations differently than they have in the past and in a manner adverse to our businesses. Our success and increased visibility</w:t>
      </w:r>
      <w:r>
        <w:rPr>
          <w:rFonts w:ascii="Arial" w:eastAsia="宋体" w:hAnsi="Arial" w:cs="Arial"/>
          <w:sz w:val="20"/>
          <w:szCs w:val="20"/>
        </w:rPr>
        <w:t xml:space="preserve"> have driven some existing businesses that perceive us to be a threat to their businesses to raise concerns about our business models to policymakers and regulators. These businesses and their trade association groups employ significant resources in their </w:t>
      </w:r>
      <w:r>
        <w:rPr>
          <w:rFonts w:ascii="Arial" w:eastAsia="宋体" w:hAnsi="Arial" w:cs="Arial"/>
          <w:sz w:val="20"/>
          <w:szCs w:val="20"/>
        </w:rPr>
        <w:t xml:space="preserve">efforts to shape the legal and regulatory regimes in countries where we have significant operations. They may employ these resources in an effort to change the legal and regulatory regimes in ways intended to reduce the effectiveness of our businesses and </w:t>
      </w:r>
      <w:r>
        <w:rPr>
          <w:rFonts w:ascii="Arial" w:eastAsia="宋体" w:hAnsi="Arial" w:cs="Arial"/>
          <w:sz w:val="20"/>
          <w:szCs w:val="20"/>
        </w:rPr>
        <w:t>the ability of users to use our products and services. These established businesses have raised concerns relating to pricing, parallel imports, professional seller obligations, selective distribution networks, stolen goods, copyrights, trademarks and other</w:t>
      </w:r>
      <w:r>
        <w:rPr>
          <w:rFonts w:ascii="Arial" w:eastAsia="宋体" w:hAnsi="Arial" w:cs="Arial"/>
          <w:sz w:val="20"/>
          <w:szCs w:val="20"/>
        </w:rPr>
        <w:t xml:space="preserve"> intellectual property rights and the liability of the provider of an Internet marketplace for the conduct of its users related to those and other issues. Any changes to the legal or regulatory regimes in a manner that would increase our liability for thir</w:t>
      </w:r>
      <w:r>
        <w:rPr>
          <w:rFonts w:ascii="Arial" w:eastAsia="宋体" w:hAnsi="Arial" w:cs="Arial"/>
          <w:sz w:val="20"/>
          <w:szCs w:val="20"/>
        </w:rPr>
        <w:t>d-party listings could negatively impact our business.</w:t>
      </w:r>
    </w:p>
    <w:p w14:paraId="0BC9785B" w14:textId="77777777" w:rsidR="009F0928" w:rsidRDefault="009F0928">
      <w:pPr>
        <w:spacing w:line="288" w:lineRule="auto"/>
        <w:ind w:firstLine="600"/>
        <w:jc w:val="both"/>
        <w:rPr>
          <w:rFonts w:ascii="Times New Roman" w:hAnsi="Times New Roman"/>
          <w:sz w:val="20"/>
          <w:szCs w:val="20"/>
        </w:rPr>
      </w:pPr>
    </w:p>
    <w:p w14:paraId="0BC9785C"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Numerous U.S. states and foreign jurisdictions, including the State of California, have regulations regarding “auctions” and the handling of property by “secondhand dealers” or “pawnbrokers.” Several </w:t>
      </w:r>
      <w:r>
        <w:rPr>
          <w:rFonts w:ascii="Arial" w:eastAsia="宋体" w:hAnsi="Arial" w:cs="Arial"/>
          <w:sz w:val="20"/>
          <w:szCs w:val="20"/>
        </w:rPr>
        <w:t>states and some foreign jurisdictions have attempted to impose such regulations upon us or our users, and others may attempt to do so in the future. Attempted enforcement of these laws against some of our users appears to be increasing and we could be requ</w:t>
      </w:r>
      <w:r>
        <w:rPr>
          <w:rFonts w:ascii="Arial" w:eastAsia="宋体" w:hAnsi="Arial" w:cs="Arial"/>
          <w:sz w:val="20"/>
          <w:szCs w:val="20"/>
        </w:rPr>
        <w:t>ired to change the way we or our users do business in ways that increase costs or reduce revenues, such as forcing us to prohibit listings of certain items or restrict certain listing formats in some locations. We could also be subject to fines or other pe</w:t>
      </w:r>
      <w:r>
        <w:rPr>
          <w:rFonts w:ascii="Arial" w:eastAsia="宋体" w:hAnsi="Arial" w:cs="Arial"/>
          <w:sz w:val="20"/>
          <w:szCs w:val="20"/>
        </w:rPr>
        <w:t>nalties, and any of these outcomes could harm our business.</w:t>
      </w:r>
    </w:p>
    <w:p w14:paraId="0BC9785D" w14:textId="77777777" w:rsidR="009F0928" w:rsidRDefault="009F0928">
      <w:pPr>
        <w:spacing w:line="288" w:lineRule="auto"/>
        <w:ind w:firstLine="600"/>
        <w:jc w:val="both"/>
        <w:rPr>
          <w:rFonts w:ascii="Times New Roman" w:hAnsi="Times New Roman"/>
          <w:sz w:val="20"/>
          <w:szCs w:val="20"/>
        </w:rPr>
      </w:pPr>
    </w:p>
    <w:p w14:paraId="0BC9785E"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A number of the lawsuits against us relating to trademark issues seek to have our platforms subject to unfavorable local laws. For example, “trademark exhaustion” principles provide trademark own</w:t>
      </w:r>
      <w:r>
        <w:rPr>
          <w:rFonts w:ascii="Arial" w:eastAsia="宋体" w:hAnsi="Arial" w:cs="Arial"/>
          <w:sz w:val="20"/>
          <w:szCs w:val="20"/>
        </w:rPr>
        <w:t>ers with certain rights to control the sale of a branded authentic product until it has been placed on the market by the trademark holder or with the holder’s consent. The application of “trademark exhaustion” principles is largely unsettled in the context</w:t>
      </w:r>
      <w:r>
        <w:rPr>
          <w:rFonts w:ascii="Arial" w:eastAsia="宋体" w:hAnsi="Arial" w:cs="Arial"/>
          <w:sz w:val="20"/>
          <w:szCs w:val="20"/>
        </w:rPr>
        <w:t xml:space="preserve"> of the Internet, and if trademark owners are able to force us to prohibit listings of certain items in one or more locations, our business could be harmed.</w:t>
      </w:r>
    </w:p>
    <w:p w14:paraId="0BC9785F" w14:textId="77777777" w:rsidR="009F0928" w:rsidRDefault="009F0928">
      <w:pPr>
        <w:spacing w:line="288" w:lineRule="auto"/>
        <w:ind w:firstLine="600"/>
        <w:jc w:val="both"/>
        <w:rPr>
          <w:rFonts w:ascii="Times New Roman" w:hAnsi="Times New Roman"/>
          <w:sz w:val="20"/>
          <w:szCs w:val="20"/>
        </w:rPr>
      </w:pPr>
    </w:p>
    <w:p w14:paraId="0BC97860"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As we expand and localize our international activities, we are increasingly becoming obligated to </w:t>
      </w:r>
      <w:r>
        <w:rPr>
          <w:rFonts w:ascii="Arial" w:eastAsia="宋体" w:hAnsi="Arial" w:cs="Arial"/>
          <w:sz w:val="20"/>
          <w:szCs w:val="20"/>
        </w:rPr>
        <w:t>comply with the laws of the countries or markets in which we operate. In addition, because our services are accessible worldwide and we facilitate sales of goods and provide services to users worldwide, one or more jurisdictions may claim that we or our us</w:t>
      </w:r>
      <w:r>
        <w:rPr>
          <w:rFonts w:ascii="Arial" w:eastAsia="宋体" w:hAnsi="Arial" w:cs="Arial"/>
          <w:sz w:val="20"/>
          <w:szCs w:val="20"/>
        </w:rPr>
        <w:t>ers are required to comply with their laws based on the location of our servers or one or more of our users, or the location of the product or service being sold or provided in an ecommerce transaction. For example, we were found liable in France, under Fr</w:t>
      </w:r>
      <w:r>
        <w:rPr>
          <w:rFonts w:ascii="Arial" w:eastAsia="宋体" w:hAnsi="Arial" w:cs="Arial"/>
          <w:sz w:val="20"/>
          <w:szCs w:val="20"/>
        </w:rPr>
        <w:t>ench law, for transactions on some of our websites worldwide that did not involve French buyers or sellers. Laws regulating Internet, mobile and ecommerce technologies outside of the United States are generally less favorable to us than those in the United</w:t>
      </w:r>
      <w:r>
        <w:rPr>
          <w:rFonts w:ascii="Arial" w:eastAsia="宋体" w:hAnsi="Arial" w:cs="Arial"/>
          <w:sz w:val="20"/>
          <w:szCs w:val="20"/>
        </w:rPr>
        <w:t xml:space="preserve"> States. Compliance may be more costly or may require us to </w:t>
      </w:r>
    </w:p>
    <w:p w14:paraId="0BC97861" w14:textId="77777777" w:rsidR="009F0928" w:rsidRDefault="009F0928">
      <w:pPr>
        <w:rPr>
          <w:rFonts w:ascii="Times New Roman" w:hAnsi="Times New Roman"/>
          <w:sz w:val="20"/>
          <w:szCs w:val="20"/>
        </w:rPr>
      </w:pPr>
    </w:p>
    <w:p w14:paraId="0BC97862"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16</w:t>
      </w:r>
    </w:p>
    <w:p w14:paraId="0BC97863" w14:textId="77777777" w:rsidR="009F0928" w:rsidRDefault="002112BD">
      <w:r>
        <w:rPr>
          <w:rFonts w:ascii="Times New Roman" w:hAnsi="Times New Roman"/>
          <w:sz w:val="18"/>
          <w:szCs w:val="18"/>
        </w:rPr>
        <w:pict w14:anchorId="0BC9B4CB">
          <v:rect id="_x0000_i1041" style="width:415.3pt;height:1.5pt" o:hralign="center" o:hrstd="t" o:hr="t" fillcolor="#a0a0a0" stroked="f"/>
        </w:pict>
      </w:r>
    </w:p>
    <w:p w14:paraId="0BC97864" w14:textId="77777777" w:rsidR="009F0928" w:rsidRDefault="009F0928">
      <w:pPr>
        <w:spacing w:line="288" w:lineRule="auto"/>
        <w:rPr>
          <w:rFonts w:ascii="Times New Roman" w:hAnsi="Times New Roman"/>
          <w:sz w:val="20"/>
          <w:szCs w:val="20"/>
        </w:rPr>
      </w:pPr>
    </w:p>
    <w:p w14:paraId="0BC97865" w14:textId="77777777" w:rsidR="009F0928" w:rsidRDefault="009F0928">
      <w:pPr>
        <w:rPr>
          <w:rFonts w:ascii="Times New Roman" w:hAnsi="Times New Roman"/>
          <w:sz w:val="20"/>
          <w:szCs w:val="20"/>
        </w:rPr>
      </w:pPr>
    </w:p>
    <w:p w14:paraId="0BC97866"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change our business practices or restrict our service offerings, and the imposition of any regulations on us or our users may harm our business. In addition, we may be subject to multiple</w:t>
      </w:r>
      <w:r>
        <w:rPr>
          <w:rFonts w:ascii="Arial" w:eastAsia="宋体" w:hAnsi="Arial" w:cs="Arial"/>
          <w:sz w:val="20"/>
          <w:szCs w:val="20"/>
        </w:rPr>
        <w:t xml:space="preserve"> overlapping legal or regulatory regimes that impose conflicting requirements on us (e.g., in cross-border trade). Our alleged failure to comply with foreign laws could subject us to penalties ranging from criminal prosecution to significant fines to bans </w:t>
      </w:r>
      <w:r>
        <w:rPr>
          <w:rFonts w:ascii="Arial" w:eastAsia="宋体" w:hAnsi="Arial" w:cs="Arial"/>
          <w:sz w:val="20"/>
          <w:szCs w:val="20"/>
        </w:rPr>
        <w:t>on our services, in addition to the significant costs we may incur in defending against such actions.</w:t>
      </w:r>
    </w:p>
    <w:p w14:paraId="0BC97867" w14:textId="77777777" w:rsidR="009F0928" w:rsidRDefault="009F0928">
      <w:pPr>
        <w:spacing w:line="288" w:lineRule="auto"/>
        <w:jc w:val="both"/>
        <w:rPr>
          <w:rFonts w:ascii="Times New Roman" w:hAnsi="Times New Roman"/>
          <w:sz w:val="20"/>
          <w:szCs w:val="20"/>
        </w:rPr>
      </w:pPr>
    </w:p>
    <w:p w14:paraId="0BC97868"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We are regularly subject to general litigation, regulatory disputes, and government inquiries.</w:t>
      </w:r>
    </w:p>
    <w:p w14:paraId="0BC97869" w14:textId="77777777" w:rsidR="009F0928" w:rsidRDefault="009F0928">
      <w:pPr>
        <w:spacing w:line="288" w:lineRule="auto"/>
        <w:ind w:firstLine="600"/>
        <w:jc w:val="both"/>
        <w:rPr>
          <w:rFonts w:ascii="Times New Roman" w:hAnsi="Times New Roman"/>
          <w:sz w:val="20"/>
          <w:szCs w:val="20"/>
        </w:rPr>
      </w:pPr>
    </w:p>
    <w:p w14:paraId="0BC9786A"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We are regularly subject to claims, lawsuits </w:t>
      </w:r>
      <w:r>
        <w:rPr>
          <w:rFonts w:ascii="Arial" w:eastAsia="宋体" w:hAnsi="Arial" w:cs="Arial"/>
          <w:sz w:val="20"/>
          <w:szCs w:val="20"/>
        </w:rPr>
        <w:t>(including class actions and individual lawsuits), government investigations, and other proceedings involving competition and antitrust, intellectual property, privacy, consumer protection, accessibility claims, securities, tax, labor and employment, comme</w:t>
      </w:r>
      <w:r>
        <w:rPr>
          <w:rFonts w:ascii="Arial" w:eastAsia="宋体" w:hAnsi="Arial" w:cs="Arial"/>
          <w:sz w:val="20"/>
          <w:szCs w:val="20"/>
        </w:rPr>
        <w:t>rcial disputes, content generated by our users, services and other matters. The number and significance of these disputes and inquiries have increased as our company has grown larger, our businesses have expanded in scope and geographic reach, and our prod</w:t>
      </w:r>
      <w:r>
        <w:rPr>
          <w:rFonts w:ascii="Arial" w:eastAsia="宋体" w:hAnsi="Arial" w:cs="Arial"/>
          <w:sz w:val="20"/>
          <w:szCs w:val="20"/>
        </w:rPr>
        <w:t>ucts and services have increased in complexity.</w:t>
      </w:r>
    </w:p>
    <w:p w14:paraId="0BC9786B" w14:textId="77777777" w:rsidR="009F0928" w:rsidRDefault="009F0928">
      <w:pPr>
        <w:spacing w:line="288" w:lineRule="auto"/>
        <w:ind w:firstLine="720"/>
        <w:jc w:val="both"/>
        <w:rPr>
          <w:rFonts w:ascii="Times New Roman" w:hAnsi="Times New Roman"/>
          <w:sz w:val="20"/>
          <w:szCs w:val="20"/>
        </w:rPr>
      </w:pPr>
    </w:p>
    <w:p w14:paraId="0BC9786C"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The outcome and impact of such claims, lawsuits, government investigations, and other proceedings cannot be predicted with certainty. Regardless of the outcome, such investigations and proceedings can have an adverse impact on us because of legal costs, di</w:t>
      </w:r>
      <w:r>
        <w:rPr>
          <w:rFonts w:ascii="Arial" w:eastAsia="宋体" w:hAnsi="Arial" w:cs="Arial"/>
          <w:sz w:val="20"/>
          <w:szCs w:val="20"/>
        </w:rPr>
        <w:t>version of management resources, and other factors. Determining reserves for our pending litigation and other proceedings is a complex, fact-intensive process that is subject to judgment calls. It is possible that a resolution of one or more such proceedin</w:t>
      </w:r>
      <w:r>
        <w:rPr>
          <w:rFonts w:ascii="Arial" w:eastAsia="宋体" w:hAnsi="Arial" w:cs="Arial"/>
          <w:sz w:val="20"/>
          <w:szCs w:val="20"/>
        </w:rPr>
        <w:t>gs could require us to make substantial payments to satisfy judgments, fines or penalties or to settle claims or proceedings, any of which could harm our business. These proceedings could also result in reputational harm, criminal sanctions, consent decree</w:t>
      </w:r>
      <w:r>
        <w:rPr>
          <w:rFonts w:ascii="Arial" w:eastAsia="宋体" w:hAnsi="Arial" w:cs="Arial"/>
          <w:sz w:val="20"/>
          <w:szCs w:val="20"/>
        </w:rPr>
        <w:t>s, or orders preventing us from offering certain products, or services, or requiring a change in our business practices in costly ways, or requiring development of non-infringing or otherwise altered products or technologies. Any of these consequences coul</w:t>
      </w:r>
      <w:r>
        <w:rPr>
          <w:rFonts w:ascii="Arial" w:eastAsia="宋体" w:hAnsi="Arial" w:cs="Arial"/>
          <w:sz w:val="20"/>
          <w:szCs w:val="20"/>
        </w:rPr>
        <w:t xml:space="preserve">d harm our business. </w:t>
      </w:r>
    </w:p>
    <w:p w14:paraId="0BC9786D" w14:textId="77777777" w:rsidR="009F0928" w:rsidRDefault="009F0928">
      <w:pPr>
        <w:spacing w:line="288" w:lineRule="auto"/>
        <w:ind w:firstLine="600"/>
        <w:jc w:val="both"/>
        <w:rPr>
          <w:rFonts w:ascii="Times New Roman" w:hAnsi="Times New Roman"/>
          <w:sz w:val="20"/>
          <w:szCs w:val="20"/>
        </w:rPr>
      </w:pPr>
    </w:p>
    <w:p w14:paraId="0BC9786E"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We are subject to regulatory activity and antitrust litigation under competition laws that could adversely impact our business.</w:t>
      </w:r>
    </w:p>
    <w:p w14:paraId="0BC9786F" w14:textId="77777777" w:rsidR="009F0928" w:rsidRDefault="009F0928">
      <w:pPr>
        <w:spacing w:line="288" w:lineRule="auto"/>
        <w:ind w:firstLine="600"/>
        <w:jc w:val="both"/>
        <w:rPr>
          <w:rFonts w:ascii="Times New Roman" w:hAnsi="Times New Roman"/>
          <w:sz w:val="20"/>
          <w:szCs w:val="20"/>
        </w:rPr>
      </w:pPr>
    </w:p>
    <w:p w14:paraId="0BC97870"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are subject to scrutiny by various government agencies under U.S. and foreign laws and regulations, i</w:t>
      </w:r>
      <w:r>
        <w:rPr>
          <w:rFonts w:ascii="Arial" w:eastAsia="宋体" w:hAnsi="Arial" w:cs="Arial"/>
          <w:sz w:val="20"/>
          <w:szCs w:val="20"/>
        </w:rPr>
        <w:t>ncluding antitrust and competition laws. Some jurisdictions also provide private rights of action for competitors or consumers to assert claims of anti-competitive conduct. Other companies and government agencies have in the past and may in the future alle</w:t>
      </w:r>
      <w:r>
        <w:rPr>
          <w:rFonts w:ascii="Arial" w:eastAsia="宋体" w:hAnsi="Arial" w:cs="Arial"/>
          <w:sz w:val="20"/>
          <w:szCs w:val="20"/>
        </w:rPr>
        <w:t>ge that our actions violate the antitrust or competition laws of the United States, individual states, the European Union or other countries, or otherwise constitute unfair competition. An increasing number of governments are regulating competition law act</w:t>
      </w:r>
      <w:r>
        <w:rPr>
          <w:rFonts w:ascii="Arial" w:eastAsia="宋体" w:hAnsi="Arial" w:cs="Arial"/>
          <w:sz w:val="20"/>
          <w:szCs w:val="20"/>
        </w:rPr>
        <w:t>ivities, including increased scrutiny in large markets such as China. Our business partnerships or agreements or arrangements with customers or other companies could give rise to regulatory action or antitrust litigation. Some regulators, particularly thos</w:t>
      </w:r>
      <w:r>
        <w:rPr>
          <w:rFonts w:ascii="Arial" w:eastAsia="宋体" w:hAnsi="Arial" w:cs="Arial"/>
          <w:sz w:val="20"/>
          <w:szCs w:val="20"/>
        </w:rPr>
        <w:t xml:space="preserve">e outside of the United States, may perceive our business to be used so broadly that otherwise uncontroversial business practices could be deemed anticompetitive. Certain competition authorities have conducted market studies of our industries. Such claims </w:t>
      </w:r>
      <w:r>
        <w:rPr>
          <w:rFonts w:ascii="Arial" w:eastAsia="宋体" w:hAnsi="Arial" w:cs="Arial"/>
          <w:sz w:val="20"/>
          <w:szCs w:val="20"/>
        </w:rPr>
        <w:t>and investigations, even if without foundation, may be very expensive to defend, involve negative publicity and substantial diversion of management time and effort and could result in significant judgments against us or require us to change our business pr</w:t>
      </w:r>
      <w:r>
        <w:rPr>
          <w:rFonts w:ascii="Arial" w:eastAsia="宋体" w:hAnsi="Arial" w:cs="Arial"/>
          <w:sz w:val="20"/>
          <w:szCs w:val="20"/>
        </w:rPr>
        <w:t>actices.</w:t>
      </w:r>
    </w:p>
    <w:p w14:paraId="0BC97871" w14:textId="77777777" w:rsidR="009F0928" w:rsidRDefault="009F0928">
      <w:pPr>
        <w:spacing w:line="288" w:lineRule="auto"/>
        <w:ind w:firstLine="600"/>
        <w:jc w:val="both"/>
        <w:rPr>
          <w:rFonts w:ascii="Times New Roman" w:hAnsi="Times New Roman"/>
          <w:sz w:val="20"/>
          <w:szCs w:val="20"/>
        </w:rPr>
      </w:pPr>
    </w:p>
    <w:p w14:paraId="0BC97872"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 xml:space="preserve">Fluctuations in interest rates, and changes in regulatory guidance related to such interest rates, could adversely impact our financial results. </w:t>
      </w:r>
    </w:p>
    <w:p w14:paraId="0BC97873" w14:textId="77777777" w:rsidR="009F0928" w:rsidRDefault="009F0928">
      <w:pPr>
        <w:spacing w:line="288" w:lineRule="auto"/>
        <w:ind w:firstLine="600"/>
        <w:jc w:val="both"/>
        <w:rPr>
          <w:rFonts w:ascii="Times New Roman" w:hAnsi="Times New Roman"/>
          <w:sz w:val="20"/>
          <w:szCs w:val="20"/>
        </w:rPr>
      </w:pPr>
    </w:p>
    <w:p w14:paraId="0BC97874"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Some of our borrowings bear interest at floating rates and we have entered into agreements intended</w:t>
      </w:r>
      <w:r>
        <w:rPr>
          <w:rFonts w:ascii="Arial" w:eastAsia="宋体" w:hAnsi="Arial" w:cs="Arial"/>
          <w:sz w:val="20"/>
          <w:szCs w:val="20"/>
        </w:rPr>
        <w:t xml:space="preserve"> to convert the interest rate on some of our fixed rate debt instruments to floating rates. To the extent that prevailing rates increase, our interest expense under these debt instruments will increase.</w:t>
      </w:r>
    </w:p>
    <w:p w14:paraId="0BC97875" w14:textId="77777777" w:rsidR="009F0928" w:rsidRDefault="009F0928">
      <w:pPr>
        <w:spacing w:line="288" w:lineRule="auto"/>
        <w:ind w:firstLine="600"/>
        <w:jc w:val="both"/>
        <w:rPr>
          <w:rFonts w:ascii="Times New Roman" w:hAnsi="Times New Roman"/>
          <w:sz w:val="20"/>
          <w:szCs w:val="20"/>
        </w:rPr>
      </w:pPr>
    </w:p>
    <w:p w14:paraId="0BC97876"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Investments in both fixed-rate and floating-rate int</w:t>
      </w:r>
      <w:r>
        <w:rPr>
          <w:rFonts w:ascii="Arial" w:eastAsia="宋体" w:hAnsi="Arial" w:cs="Arial"/>
          <w:sz w:val="20"/>
          <w:szCs w:val="20"/>
        </w:rPr>
        <w:t>erest-earning instruments carry varying degrees of interest rate risk. The fair market value of our fixed-rate investment securities may be adversely impacted due to a rise in interest rates. In general, fixed-rate securities with longer maturities are sub</w:t>
      </w:r>
      <w:r>
        <w:rPr>
          <w:rFonts w:ascii="Arial" w:eastAsia="宋体" w:hAnsi="Arial" w:cs="Arial"/>
          <w:sz w:val="20"/>
          <w:szCs w:val="20"/>
        </w:rPr>
        <w:t>ject to greater interest-rate risk than those with shorter maturities. While floating rate securities generally are subject to less interest-rate risk than fixed-rate securities, floating-rate securities may produce less income than expected if interest ra</w:t>
      </w:r>
      <w:r>
        <w:rPr>
          <w:rFonts w:ascii="Arial" w:eastAsia="宋体" w:hAnsi="Arial" w:cs="Arial"/>
          <w:sz w:val="20"/>
          <w:szCs w:val="20"/>
        </w:rPr>
        <w:t>tes decrease and may also suffer a decline in market value if interest rates increase. Due in part to these factors, our investment income may decline or we may suffer losses in principal if securities are sold that have declined in market value due to cha</w:t>
      </w:r>
      <w:r>
        <w:rPr>
          <w:rFonts w:ascii="Arial" w:eastAsia="宋体" w:hAnsi="Arial" w:cs="Arial"/>
          <w:sz w:val="20"/>
          <w:szCs w:val="20"/>
        </w:rPr>
        <w:t xml:space="preserve">nges in interest rates. In addition, relatively low interest rates limit our investment income. Fluctuations in interest rates that increase the cost </w:t>
      </w:r>
    </w:p>
    <w:p w14:paraId="0BC97877" w14:textId="77777777" w:rsidR="009F0928" w:rsidRDefault="009F0928">
      <w:pPr>
        <w:rPr>
          <w:rFonts w:ascii="Times New Roman" w:hAnsi="Times New Roman"/>
          <w:sz w:val="20"/>
          <w:szCs w:val="20"/>
        </w:rPr>
      </w:pPr>
    </w:p>
    <w:p w14:paraId="0BC97878"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17</w:t>
      </w:r>
    </w:p>
    <w:p w14:paraId="0BC97879" w14:textId="77777777" w:rsidR="009F0928" w:rsidRDefault="002112BD">
      <w:r>
        <w:rPr>
          <w:rFonts w:ascii="Times New Roman" w:hAnsi="Times New Roman"/>
          <w:sz w:val="18"/>
          <w:szCs w:val="18"/>
        </w:rPr>
        <w:pict w14:anchorId="0BC9B4CC">
          <v:rect id="_x0000_i1042" style="width:415.3pt;height:1.5pt" o:hralign="center" o:hrstd="t" o:hr="t" fillcolor="#a0a0a0" stroked="f"/>
        </w:pict>
      </w:r>
    </w:p>
    <w:p w14:paraId="0BC9787A" w14:textId="77777777" w:rsidR="009F0928" w:rsidRDefault="009F0928">
      <w:pPr>
        <w:spacing w:line="288" w:lineRule="auto"/>
        <w:rPr>
          <w:rFonts w:ascii="Times New Roman" w:hAnsi="Times New Roman"/>
          <w:sz w:val="20"/>
          <w:szCs w:val="20"/>
        </w:rPr>
      </w:pPr>
    </w:p>
    <w:p w14:paraId="0BC9787B" w14:textId="77777777" w:rsidR="009F0928" w:rsidRDefault="009F0928">
      <w:pPr>
        <w:rPr>
          <w:rFonts w:ascii="Times New Roman" w:hAnsi="Times New Roman"/>
          <w:sz w:val="20"/>
          <w:szCs w:val="20"/>
        </w:rPr>
      </w:pPr>
    </w:p>
    <w:p w14:paraId="0BC9787C"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xml:space="preserve">of our current or future indebtedness, cause the market value of our assets to decline or reduce </w:t>
      </w:r>
      <w:r>
        <w:rPr>
          <w:rFonts w:ascii="Arial" w:eastAsia="宋体" w:hAnsi="Arial" w:cs="Arial"/>
          <w:sz w:val="20"/>
          <w:szCs w:val="20"/>
        </w:rPr>
        <w:t>our investment income could adversely affect our financial results.</w:t>
      </w:r>
    </w:p>
    <w:p w14:paraId="0BC9787D" w14:textId="77777777" w:rsidR="009F0928" w:rsidRDefault="009F0928">
      <w:pPr>
        <w:spacing w:line="288" w:lineRule="auto"/>
        <w:ind w:firstLine="600"/>
        <w:jc w:val="both"/>
        <w:rPr>
          <w:rFonts w:ascii="Times New Roman" w:hAnsi="Times New Roman"/>
          <w:sz w:val="20"/>
          <w:szCs w:val="20"/>
        </w:rPr>
      </w:pPr>
    </w:p>
    <w:p w14:paraId="0BC9787E"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Our tickets business is subject to regulatory, competitive and other risks that could harm this business.</w:t>
      </w:r>
    </w:p>
    <w:p w14:paraId="0BC9787F" w14:textId="77777777" w:rsidR="009F0928" w:rsidRDefault="009F0928">
      <w:pPr>
        <w:spacing w:line="288" w:lineRule="auto"/>
        <w:ind w:firstLine="600"/>
        <w:jc w:val="both"/>
        <w:rPr>
          <w:rFonts w:ascii="Times New Roman" w:hAnsi="Times New Roman"/>
          <w:sz w:val="20"/>
          <w:szCs w:val="20"/>
        </w:rPr>
      </w:pPr>
    </w:p>
    <w:p w14:paraId="0BC97880"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Our tickets business, which includes StubHub, is subject to numerous risks, incl</w:t>
      </w:r>
      <w:r>
        <w:rPr>
          <w:rFonts w:ascii="Arial" w:eastAsia="宋体" w:hAnsi="Arial" w:cs="Arial"/>
          <w:sz w:val="20"/>
          <w:szCs w:val="20"/>
        </w:rPr>
        <w:t xml:space="preserve">uding: </w:t>
      </w:r>
    </w:p>
    <w:p w14:paraId="0BC97881" w14:textId="77777777" w:rsidR="009F0928" w:rsidRDefault="009F0928">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884" w14:textId="77777777">
        <w:trPr>
          <w:tblCellSpacing w:w="0" w:type="dxa"/>
        </w:trPr>
        <w:tc>
          <w:tcPr>
            <w:tcW w:w="960" w:type="dxa"/>
            <w:shd w:val="clear" w:color="auto" w:fill="auto"/>
            <w:vAlign w:val="center"/>
          </w:tcPr>
          <w:p w14:paraId="0BC97882" w14:textId="77777777" w:rsidR="009F0928" w:rsidRDefault="009F0928">
            <w:pPr>
              <w:rPr>
                <w:rFonts w:ascii="Times New Roman" w:hAnsi="Times New Roman"/>
                <w:sz w:val="20"/>
                <w:szCs w:val="20"/>
              </w:rPr>
            </w:pPr>
          </w:p>
        </w:tc>
        <w:tc>
          <w:tcPr>
            <w:tcW w:w="0" w:type="auto"/>
            <w:shd w:val="clear" w:color="auto" w:fill="auto"/>
            <w:vAlign w:val="center"/>
          </w:tcPr>
          <w:p w14:paraId="0BC97883" w14:textId="77777777" w:rsidR="009F0928" w:rsidRDefault="009F0928">
            <w:pPr>
              <w:rPr>
                <w:rFonts w:ascii="Times New Roman" w:hAnsi="Times New Roman"/>
                <w:sz w:val="20"/>
                <w:szCs w:val="20"/>
              </w:rPr>
            </w:pPr>
          </w:p>
        </w:tc>
      </w:tr>
      <w:tr w:rsidR="009F0928" w14:paraId="0BC97887" w14:textId="77777777">
        <w:trPr>
          <w:tblCellSpacing w:w="0" w:type="dxa"/>
        </w:trPr>
        <w:tc>
          <w:tcPr>
            <w:tcW w:w="0" w:type="auto"/>
            <w:shd w:val="clear" w:color="auto" w:fill="auto"/>
          </w:tcPr>
          <w:p w14:paraId="0BC97885"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886"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Some jurisdictions, in particular jurisdictions outside the United States, prohibit the resale of event tickets (anti-scalping laws) at prices above the face value of the tickets or at all, or highly regulate the resale of tickets, and new laws and regulat</w:t>
            </w:r>
            <w:r>
              <w:rPr>
                <w:rFonts w:ascii="Arial" w:eastAsia="宋体" w:hAnsi="Arial" w:cs="Arial"/>
                <w:sz w:val="20"/>
                <w:szCs w:val="20"/>
              </w:rPr>
              <w:t xml:space="preserve">ions or changes to existing laws and regulations imposing these or other restrictions could limit or inhibit our ability to operate, or our users’ ability to continue to use, our tickets business. </w:t>
            </w:r>
          </w:p>
        </w:tc>
      </w:tr>
    </w:tbl>
    <w:p w14:paraId="0BC97888"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88B" w14:textId="77777777">
        <w:trPr>
          <w:tblCellSpacing w:w="0" w:type="dxa"/>
        </w:trPr>
        <w:tc>
          <w:tcPr>
            <w:tcW w:w="960" w:type="dxa"/>
            <w:shd w:val="clear" w:color="auto" w:fill="auto"/>
            <w:vAlign w:val="center"/>
          </w:tcPr>
          <w:p w14:paraId="0BC97889" w14:textId="77777777" w:rsidR="009F0928" w:rsidRDefault="009F0928">
            <w:pPr>
              <w:rPr>
                <w:rFonts w:ascii="Times New Roman" w:hAnsi="Times New Roman"/>
                <w:sz w:val="20"/>
                <w:szCs w:val="20"/>
              </w:rPr>
            </w:pPr>
          </w:p>
        </w:tc>
        <w:tc>
          <w:tcPr>
            <w:tcW w:w="0" w:type="auto"/>
            <w:shd w:val="clear" w:color="auto" w:fill="auto"/>
            <w:vAlign w:val="center"/>
          </w:tcPr>
          <w:p w14:paraId="0BC9788A" w14:textId="77777777" w:rsidR="009F0928" w:rsidRDefault="009F0928">
            <w:pPr>
              <w:rPr>
                <w:rFonts w:ascii="Times New Roman" w:hAnsi="Times New Roman"/>
                <w:sz w:val="20"/>
                <w:szCs w:val="20"/>
              </w:rPr>
            </w:pPr>
          </w:p>
        </w:tc>
      </w:tr>
      <w:tr w:rsidR="009F0928" w14:paraId="0BC9788E" w14:textId="77777777">
        <w:trPr>
          <w:tblCellSpacing w:w="0" w:type="dxa"/>
        </w:trPr>
        <w:tc>
          <w:tcPr>
            <w:tcW w:w="0" w:type="auto"/>
            <w:shd w:val="clear" w:color="auto" w:fill="auto"/>
          </w:tcPr>
          <w:p w14:paraId="0BC9788C"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88D"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Regulatory agencies or courts may claim or hold that we are responsible for ensuring that our users comply with these laws and regulations. </w:t>
            </w:r>
          </w:p>
        </w:tc>
      </w:tr>
    </w:tbl>
    <w:p w14:paraId="0BC9788F"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892" w14:textId="77777777">
        <w:trPr>
          <w:tblCellSpacing w:w="0" w:type="dxa"/>
        </w:trPr>
        <w:tc>
          <w:tcPr>
            <w:tcW w:w="960" w:type="dxa"/>
            <w:shd w:val="clear" w:color="auto" w:fill="auto"/>
            <w:vAlign w:val="center"/>
          </w:tcPr>
          <w:p w14:paraId="0BC97890" w14:textId="77777777" w:rsidR="009F0928" w:rsidRDefault="009F0928">
            <w:pPr>
              <w:rPr>
                <w:rFonts w:ascii="Times New Roman" w:hAnsi="Times New Roman"/>
                <w:sz w:val="20"/>
                <w:szCs w:val="20"/>
              </w:rPr>
            </w:pPr>
          </w:p>
        </w:tc>
        <w:tc>
          <w:tcPr>
            <w:tcW w:w="0" w:type="auto"/>
            <w:shd w:val="clear" w:color="auto" w:fill="auto"/>
            <w:vAlign w:val="center"/>
          </w:tcPr>
          <w:p w14:paraId="0BC97891" w14:textId="77777777" w:rsidR="009F0928" w:rsidRDefault="009F0928">
            <w:pPr>
              <w:rPr>
                <w:rFonts w:ascii="Times New Roman" w:hAnsi="Times New Roman"/>
                <w:sz w:val="20"/>
                <w:szCs w:val="20"/>
              </w:rPr>
            </w:pPr>
          </w:p>
        </w:tc>
      </w:tr>
      <w:tr w:rsidR="009F0928" w14:paraId="0BC97895" w14:textId="77777777">
        <w:trPr>
          <w:tblCellSpacing w:w="0" w:type="dxa"/>
        </w:trPr>
        <w:tc>
          <w:tcPr>
            <w:tcW w:w="0" w:type="auto"/>
            <w:shd w:val="clear" w:color="auto" w:fill="auto"/>
          </w:tcPr>
          <w:p w14:paraId="0BC97893"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894"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In many jurisdictions, our tickets business depends on commercial partnerships with event organizers or lice</w:t>
            </w:r>
            <w:r>
              <w:rPr>
                <w:rFonts w:ascii="Arial" w:eastAsia="宋体" w:hAnsi="Arial" w:cs="Arial"/>
                <w:sz w:val="20"/>
                <w:szCs w:val="20"/>
              </w:rPr>
              <w:t xml:space="preserve">nsed ticket vendors, which we must develop and maintain on acceptable terms for our tickets business to be successful. </w:t>
            </w:r>
          </w:p>
        </w:tc>
      </w:tr>
    </w:tbl>
    <w:p w14:paraId="0BC97896"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899" w14:textId="77777777">
        <w:trPr>
          <w:tblCellSpacing w:w="0" w:type="dxa"/>
        </w:trPr>
        <w:tc>
          <w:tcPr>
            <w:tcW w:w="960" w:type="dxa"/>
            <w:shd w:val="clear" w:color="auto" w:fill="auto"/>
            <w:vAlign w:val="center"/>
          </w:tcPr>
          <w:p w14:paraId="0BC97897" w14:textId="77777777" w:rsidR="009F0928" w:rsidRDefault="009F0928">
            <w:pPr>
              <w:rPr>
                <w:rFonts w:ascii="Times New Roman" w:hAnsi="Times New Roman"/>
                <w:sz w:val="20"/>
                <w:szCs w:val="20"/>
              </w:rPr>
            </w:pPr>
          </w:p>
        </w:tc>
        <w:tc>
          <w:tcPr>
            <w:tcW w:w="0" w:type="auto"/>
            <w:shd w:val="clear" w:color="auto" w:fill="auto"/>
            <w:vAlign w:val="center"/>
          </w:tcPr>
          <w:p w14:paraId="0BC97898" w14:textId="77777777" w:rsidR="009F0928" w:rsidRDefault="009F0928">
            <w:pPr>
              <w:rPr>
                <w:rFonts w:ascii="Times New Roman" w:hAnsi="Times New Roman"/>
                <w:sz w:val="20"/>
                <w:szCs w:val="20"/>
              </w:rPr>
            </w:pPr>
          </w:p>
        </w:tc>
      </w:tr>
      <w:tr w:rsidR="009F0928" w14:paraId="0BC9789C" w14:textId="77777777">
        <w:trPr>
          <w:tblCellSpacing w:w="0" w:type="dxa"/>
        </w:trPr>
        <w:tc>
          <w:tcPr>
            <w:tcW w:w="0" w:type="auto"/>
            <w:shd w:val="clear" w:color="auto" w:fill="auto"/>
          </w:tcPr>
          <w:p w14:paraId="0BC9789A"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89B"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Our tickets business is subject to seasonal fluctuations and the general economic and business conditions that impact the sporting events and live entertainment industries. </w:t>
            </w:r>
          </w:p>
        </w:tc>
      </w:tr>
    </w:tbl>
    <w:p w14:paraId="0BC9789D"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8A0" w14:textId="77777777">
        <w:trPr>
          <w:tblCellSpacing w:w="0" w:type="dxa"/>
        </w:trPr>
        <w:tc>
          <w:tcPr>
            <w:tcW w:w="960" w:type="dxa"/>
            <w:shd w:val="clear" w:color="auto" w:fill="auto"/>
            <w:vAlign w:val="center"/>
          </w:tcPr>
          <w:p w14:paraId="0BC9789E" w14:textId="77777777" w:rsidR="009F0928" w:rsidRDefault="009F0928">
            <w:pPr>
              <w:rPr>
                <w:rFonts w:ascii="Times New Roman" w:hAnsi="Times New Roman"/>
                <w:sz w:val="20"/>
                <w:szCs w:val="20"/>
              </w:rPr>
            </w:pPr>
          </w:p>
        </w:tc>
        <w:tc>
          <w:tcPr>
            <w:tcW w:w="0" w:type="auto"/>
            <w:shd w:val="clear" w:color="auto" w:fill="auto"/>
            <w:vAlign w:val="center"/>
          </w:tcPr>
          <w:p w14:paraId="0BC9789F" w14:textId="77777777" w:rsidR="009F0928" w:rsidRDefault="009F0928">
            <w:pPr>
              <w:rPr>
                <w:rFonts w:ascii="Times New Roman" w:hAnsi="Times New Roman"/>
                <w:sz w:val="20"/>
                <w:szCs w:val="20"/>
              </w:rPr>
            </w:pPr>
          </w:p>
        </w:tc>
      </w:tr>
      <w:tr w:rsidR="009F0928" w14:paraId="0BC978A3" w14:textId="77777777">
        <w:trPr>
          <w:tblCellSpacing w:w="0" w:type="dxa"/>
        </w:trPr>
        <w:tc>
          <w:tcPr>
            <w:tcW w:w="0" w:type="auto"/>
            <w:shd w:val="clear" w:color="auto" w:fill="auto"/>
          </w:tcPr>
          <w:p w14:paraId="0BC978A1"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8A2"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A portion of the tickets inventory sold by sellers on the StubHub platform is processed by StubHub in digital form. Systems failures, security breaches, theft or other disruptions that result in the loss of such sellers’ tickets inventory, could result in </w:t>
            </w:r>
            <w:r>
              <w:rPr>
                <w:rFonts w:ascii="Arial" w:eastAsia="宋体" w:hAnsi="Arial" w:cs="Arial"/>
                <w:sz w:val="20"/>
                <w:szCs w:val="20"/>
              </w:rPr>
              <w:t xml:space="preserve">significant costs and a loss of consumer confidence in our tickets business. </w:t>
            </w:r>
          </w:p>
        </w:tc>
      </w:tr>
    </w:tbl>
    <w:p w14:paraId="0BC978A4"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8A7" w14:textId="77777777">
        <w:trPr>
          <w:tblCellSpacing w:w="0" w:type="dxa"/>
        </w:trPr>
        <w:tc>
          <w:tcPr>
            <w:tcW w:w="960" w:type="dxa"/>
            <w:shd w:val="clear" w:color="auto" w:fill="auto"/>
            <w:vAlign w:val="center"/>
          </w:tcPr>
          <w:p w14:paraId="0BC978A5" w14:textId="77777777" w:rsidR="009F0928" w:rsidRDefault="009F0928">
            <w:pPr>
              <w:rPr>
                <w:rFonts w:ascii="Times New Roman" w:hAnsi="Times New Roman"/>
                <w:sz w:val="20"/>
                <w:szCs w:val="20"/>
              </w:rPr>
            </w:pPr>
          </w:p>
        </w:tc>
        <w:tc>
          <w:tcPr>
            <w:tcW w:w="0" w:type="auto"/>
            <w:shd w:val="clear" w:color="auto" w:fill="auto"/>
            <w:vAlign w:val="center"/>
          </w:tcPr>
          <w:p w14:paraId="0BC978A6" w14:textId="77777777" w:rsidR="009F0928" w:rsidRDefault="009F0928">
            <w:pPr>
              <w:rPr>
                <w:rFonts w:ascii="Times New Roman" w:hAnsi="Times New Roman"/>
                <w:sz w:val="20"/>
                <w:szCs w:val="20"/>
              </w:rPr>
            </w:pPr>
          </w:p>
        </w:tc>
      </w:tr>
      <w:tr w:rsidR="009F0928" w14:paraId="0BC978AA" w14:textId="77777777">
        <w:trPr>
          <w:tblCellSpacing w:w="0" w:type="dxa"/>
        </w:trPr>
        <w:tc>
          <w:tcPr>
            <w:tcW w:w="0" w:type="auto"/>
            <w:shd w:val="clear" w:color="auto" w:fill="auto"/>
          </w:tcPr>
          <w:p w14:paraId="0BC978A8"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8A9"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Lawsuits alleging a variety of causes of actions have in the past, and may in the future, be filed against StubHub and eBay by venue owners, competitors, ticket buyers, and unsuccessful ticket buyers. Such lawsuits could result in significant costs and req</w:t>
            </w:r>
            <w:r>
              <w:rPr>
                <w:rFonts w:ascii="Arial" w:eastAsia="宋体" w:hAnsi="Arial" w:cs="Arial"/>
                <w:sz w:val="20"/>
                <w:szCs w:val="20"/>
              </w:rPr>
              <w:t xml:space="preserve">uire us to change our business practices in ways that negatively affect our tickets business. </w:t>
            </w:r>
          </w:p>
        </w:tc>
      </w:tr>
    </w:tbl>
    <w:p w14:paraId="0BC978AB"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8AE" w14:textId="77777777">
        <w:trPr>
          <w:tblCellSpacing w:w="0" w:type="dxa"/>
        </w:trPr>
        <w:tc>
          <w:tcPr>
            <w:tcW w:w="960" w:type="dxa"/>
            <w:shd w:val="clear" w:color="auto" w:fill="auto"/>
            <w:vAlign w:val="center"/>
          </w:tcPr>
          <w:p w14:paraId="0BC978AC" w14:textId="77777777" w:rsidR="009F0928" w:rsidRDefault="009F0928">
            <w:pPr>
              <w:rPr>
                <w:rFonts w:ascii="Times New Roman" w:hAnsi="Times New Roman"/>
                <w:sz w:val="20"/>
                <w:szCs w:val="20"/>
              </w:rPr>
            </w:pPr>
          </w:p>
        </w:tc>
        <w:tc>
          <w:tcPr>
            <w:tcW w:w="0" w:type="auto"/>
            <w:shd w:val="clear" w:color="auto" w:fill="auto"/>
            <w:vAlign w:val="center"/>
          </w:tcPr>
          <w:p w14:paraId="0BC978AD" w14:textId="77777777" w:rsidR="009F0928" w:rsidRDefault="009F0928">
            <w:pPr>
              <w:rPr>
                <w:rFonts w:ascii="Times New Roman" w:hAnsi="Times New Roman"/>
                <w:sz w:val="20"/>
                <w:szCs w:val="20"/>
              </w:rPr>
            </w:pPr>
          </w:p>
        </w:tc>
      </w:tr>
      <w:tr w:rsidR="009F0928" w14:paraId="0BC978B1" w14:textId="77777777">
        <w:trPr>
          <w:tblCellSpacing w:w="0" w:type="dxa"/>
        </w:trPr>
        <w:tc>
          <w:tcPr>
            <w:tcW w:w="0" w:type="auto"/>
            <w:shd w:val="clear" w:color="auto" w:fill="auto"/>
          </w:tcPr>
          <w:p w14:paraId="0BC978AF"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8B0"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Our tickets business also faces significant competition from a number of sources, including ticketing service companies, event organizers, ticket brokers, and online and offline ticket resellers. Some ticketing service companies, event organizers, and prof</w:t>
            </w:r>
            <w:r>
              <w:rPr>
                <w:rFonts w:ascii="Arial" w:eastAsia="宋体" w:hAnsi="Arial" w:cs="Arial"/>
                <w:sz w:val="20"/>
                <w:szCs w:val="20"/>
              </w:rPr>
              <w:t>essional sports teams have begun to issue event tickets through various forms of electronic ticketing systems that are designed to restrict or prohibit the transferability (and by extension, the resale) of such event tickets either to favor their own resal</w:t>
            </w:r>
            <w:r>
              <w:rPr>
                <w:rFonts w:ascii="Arial" w:eastAsia="宋体" w:hAnsi="Arial" w:cs="Arial"/>
                <w:sz w:val="20"/>
                <w:szCs w:val="20"/>
              </w:rPr>
              <w:t>e affiliates or to discourage resale or restrict resale of season tickets to a preferred, designated website. Ticketing service companies have also begun to use market-based pricing strategies or dynamic pricing to charge much higher prices, and impose add</w:t>
            </w:r>
            <w:r>
              <w:rPr>
                <w:rFonts w:ascii="Arial" w:eastAsia="宋体" w:hAnsi="Arial" w:cs="Arial"/>
                <w:sz w:val="20"/>
                <w:szCs w:val="20"/>
              </w:rPr>
              <w:t xml:space="preserve">itional restrictions on transferability, for premium tickets. </w:t>
            </w:r>
          </w:p>
        </w:tc>
      </w:tr>
    </w:tbl>
    <w:p w14:paraId="0BC978B2"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8B5" w14:textId="77777777">
        <w:trPr>
          <w:tblCellSpacing w:w="0" w:type="dxa"/>
        </w:trPr>
        <w:tc>
          <w:tcPr>
            <w:tcW w:w="960" w:type="dxa"/>
            <w:shd w:val="clear" w:color="auto" w:fill="auto"/>
            <w:vAlign w:val="center"/>
          </w:tcPr>
          <w:p w14:paraId="0BC978B3" w14:textId="77777777" w:rsidR="009F0928" w:rsidRDefault="009F0928">
            <w:pPr>
              <w:rPr>
                <w:rFonts w:ascii="Times New Roman" w:hAnsi="Times New Roman"/>
                <w:sz w:val="20"/>
                <w:szCs w:val="20"/>
              </w:rPr>
            </w:pPr>
          </w:p>
        </w:tc>
        <w:tc>
          <w:tcPr>
            <w:tcW w:w="0" w:type="auto"/>
            <w:shd w:val="clear" w:color="auto" w:fill="auto"/>
            <w:vAlign w:val="center"/>
          </w:tcPr>
          <w:p w14:paraId="0BC978B4" w14:textId="77777777" w:rsidR="009F0928" w:rsidRDefault="009F0928">
            <w:pPr>
              <w:rPr>
                <w:rFonts w:ascii="Times New Roman" w:hAnsi="Times New Roman"/>
                <w:sz w:val="20"/>
                <w:szCs w:val="20"/>
              </w:rPr>
            </w:pPr>
          </w:p>
        </w:tc>
      </w:tr>
      <w:tr w:rsidR="009F0928" w14:paraId="0BC978B8" w14:textId="77777777">
        <w:trPr>
          <w:tblCellSpacing w:w="0" w:type="dxa"/>
        </w:trPr>
        <w:tc>
          <w:tcPr>
            <w:tcW w:w="0" w:type="auto"/>
            <w:shd w:val="clear" w:color="auto" w:fill="auto"/>
          </w:tcPr>
          <w:p w14:paraId="0BC978B6"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8B7"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Some sports teams have threatened to revoke the privileges of season ticket owners if they resell their tickets through a platform that is not affiliated with, or approved by, such sport</w:t>
            </w:r>
            <w:r>
              <w:rPr>
                <w:rFonts w:ascii="Arial" w:eastAsia="宋体" w:hAnsi="Arial" w:cs="Arial"/>
                <w:sz w:val="20"/>
                <w:szCs w:val="20"/>
              </w:rPr>
              <w:t>s teams.</w:t>
            </w:r>
          </w:p>
        </w:tc>
      </w:tr>
    </w:tbl>
    <w:p w14:paraId="0BC978B9"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8BC" w14:textId="77777777">
        <w:trPr>
          <w:tblCellSpacing w:w="0" w:type="dxa"/>
        </w:trPr>
        <w:tc>
          <w:tcPr>
            <w:tcW w:w="960" w:type="dxa"/>
            <w:shd w:val="clear" w:color="auto" w:fill="auto"/>
            <w:vAlign w:val="center"/>
          </w:tcPr>
          <w:p w14:paraId="0BC978BA" w14:textId="77777777" w:rsidR="009F0928" w:rsidRDefault="009F0928">
            <w:pPr>
              <w:rPr>
                <w:rFonts w:ascii="Times New Roman" w:hAnsi="Times New Roman"/>
                <w:sz w:val="20"/>
                <w:szCs w:val="20"/>
              </w:rPr>
            </w:pPr>
          </w:p>
        </w:tc>
        <w:tc>
          <w:tcPr>
            <w:tcW w:w="0" w:type="auto"/>
            <w:shd w:val="clear" w:color="auto" w:fill="auto"/>
            <w:vAlign w:val="center"/>
          </w:tcPr>
          <w:p w14:paraId="0BC978BB" w14:textId="77777777" w:rsidR="009F0928" w:rsidRDefault="009F0928">
            <w:pPr>
              <w:rPr>
                <w:rFonts w:ascii="Times New Roman" w:hAnsi="Times New Roman"/>
                <w:sz w:val="20"/>
                <w:szCs w:val="20"/>
              </w:rPr>
            </w:pPr>
          </w:p>
        </w:tc>
      </w:tr>
      <w:tr w:rsidR="009F0928" w14:paraId="0BC978BF" w14:textId="77777777">
        <w:trPr>
          <w:tblCellSpacing w:w="0" w:type="dxa"/>
        </w:trPr>
        <w:tc>
          <w:tcPr>
            <w:tcW w:w="0" w:type="auto"/>
            <w:shd w:val="clear" w:color="auto" w:fill="auto"/>
          </w:tcPr>
          <w:p w14:paraId="0BC978BD" w14:textId="77777777" w:rsidR="009F0928" w:rsidRDefault="002112B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0BC978BE"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To the extent that StubHub holds ticket inventory, we may be exposed to losses associated with such inventory.</w:t>
            </w:r>
          </w:p>
        </w:tc>
      </w:tr>
    </w:tbl>
    <w:p w14:paraId="0BC978C0" w14:textId="77777777" w:rsidR="009F0928" w:rsidRDefault="009F0928">
      <w:pPr>
        <w:spacing w:line="288" w:lineRule="auto"/>
        <w:ind w:firstLine="600"/>
        <w:jc w:val="both"/>
        <w:rPr>
          <w:rFonts w:ascii="Times New Roman" w:hAnsi="Times New Roman"/>
          <w:sz w:val="20"/>
          <w:szCs w:val="20"/>
        </w:rPr>
      </w:pPr>
    </w:p>
    <w:p w14:paraId="0BC978C1"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 xml:space="preserve">The listing or sale by our users of items that allegedly infringe the intellectual property rights of rights owners, </w:t>
      </w:r>
      <w:r>
        <w:rPr>
          <w:rFonts w:ascii="Arial" w:eastAsia="宋体" w:hAnsi="Arial" w:cs="Arial"/>
          <w:i/>
          <w:iCs/>
          <w:sz w:val="20"/>
          <w:szCs w:val="20"/>
        </w:rPr>
        <w:t>including pirated or counterfeit items, may harm our business.</w:t>
      </w:r>
    </w:p>
    <w:p w14:paraId="0BC978C2" w14:textId="77777777" w:rsidR="009F0928" w:rsidRDefault="009F0928">
      <w:pPr>
        <w:spacing w:line="288" w:lineRule="auto"/>
        <w:ind w:firstLine="600"/>
        <w:jc w:val="both"/>
        <w:rPr>
          <w:rFonts w:ascii="Times New Roman" w:hAnsi="Times New Roman"/>
          <w:sz w:val="20"/>
          <w:szCs w:val="20"/>
        </w:rPr>
      </w:pPr>
    </w:p>
    <w:p w14:paraId="0BC978C3"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The listing or sale by our users of unlawful, counterfeit or stolen goods or unlawful services, or sale of goods or services in an unlawful manner, has resulted and may continue to result in allegations of civil or criminal liability for unlawful activitie</w:t>
      </w:r>
      <w:r>
        <w:rPr>
          <w:rFonts w:ascii="Arial" w:eastAsia="宋体" w:hAnsi="Arial" w:cs="Arial"/>
          <w:sz w:val="20"/>
          <w:szCs w:val="20"/>
        </w:rPr>
        <w:t>s against us (including the employees and directors of our various entities) involving activities carried out by users through our services. In a number of circumstances, third parties, including government regulators and law enforcement officials, have al</w:t>
      </w:r>
      <w:r>
        <w:rPr>
          <w:rFonts w:ascii="Arial" w:eastAsia="宋体" w:hAnsi="Arial" w:cs="Arial"/>
          <w:sz w:val="20"/>
          <w:szCs w:val="20"/>
        </w:rPr>
        <w:t xml:space="preserve">leged that our services aid and abet violations of certain laws, including laws regarding the sale of counterfeit items, laws restricting or prohibiting the transferability (and by extension, the resale) of digital goods (e.g., event tickets, books, music </w:t>
      </w:r>
      <w:r>
        <w:rPr>
          <w:rFonts w:ascii="Arial" w:eastAsia="宋体" w:hAnsi="Arial" w:cs="Arial"/>
          <w:sz w:val="20"/>
          <w:szCs w:val="20"/>
        </w:rPr>
        <w:t>and software), the fencing of stolen goods, selective distribution channel laws, customs laws, distance selling laws, anti-scalping laws with respect to the resale of tickets, and the sale of items outside of the United States that are regulated by U.S. ex</w:t>
      </w:r>
      <w:r>
        <w:rPr>
          <w:rFonts w:ascii="Arial" w:eastAsia="宋体" w:hAnsi="Arial" w:cs="Arial"/>
          <w:sz w:val="20"/>
          <w:szCs w:val="20"/>
        </w:rPr>
        <w:t xml:space="preserve">port controls. </w:t>
      </w:r>
    </w:p>
    <w:p w14:paraId="0BC978C4" w14:textId="77777777" w:rsidR="009F0928" w:rsidRDefault="009F0928">
      <w:pPr>
        <w:spacing w:line="288" w:lineRule="auto"/>
        <w:jc w:val="both"/>
        <w:rPr>
          <w:rFonts w:ascii="Times New Roman" w:hAnsi="Times New Roman"/>
          <w:sz w:val="20"/>
          <w:szCs w:val="20"/>
        </w:rPr>
      </w:pPr>
    </w:p>
    <w:p w14:paraId="0BC978C5"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In addition, allegations of infringement of intellectual property rights, including but not limited to counterfeit items, have resulted in threatened and actual litigation from time to time by rights owners, including the following luxury </w:t>
      </w:r>
      <w:r>
        <w:rPr>
          <w:rFonts w:ascii="Arial" w:eastAsia="宋体" w:hAnsi="Arial" w:cs="Arial"/>
          <w:sz w:val="20"/>
          <w:szCs w:val="20"/>
        </w:rPr>
        <w:t xml:space="preserve">brand owners: Tiffany &amp; Co. in the United States; Rolex S.A. and Coty Prestige Lancaster Group GmbH in Germany; Louis Vuitton Malletier and Christian Dior Couture in France; and L’Oréal SA, Lancôme Parfums et Beauté &amp; Cie, and Laboratoire Garnier &amp; Cie in </w:t>
      </w:r>
      <w:r>
        <w:rPr>
          <w:rFonts w:ascii="Arial" w:eastAsia="宋体" w:hAnsi="Arial" w:cs="Arial"/>
          <w:sz w:val="20"/>
          <w:szCs w:val="20"/>
        </w:rPr>
        <w:t>several European countries. Plaintiffs in these and similar suits seek, among other remedies, injunctive relief and damages. Statutory damages for copyright or trademark violations could range up to $150,000 per copyright violation and $2,000,000 per trade</w:t>
      </w:r>
      <w:r>
        <w:rPr>
          <w:rFonts w:ascii="Arial" w:eastAsia="宋体" w:hAnsi="Arial" w:cs="Arial"/>
          <w:sz w:val="20"/>
          <w:szCs w:val="20"/>
        </w:rPr>
        <w:t xml:space="preserve">mark violation in the United States, and may be even higher in other jurisdictions. In the past, we have paid substantial amounts in connection with resolving certain trademark and </w:t>
      </w:r>
    </w:p>
    <w:p w14:paraId="0BC978C6" w14:textId="77777777" w:rsidR="009F0928" w:rsidRDefault="009F0928">
      <w:pPr>
        <w:rPr>
          <w:rFonts w:ascii="Times New Roman" w:hAnsi="Times New Roman"/>
          <w:sz w:val="20"/>
          <w:szCs w:val="20"/>
        </w:rPr>
      </w:pPr>
    </w:p>
    <w:p w14:paraId="0BC978C7"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18</w:t>
      </w:r>
    </w:p>
    <w:p w14:paraId="0BC978C8" w14:textId="77777777" w:rsidR="009F0928" w:rsidRDefault="002112BD">
      <w:r>
        <w:rPr>
          <w:rFonts w:ascii="Times New Roman" w:hAnsi="Times New Roman"/>
          <w:sz w:val="18"/>
          <w:szCs w:val="18"/>
        </w:rPr>
        <w:pict w14:anchorId="0BC9B4CD">
          <v:rect id="_x0000_i1043" style="width:415.3pt;height:1.5pt" o:hralign="center" o:hrstd="t" o:hr="t" fillcolor="#a0a0a0" stroked="f"/>
        </w:pict>
      </w:r>
    </w:p>
    <w:p w14:paraId="0BC978C9" w14:textId="77777777" w:rsidR="009F0928" w:rsidRDefault="009F0928">
      <w:pPr>
        <w:spacing w:line="288" w:lineRule="auto"/>
        <w:rPr>
          <w:rFonts w:ascii="Times New Roman" w:hAnsi="Times New Roman"/>
          <w:sz w:val="20"/>
          <w:szCs w:val="20"/>
        </w:rPr>
      </w:pPr>
    </w:p>
    <w:p w14:paraId="0BC978CA" w14:textId="77777777" w:rsidR="009F0928" w:rsidRDefault="009F0928">
      <w:pPr>
        <w:rPr>
          <w:rFonts w:ascii="Times New Roman" w:hAnsi="Times New Roman"/>
          <w:sz w:val="20"/>
          <w:szCs w:val="20"/>
        </w:rPr>
      </w:pPr>
    </w:p>
    <w:p w14:paraId="0BC978CB"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copyright suits. These and similar suits may also force us to modi</w:t>
      </w:r>
      <w:r>
        <w:rPr>
          <w:rFonts w:ascii="Arial" w:eastAsia="宋体" w:hAnsi="Arial" w:cs="Arial"/>
          <w:sz w:val="20"/>
          <w:szCs w:val="20"/>
        </w:rPr>
        <w:t>fy our business practices in a manner that increases costs, lowers revenue, makes our websites and mobile platforms less convenient to customers, and requires us to spend substantial resources to take additional protective measures or discontinue certain s</w:t>
      </w:r>
      <w:r>
        <w:rPr>
          <w:rFonts w:ascii="Arial" w:eastAsia="宋体" w:hAnsi="Arial" w:cs="Arial"/>
          <w:sz w:val="20"/>
          <w:szCs w:val="20"/>
        </w:rPr>
        <w:t>ervice offerings in order to combat these practices. In addition, we have received significant media attention relating to the listing or sale of illegal or counterfeit goods, which could damage our reputation, diminish the value of our brand names, and ma</w:t>
      </w:r>
      <w:r>
        <w:rPr>
          <w:rFonts w:ascii="Arial" w:eastAsia="宋体" w:hAnsi="Arial" w:cs="Arial"/>
          <w:sz w:val="20"/>
          <w:szCs w:val="20"/>
        </w:rPr>
        <w:t>ke users reluctant to use our products and services.</w:t>
      </w:r>
    </w:p>
    <w:p w14:paraId="0BC978CC" w14:textId="77777777" w:rsidR="009F0928" w:rsidRDefault="009F0928">
      <w:pPr>
        <w:spacing w:line="288" w:lineRule="auto"/>
        <w:ind w:firstLine="600"/>
        <w:jc w:val="both"/>
        <w:rPr>
          <w:rFonts w:ascii="Times New Roman" w:hAnsi="Times New Roman"/>
          <w:sz w:val="20"/>
          <w:szCs w:val="20"/>
        </w:rPr>
      </w:pPr>
    </w:p>
    <w:p w14:paraId="0BC978CD"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We are subject to risks associated with information disseminated through our services.</w:t>
      </w:r>
    </w:p>
    <w:p w14:paraId="0BC978CE" w14:textId="77777777" w:rsidR="009F0928" w:rsidRDefault="009F0928">
      <w:pPr>
        <w:spacing w:line="288" w:lineRule="auto"/>
        <w:ind w:firstLine="600"/>
        <w:jc w:val="both"/>
        <w:rPr>
          <w:rFonts w:ascii="Times New Roman" w:hAnsi="Times New Roman"/>
          <w:sz w:val="20"/>
          <w:szCs w:val="20"/>
        </w:rPr>
      </w:pPr>
    </w:p>
    <w:p w14:paraId="0BC978CF"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Online services companies may be subject to claims relating to information disseminated through their services, in</w:t>
      </w:r>
      <w:r>
        <w:rPr>
          <w:rFonts w:ascii="Arial" w:eastAsia="宋体" w:hAnsi="Arial" w:cs="Arial"/>
          <w:sz w:val="20"/>
          <w:szCs w:val="20"/>
        </w:rPr>
        <w:t>cluding claims alleging defamation, libel, breach of contract, invasion of privacy, negligence, copyright or trademark infringement, among other things. The laws relating to the liability of online services companies for information disseminated through th</w:t>
      </w:r>
      <w:r>
        <w:rPr>
          <w:rFonts w:ascii="Arial" w:eastAsia="宋体" w:hAnsi="Arial" w:cs="Arial"/>
          <w:sz w:val="20"/>
          <w:szCs w:val="20"/>
        </w:rPr>
        <w:t xml:space="preserve">eir services are subject to frequent challenges both in the United States and foreign jurisdictions. Any liabilities incurred as a result of these matters could require us to incur additional costs and harm our reputation and our business. </w:t>
      </w:r>
    </w:p>
    <w:p w14:paraId="0BC978D0" w14:textId="77777777" w:rsidR="009F0928" w:rsidRDefault="009F0928">
      <w:pPr>
        <w:spacing w:line="288" w:lineRule="auto"/>
        <w:ind w:firstLine="600"/>
        <w:jc w:val="both"/>
        <w:rPr>
          <w:rFonts w:ascii="Times New Roman" w:hAnsi="Times New Roman"/>
          <w:sz w:val="20"/>
          <w:szCs w:val="20"/>
        </w:rPr>
      </w:pPr>
    </w:p>
    <w:p w14:paraId="0BC978D1"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Our potential liability to third parties for the user-provided content on our sites, particularly in jurisdictions outside the United States where laws governing Internet transactions are unsettled, may increase. If we become liable for information provide</w:t>
      </w:r>
      <w:r>
        <w:rPr>
          <w:rFonts w:ascii="Arial" w:eastAsia="宋体" w:hAnsi="Arial" w:cs="Arial"/>
          <w:sz w:val="20"/>
          <w:szCs w:val="20"/>
        </w:rPr>
        <w:t>d by our users and carried on our service in any jurisdiction in which we operate, we could be directly harmed and we may be forced to implement new measures to reduce our exposure to this liability, including expending substantial resources or discontinui</w:t>
      </w:r>
      <w:r>
        <w:rPr>
          <w:rFonts w:ascii="Arial" w:eastAsia="宋体" w:hAnsi="Arial" w:cs="Arial"/>
          <w:sz w:val="20"/>
          <w:szCs w:val="20"/>
        </w:rPr>
        <w:t xml:space="preserve">ng certain service offerings, which could harm our business. </w:t>
      </w:r>
    </w:p>
    <w:p w14:paraId="0BC978D2" w14:textId="77777777" w:rsidR="009F0928" w:rsidRDefault="009F0928">
      <w:pPr>
        <w:spacing w:line="288" w:lineRule="auto"/>
        <w:ind w:firstLine="600"/>
        <w:jc w:val="both"/>
        <w:rPr>
          <w:rFonts w:ascii="Times New Roman" w:hAnsi="Times New Roman"/>
          <w:sz w:val="20"/>
          <w:szCs w:val="20"/>
        </w:rPr>
      </w:pPr>
    </w:p>
    <w:p w14:paraId="0BC978D3"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Changes to our programs to protect buyers and sellers could increase our costs and loss rate.</w:t>
      </w:r>
    </w:p>
    <w:p w14:paraId="0BC978D4" w14:textId="77777777" w:rsidR="009F0928" w:rsidRDefault="009F0928">
      <w:pPr>
        <w:spacing w:line="288" w:lineRule="auto"/>
        <w:ind w:firstLine="600"/>
        <w:jc w:val="both"/>
        <w:rPr>
          <w:rFonts w:ascii="Times New Roman" w:hAnsi="Times New Roman"/>
          <w:sz w:val="20"/>
          <w:szCs w:val="20"/>
        </w:rPr>
      </w:pPr>
    </w:p>
    <w:p w14:paraId="0BC978D5"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Our eBay Money Back Guarantee program represents the means by which we compensate users who believ</w:t>
      </w:r>
      <w:r>
        <w:rPr>
          <w:rFonts w:ascii="Arial" w:eastAsia="宋体" w:hAnsi="Arial" w:cs="Arial"/>
          <w:sz w:val="20"/>
          <w:szCs w:val="20"/>
        </w:rPr>
        <w:t>e that they have been defrauded, have not received the item that they purchased or have received an item different from what was described. In addition, as we expand our payments capabilities, we may be exposed to losses associated with compensating our se</w:t>
      </w:r>
      <w:r>
        <w:rPr>
          <w:rFonts w:ascii="Arial" w:eastAsia="宋体" w:hAnsi="Arial" w:cs="Arial"/>
          <w:sz w:val="20"/>
          <w:szCs w:val="20"/>
        </w:rPr>
        <w:t>llers for fraudulent payments. We expect to continue to receive communications from users requesting reimbursement or threatening or commencing legal action against us if no reimbursement is made. Our liability for these sorts of claims is slowly beginning</w:t>
      </w:r>
      <w:r>
        <w:rPr>
          <w:rFonts w:ascii="Arial" w:eastAsia="宋体" w:hAnsi="Arial" w:cs="Arial"/>
          <w:sz w:val="20"/>
          <w:szCs w:val="20"/>
        </w:rPr>
        <w:t xml:space="preserve"> to be clarified in some jurisdictions and may be higher in some non-U.S. jurisdictions than it is in the United States. Litigation involving liability for any such third-party actions could be costly and time consuming for us, divert management attention,</w:t>
      </w:r>
      <w:r>
        <w:rPr>
          <w:rFonts w:ascii="Arial" w:eastAsia="宋体" w:hAnsi="Arial" w:cs="Arial"/>
          <w:sz w:val="20"/>
          <w:szCs w:val="20"/>
        </w:rPr>
        <w:t xml:space="preserve"> result in increased costs of doing business, lead to adverse judgments or settlements or otherwise harm our business. In addition, affected users will likely complain to regulatory agencies that could take action against us, including imposing fines or se</w:t>
      </w:r>
      <w:r>
        <w:rPr>
          <w:rFonts w:ascii="Arial" w:eastAsia="宋体" w:hAnsi="Arial" w:cs="Arial"/>
          <w:sz w:val="20"/>
          <w:szCs w:val="20"/>
        </w:rPr>
        <w:t>eking injunctions.</w:t>
      </w:r>
    </w:p>
    <w:p w14:paraId="0BC978D6" w14:textId="77777777" w:rsidR="009F0928" w:rsidRDefault="009F0928">
      <w:pPr>
        <w:spacing w:line="288" w:lineRule="auto"/>
        <w:ind w:firstLine="600"/>
        <w:jc w:val="both"/>
        <w:rPr>
          <w:rFonts w:ascii="Times New Roman" w:hAnsi="Times New Roman"/>
          <w:sz w:val="20"/>
          <w:szCs w:val="20"/>
        </w:rPr>
      </w:pPr>
    </w:p>
    <w:p w14:paraId="0BC978D7" w14:textId="77777777" w:rsidR="009F0928" w:rsidRDefault="002112BD">
      <w:pPr>
        <w:spacing w:line="288" w:lineRule="auto"/>
        <w:ind w:firstLine="580"/>
        <w:jc w:val="both"/>
        <w:rPr>
          <w:rFonts w:ascii="Times New Roman" w:hAnsi="Times New Roman"/>
          <w:sz w:val="20"/>
          <w:szCs w:val="20"/>
        </w:rPr>
      </w:pPr>
      <w:r>
        <w:rPr>
          <w:rFonts w:ascii="Arial" w:eastAsia="宋体" w:hAnsi="Arial" w:cs="Arial"/>
          <w:i/>
          <w:iCs/>
          <w:sz w:val="20"/>
          <w:szCs w:val="20"/>
        </w:rPr>
        <w:t>Development of our payments system requires ongoing investment, is subject to evolving laws, regulations, rules, and standards, and involves risk, including risks related to our dependence on third-party providers.</w:t>
      </w:r>
    </w:p>
    <w:p w14:paraId="0BC978D8" w14:textId="77777777" w:rsidR="009F0928" w:rsidRDefault="009F0928">
      <w:pPr>
        <w:spacing w:line="288" w:lineRule="auto"/>
        <w:ind w:firstLine="580"/>
        <w:jc w:val="both"/>
        <w:rPr>
          <w:rFonts w:ascii="Times New Roman" w:hAnsi="Times New Roman"/>
          <w:sz w:val="20"/>
          <w:szCs w:val="20"/>
        </w:rPr>
      </w:pPr>
    </w:p>
    <w:p w14:paraId="0BC978D9" w14:textId="77777777" w:rsidR="009F0928" w:rsidRDefault="002112BD">
      <w:pPr>
        <w:spacing w:line="288" w:lineRule="auto"/>
        <w:ind w:firstLine="580"/>
        <w:jc w:val="both"/>
        <w:rPr>
          <w:rFonts w:ascii="Times New Roman" w:hAnsi="Times New Roman"/>
          <w:sz w:val="20"/>
          <w:szCs w:val="20"/>
        </w:rPr>
      </w:pPr>
      <w:r>
        <w:rPr>
          <w:rFonts w:ascii="Arial" w:eastAsia="宋体" w:hAnsi="Arial" w:cs="Arial"/>
          <w:sz w:val="20"/>
          <w:szCs w:val="20"/>
        </w:rPr>
        <w:t>We have invested and</w:t>
      </w:r>
      <w:r>
        <w:rPr>
          <w:rFonts w:ascii="Arial" w:eastAsia="宋体" w:hAnsi="Arial" w:cs="Arial"/>
          <w:sz w:val="20"/>
          <w:szCs w:val="20"/>
        </w:rPr>
        <w:t xml:space="preserve"> plan to continue to invest internal resources into our payments tools in order to maintain existing availability, expand into additional markets and offer new payment methods and tools to our buyers and sellers. If we fail to invest adequate resources int</w:t>
      </w:r>
      <w:r>
        <w:rPr>
          <w:rFonts w:ascii="Arial" w:eastAsia="宋体" w:hAnsi="Arial" w:cs="Arial"/>
          <w:sz w:val="20"/>
          <w:szCs w:val="20"/>
        </w:rPr>
        <w:t>o payments on our platform, or if our investment efforts are unsuccessful or unreliable, our payments services may not function properly or keep pace with competitive offerings, which could negatively impact their usage and our marketplaces. Further, our a</w:t>
      </w:r>
      <w:r>
        <w:rPr>
          <w:rFonts w:ascii="Arial" w:eastAsia="宋体" w:hAnsi="Arial" w:cs="Arial"/>
          <w:sz w:val="20"/>
          <w:szCs w:val="20"/>
        </w:rPr>
        <w:t>bility to expand our payments services into additional countries is dependent upon the third-party providers we use to support this service. As we expand the availability of our payments services to additional markets or offer new payment methods to our se</w:t>
      </w:r>
      <w:r>
        <w:rPr>
          <w:rFonts w:ascii="Arial" w:eastAsia="宋体" w:hAnsi="Arial" w:cs="Arial"/>
          <w:sz w:val="20"/>
          <w:szCs w:val="20"/>
        </w:rPr>
        <w:t>llers and buyers in the future, we may become subject to additional regulations and compliance requirements, and exposed to heightened fraud risk, which could lead to an increase in our operating expenses</w:t>
      </w:r>
      <w:r>
        <w:rPr>
          <w:rFonts w:ascii="Times New Roman" w:eastAsia="宋体" w:hAnsi="Times New Roman"/>
          <w:sz w:val="20"/>
          <w:szCs w:val="20"/>
        </w:rPr>
        <w:t>.</w:t>
      </w:r>
    </w:p>
    <w:p w14:paraId="0BC978DA" w14:textId="77777777" w:rsidR="009F0928" w:rsidRDefault="009F0928">
      <w:pPr>
        <w:spacing w:line="288" w:lineRule="auto"/>
        <w:ind w:firstLine="580"/>
        <w:jc w:val="both"/>
        <w:rPr>
          <w:rFonts w:ascii="Times New Roman" w:hAnsi="Times New Roman"/>
          <w:sz w:val="20"/>
          <w:szCs w:val="20"/>
        </w:rPr>
      </w:pPr>
    </w:p>
    <w:p w14:paraId="0BC978DB" w14:textId="77777777" w:rsidR="009F0928" w:rsidRDefault="002112BD">
      <w:pPr>
        <w:spacing w:line="288" w:lineRule="auto"/>
        <w:ind w:firstLine="580"/>
        <w:jc w:val="both"/>
        <w:rPr>
          <w:rFonts w:ascii="Times New Roman" w:hAnsi="Times New Roman"/>
          <w:sz w:val="20"/>
          <w:szCs w:val="20"/>
        </w:rPr>
      </w:pPr>
      <w:r>
        <w:rPr>
          <w:rFonts w:ascii="Arial" w:eastAsia="宋体" w:hAnsi="Arial" w:cs="Arial"/>
          <w:sz w:val="20"/>
          <w:szCs w:val="20"/>
        </w:rPr>
        <w:t xml:space="preserve">We rely on third-party service providers to perform services related to compliance, credit card processing, payment disbursements, currency exchange, identity verification, sanctions screening, and fraud analysis and detection. As a result, we are subject </w:t>
      </w:r>
      <w:r>
        <w:rPr>
          <w:rFonts w:ascii="Arial" w:eastAsia="宋体" w:hAnsi="Arial" w:cs="Arial"/>
          <w:sz w:val="20"/>
          <w:szCs w:val="20"/>
        </w:rPr>
        <w:t>to a number of risks related to our dependence on third-party service providers. If any or some of these service providers fail to perform adequately or if any such service provider were to terminate or modify its relationship with us unexpectedly, our sel</w:t>
      </w:r>
      <w:r>
        <w:rPr>
          <w:rFonts w:ascii="Arial" w:eastAsia="宋体" w:hAnsi="Arial" w:cs="Arial"/>
          <w:sz w:val="20"/>
          <w:szCs w:val="20"/>
        </w:rPr>
        <w:t>lers’ ability to use our platform to receive orders or payments could be adversely affected, which would increase costs, drive sellers away from our marketplaces, result in potential legal liability, and harm our business. In addition, we and our third-par</w:t>
      </w:r>
      <w:r>
        <w:rPr>
          <w:rFonts w:ascii="Arial" w:eastAsia="宋体" w:hAnsi="Arial" w:cs="Arial"/>
          <w:sz w:val="20"/>
          <w:szCs w:val="20"/>
        </w:rPr>
        <w:t>ty service providers may experience service outages from time to time that could adversely impact payments made on our platform. Additionally, any unexpected termination or modification of those third-party services could lead to a lapse in the effectivene</w:t>
      </w:r>
      <w:r>
        <w:rPr>
          <w:rFonts w:ascii="Arial" w:eastAsia="宋体" w:hAnsi="Arial" w:cs="Arial"/>
          <w:sz w:val="20"/>
          <w:szCs w:val="20"/>
        </w:rPr>
        <w:t xml:space="preserve">ss of certain fraud prevention and detection tools. </w:t>
      </w:r>
    </w:p>
    <w:p w14:paraId="0BC978DC" w14:textId="77777777" w:rsidR="009F0928" w:rsidRDefault="009F0928">
      <w:pPr>
        <w:rPr>
          <w:rFonts w:ascii="Times New Roman" w:hAnsi="Times New Roman"/>
          <w:sz w:val="20"/>
          <w:szCs w:val="20"/>
        </w:rPr>
      </w:pPr>
    </w:p>
    <w:p w14:paraId="0BC978DD"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19</w:t>
      </w:r>
    </w:p>
    <w:p w14:paraId="0BC978DE" w14:textId="77777777" w:rsidR="009F0928" w:rsidRDefault="002112BD">
      <w:r>
        <w:rPr>
          <w:rFonts w:ascii="Times New Roman" w:hAnsi="Times New Roman"/>
          <w:sz w:val="18"/>
          <w:szCs w:val="18"/>
        </w:rPr>
        <w:pict w14:anchorId="0BC9B4CE">
          <v:rect id="_x0000_i1044" style="width:415.3pt;height:1.5pt" o:hralign="center" o:hrstd="t" o:hr="t" fillcolor="#a0a0a0" stroked="f"/>
        </w:pict>
      </w:r>
    </w:p>
    <w:p w14:paraId="0BC978DF" w14:textId="77777777" w:rsidR="009F0928" w:rsidRDefault="009F0928">
      <w:pPr>
        <w:spacing w:line="288" w:lineRule="auto"/>
        <w:rPr>
          <w:rFonts w:ascii="Times New Roman" w:hAnsi="Times New Roman"/>
          <w:sz w:val="20"/>
          <w:szCs w:val="20"/>
        </w:rPr>
      </w:pPr>
    </w:p>
    <w:p w14:paraId="0BC978E0" w14:textId="77777777" w:rsidR="009F0928" w:rsidRDefault="009F0928">
      <w:pPr>
        <w:rPr>
          <w:rFonts w:ascii="Times New Roman" w:hAnsi="Times New Roman"/>
          <w:sz w:val="20"/>
          <w:szCs w:val="20"/>
        </w:rPr>
      </w:pPr>
    </w:p>
    <w:p w14:paraId="0BC978E1" w14:textId="77777777" w:rsidR="009F0928" w:rsidRDefault="009F0928">
      <w:pPr>
        <w:spacing w:line="288" w:lineRule="auto"/>
        <w:ind w:firstLine="580"/>
        <w:jc w:val="both"/>
        <w:rPr>
          <w:rFonts w:ascii="Times New Roman" w:hAnsi="Times New Roman"/>
          <w:sz w:val="20"/>
          <w:szCs w:val="20"/>
        </w:rPr>
      </w:pPr>
    </w:p>
    <w:p w14:paraId="0BC978E2" w14:textId="77777777" w:rsidR="009F0928" w:rsidRDefault="002112BD">
      <w:pPr>
        <w:spacing w:line="288" w:lineRule="auto"/>
        <w:ind w:firstLine="580"/>
        <w:jc w:val="both"/>
        <w:rPr>
          <w:rFonts w:ascii="Times New Roman" w:hAnsi="Times New Roman"/>
          <w:sz w:val="20"/>
          <w:szCs w:val="20"/>
        </w:rPr>
      </w:pPr>
      <w:r>
        <w:rPr>
          <w:rFonts w:ascii="Arial" w:eastAsia="宋体" w:hAnsi="Arial" w:cs="Arial"/>
          <w:sz w:val="20"/>
          <w:szCs w:val="20"/>
        </w:rPr>
        <w:t>Our third-party service providers may increase the fees they charge us in the future</w:t>
      </w:r>
      <w:r>
        <w:rPr>
          <w:rFonts w:ascii="Times New Roman" w:eastAsia="宋体" w:hAnsi="Times New Roman"/>
          <w:sz w:val="20"/>
          <w:szCs w:val="20"/>
        </w:rPr>
        <w:t>,</w:t>
      </w:r>
      <w:r>
        <w:rPr>
          <w:rFonts w:ascii="Arial" w:eastAsia="宋体" w:hAnsi="Arial" w:cs="Arial"/>
          <w:sz w:val="20"/>
          <w:szCs w:val="20"/>
        </w:rPr>
        <w:t xml:space="preserve"> which would increase our operating expenses. This could, in turn, require us to increase the fees we charge </w:t>
      </w:r>
      <w:r>
        <w:rPr>
          <w:rFonts w:ascii="Arial" w:eastAsia="宋体" w:hAnsi="Arial" w:cs="Arial"/>
          <w:sz w:val="20"/>
          <w:szCs w:val="20"/>
        </w:rPr>
        <w:t>to sellers and cause some sellers to reduce listings on our marketplaces or to leave our platform altogether by closing their accounts</w:t>
      </w:r>
      <w:r>
        <w:rPr>
          <w:rFonts w:ascii="Times New Roman" w:eastAsia="宋体" w:hAnsi="Times New Roman"/>
          <w:sz w:val="20"/>
          <w:szCs w:val="20"/>
        </w:rPr>
        <w:t>.</w:t>
      </w:r>
    </w:p>
    <w:p w14:paraId="0BC978E3" w14:textId="77777777" w:rsidR="009F0928" w:rsidRDefault="009F0928">
      <w:pPr>
        <w:spacing w:line="288" w:lineRule="auto"/>
        <w:ind w:firstLine="580"/>
        <w:jc w:val="both"/>
        <w:rPr>
          <w:rFonts w:ascii="Times New Roman" w:hAnsi="Times New Roman"/>
          <w:sz w:val="20"/>
          <w:szCs w:val="20"/>
        </w:rPr>
      </w:pPr>
    </w:p>
    <w:p w14:paraId="0BC978E4" w14:textId="77777777" w:rsidR="009F0928" w:rsidRDefault="002112BD">
      <w:pPr>
        <w:spacing w:line="288" w:lineRule="auto"/>
        <w:ind w:firstLine="580"/>
        <w:jc w:val="both"/>
        <w:rPr>
          <w:rFonts w:ascii="Times New Roman" w:hAnsi="Times New Roman"/>
          <w:sz w:val="20"/>
          <w:szCs w:val="20"/>
        </w:rPr>
      </w:pPr>
      <w:r>
        <w:rPr>
          <w:rFonts w:ascii="Arial" w:eastAsia="宋体" w:hAnsi="Arial" w:cs="Arial"/>
          <w:sz w:val="20"/>
          <w:szCs w:val="20"/>
        </w:rPr>
        <w:t>Payments are governed by complex and continuously evolving laws and regulations that are subject to change and vary acr</w:t>
      </w:r>
      <w:r>
        <w:rPr>
          <w:rFonts w:ascii="Arial" w:eastAsia="宋体" w:hAnsi="Arial" w:cs="Arial"/>
          <w:sz w:val="20"/>
          <w:szCs w:val="20"/>
        </w:rPr>
        <w:t>oss different jurisdictions in the United States and globally. As a result, we are required to spend significant time and effort to determine whether various licensing and registration laws relating to payments apply to us and to comply with applicable law</w:t>
      </w:r>
      <w:r>
        <w:rPr>
          <w:rFonts w:ascii="Arial" w:eastAsia="宋体" w:hAnsi="Arial" w:cs="Arial"/>
          <w:sz w:val="20"/>
          <w:szCs w:val="20"/>
        </w:rPr>
        <w:t>s and licensing and registration regulations. In addition, there can be no assurance that we will be able to obtain or retain any necessary licenses or registrations. Any failure or claim of failure on the part of the Company or its third-party service pro</w:t>
      </w:r>
      <w:r>
        <w:rPr>
          <w:rFonts w:ascii="Arial" w:eastAsia="宋体" w:hAnsi="Arial" w:cs="Arial"/>
          <w:sz w:val="20"/>
          <w:szCs w:val="20"/>
        </w:rPr>
        <w:t>viders to comply with applicable laws and regulations relating to payments could require us to expend significant resources, result in liabilities, limit or preclude our ability to enter certain markets and harm our reputation. In addition, changes in paym</w:t>
      </w:r>
      <w:r>
        <w:rPr>
          <w:rFonts w:ascii="Arial" w:eastAsia="宋体" w:hAnsi="Arial" w:cs="Arial"/>
          <w:sz w:val="20"/>
          <w:szCs w:val="20"/>
        </w:rPr>
        <w:t>ent regulations, including changes to the credit or debit card interchange rates in the United States or other markets, could adversely affect payments on our platform and make our payments systems less profitable</w:t>
      </w:r>
      <w:r>
        <w:rPr>
          <w:rFonts w:ascii="Times New Roman" w:eastAsia="宋体" w:hAnsi="Times New Roman"/>
          <w:sz w:val="20"/>
          <w:szCs w:val="20"/>
        </w:rPr>
        <w:t>.</w:t>
      </w:r>
    </w:p>
    <w:p w14:paraId="0BC978E5" w14:textId="77777777" w:rsidR="009F0928" w:rsidRDefault="009F0928">
      <w:pPr>
        <w:spacing w:line="288" w:lineRule="auto"/>
        <w:ind w:firstLine="580"/>
        <w:jc w:val="both"/>
        <w:rPr>
          <w:rFonts w:ascii="Times New Roman" w:hAnsi="Times New Roman"/>
          <w:sz w:val="20"/>
          <w:szCs w:val="20"/>
        </w:rPr>
      </w:pPr>
    </w:p>
    <w:p w14:paraId="0BC978E6" w14:textId="77777777" w:rsidR="009F0928" w:rsidRDefault="002112BD">
      <w:pPr>
        <w:spacing w:line="288" w:lineRule="auto"/>
        <w:ind w:firstLine="580"/>
        <w:jc w:val="both"/>
        <w:rPr>
          <w:rFonts w:ascii="Times New Roman" w:hAnsi="Times New Roman"/>
          <w:sz w:val="20"/>
          <w:szCs w:val="20"/>
        </w:rPr>
      </w:pPr>
      <w:r>
        <w:rPr>
          <w:rFonts w:ascii="Arial" w:eastAsia="宋体" w:hAnsi="Arial" w:cs="Arial"/>
          <w:sz w:val="20"/>
          <w:szCs w:val="20"/>
        </w:rPr>
        <w:t>Further, we are indirectly subject to pa</w:t>
      </w:r>
      <w:r>
        <w:rPr>
          <w:rFonts w:ascii="Arial" w:eastAsia="宋体" w:hAnsi="Arial" w:cs="Arial"/>
          <w:sz w:val="20"/>
          <w:szCs w:val="20"/>
        </w:rPr>
        <w:t>yment card association operating rules and certification requirements pursuant to agreements with our third-party payment processors. These rules and requirements, including the Payment Card Industry Data Security Standard and rules governing electronic fu</w:t>
      </w:r>
      <w:r>
        <w:rPr>
          <w:rFonts w:ascii="Arial" w:eastAsia="宋体" w:hAnsi="Arial" w:cs="Arial"/>
          <w:sz w:val="20"/>
          <w:szCs w:val="20"/>
        </w:rPr>
        <w:t>nds transfers, are subject to change or reinterpretation, making it difficult for us to comply. Any failure to comply with these rules and certification requirements could impact our ability to meet our contractual obligations to our third-party payment pr</w:t>
      </w:r>
      <w:r>
        <w:rPr>
          <w:rFonts w:ascii="Arial" w:eastAsia="宋体" w:hAnsi="Arial" w:cs="Arial"/>
          <w:sz w:val="20"/>
          <w:szCs w:val="20"/>
        </w:rPr>
        <w:t>ocessors and could result in potential fines. In addition, changes in these rules and requirements, including any change in our designation by major payment card providers, could require a change in our business operations and could result in limitations o</w:t>
      </w:r>
      <w:r>
        <w:rPr>
          <w:rFonts w:ascii="Arial" w:eastAsia="宋体" w:hAnsi="Arial" w:cs="Arial"/>
          <w:sz w:val="20"/>
          <w:szCs w:val="20"/>
        </w:rPr>
        <w:t>n or loss of our ability to accept payment cards, any of which could negatively impact our business. Such changes could also increase our costs of compliance, which could lead to increased fees for us or our sellers and adversely affect payments on our pla</w:t>
      </w:r>
      <w:r>
        <w:rPr>
          <w:rFonts w:ascii="Arial" w:eastAsia="宋体" w:hAnsi="Arial" w:cs="Arial"/>
          <w:sz w:val="20"/>
          <w:szCs w:val="20"/>
        </w:rPr>
        <w:t>tform or usage of our payments services and marketplaces.</w:t>
      </w:r>
    </w:p>
    <w:p w14:paraId="0BC978E7" w14:textId="77777777" w:rsidR="009F0928" w:rsidRDefault="009F0928">
      <w:pPr>
        <w:spacing w:line="288" w:lineRule="auto"/>
        <w:ind w:firstLine="600"/>
        <w:jc w:val="both"/>
        <w:rPr>
          <w:rFonts w:ascii="Times New Roman" w:hAnsi="Times New Roman"/>
          <w:sz w:val="20"/>
          <w:szCs w:val="20"/>
        </w:rPr>
      </w:pPr>
    </w:p>
    <w:p w14:paraId="0BC978E8"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We may be unable to adequately protect or enforce our intellectual property rights and face ongoing risks from patent litigation and allegations by third parties that we are infringing their intell</w:t>
      </w:r>
      <w:r>
        <w:rPr>
          <w:rFonts w:ascii="Arial" w:eastAsia="宋体" w:hAnsi="Arial" w:cs="Arial"/>
          <w:i/>
          <w:iCs/>
          <w:sz w:val="20"/>
          <w:szCs w:val="20"/>
        </w:rPr>
        <w:t xml:space="preserve">ectual property rights. </w:t>
      </w:r>
    </w:p>
    <w:p w14:paraId="0BC978E9" w14:textId="77777777" w:rsidR="009F0928" w:rsidRDefault="009F0928">
      <w:pPr>
        <w:spacing w:line="288" w:lineRule="auto"/>
        <w:ind w:firstLine="600"/>
        <w:jc w:val="both"/>
        <w:rPr>
          <w:rFonts w:ascii="Times New Roman" w:hAnsi="Times New Roman"/>
          <w:sz w:val="20"/>
          <w:szCs w:val="20"/>
        </w:rPr>
      </w:pPr>
    </w:p>
    <w:p w14:paraId="0BC978EA"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believe the protection of our intellectual property, including our trademarks, patents, copyrights, domain names, trade dress, and trade secrets, is critical to our success. We seek to protect our intellectual property rights b</w:t>
      </w:r>
      <w:r>
        <w:rPr>
          <w:rFonts w:ascii="Arial" w:eastAsia="宋体" w:hAnsi="Arial" w:cs="Arial"/>
          <w:sz w:val="20"/>
          <w:szCs w:val="20"/>
        </w:rPr>
        <w:t>y relying on applicable laws and regulations in the United States and internationally, as well as a variety of administrative procedures. We also rely on contractual restrictions to protect our proprietary rights when offering or procuring products and ser</w:t>
      </w:r>
      <w:r>
        <w:rPr>
          <w:rFonts w:ascii="Arial" w:eastAsia="宋体" w:hAnsi="Arial" w:cs="Arial"/>
          <w:sz w:val="20"/>
          <w:szCs w:val="20"/>
        </w:rPr>
        <w:t>vices, including confidentiality and invention assignment agreements entered into with our employees and contractors and confidentiality agreements with parties with whom we conduct business.</w:t>
      </w:r>
    </w:p>
    <w:p w14:paraId="0BC978EB" w14:textId="77777777" w:rsidR="009F0928" w:rsidRDefault="009F0928">
      <w:pPr>
        <w:spacing w:line="288" w:lineRule="auto"/>
        <w:ind w:firstLine="600"/>
        <w:jc w:val="both"/>
        <w:rPr>
          <w:rFonts w:ascii="Times New Roman" w:hAnsi="Times New Roman"/>
          <w:sz w:val="20"/>
          <w:szCs w:val="20"/>
        </w:rPr>
      </w:pPr>
    </w:p>
    <w:p w14:paraId="0BC978EC"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However, effective intellectual property protection may not be </w:t>
      </w:r>
      <w:r>
        <w:rPr>
          <w:rFonts w:ascii="Arial" w:eastAsia="宋体" w:hAnsi="Arial" w:cs="Arial"/>
          <w:sz w:val="20"/>
          <w:szCs w:val="20"/>
        </w:rPr>
        <w:t>available in every country in which our products and services are made available, and contractual arrangements and other steps we have taken to protect our intellectual property may not prevent third parties from infringing or misappropriating our intellec</w:t>
      </w:r>
      <w:r>
        <w:rPr>
          <w:rFonts w:ascii="Arial" w:eastAsia="宋体" w:hAnsi="Arial" w:cs="Arial"/>
          <w:sz w:val="20"/>
          <w:szCs w:val="20"/>
        </w:rPr>
        <w:t>tual property or deter independent development of equivalent or superior intellectual property rights by others. Trademark, copyright, patent, domain name, trade dress and trade secret protection is very expensive to maintain and may require litigation. We</w:t>
      </w:r>
      <w:r>
        <w:rPr>
          <w:rFonts w:ascii="Arial" w:eastAsia="宋体" w:hAnsi="Arial" w:cs="Arial"/>
          <w:sz w:val="20"/>
          <w:szCs w:val="20"/>
        </w:rPr>
        <w:t xml:space="preserve"> must protect our intellectual property rights and other proprietary rights in an increasing number of jurisdictions, a process that is expensive and time consuming and may not be successful in every jurisdiction. Also, we may not be able to discover or de</w:t>
      </w:r>
      <w:r>
        <w:rPr>
          <w:rFonts w:ascii="Arial" w:eastAsia="宋体" w:hAnsi="Arial" w:cs="Arial"/>
          <w:sz w:val="20"/>
          <w:szCs w:val="20"/>
        </w:rPr>
        <w:t>termine the extent of any unauthorized use of our proprietary rights. We have licensed in the past, and expect to license in the future, certain of our proprietary rights, such as trademarks or copyrighted material, to others. These licensees may take acti</w:t>
      </w:r>
      <w:r>
        <w:rPr>
          <w:rFonts w:ascii="Arial" w:eastAsia="宋体" w:hAnsi="Arial" w:cs="Arial"/>
          <w:sz w:val="20"/>
          <w:szCs w:val="20"/>
        </w:rPr>
        <w:t>ons that diminish the value of our proprietary rights or harm our reputation. Any failure to adequately protect or enforce our intellectual property rights, or significant costs incurred in doing so, could materially harm our business.</w:t>
      </w:r>
    </w:p>
    <w:p w14:paraId="0BC978ED" w14:textId="77777777" w:rsidR="009F0928" w:rsidRDefault="009F0928">
      <w:pPr>
        <w:spacing w:line="288" w:lineRule="auto"/>
        <w:ind w:firstLine="600"/>
        <w:jc w:val="both"/>
        <w:rPr>
          <w:rFonts w:ascii="Times New Roman" w:hAnsi="Times New Roman"/>
          <w:sz w:val="20"/>
          <w:szCs w:val="20"/>
        </w:rPr>
      </w:pPr>
    </w:p>
    <w:p w14:paraId="0BC978EE" w14:textId="77777777" w:rsidR="009F0928" w:rsidRDefault="009F0928">
      <w:pPr>
        <w:rPr>
          <w:rFonts w:ascii="Times New Roman" w:hAnsi="Times New Roman"/>
          <w:sz w:val="20"/>
          <w:szCs w:val="20"/>
        </w:rPr>
      </w:pPr>
    </w:p>
    <w:p w14:paraId="0BC978EF"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20</w:t>
      </w:r>
    </w:p>
    <w:p w14:paraId="0BC978F0" w14:textId="77777777" w:rsidR="009F0928" w:rsidRDefault="002112BD">
      <w:r>
        <w:rPr>
          <w:rFonts w:ascii="Times New Roman" w:hAnsi="Times New Roman"/>
          <w:sz w:val="18"/>
          <w:szCs w:val="18"/>
        </w:rPr>
        <w:pict w14:anchorId="0BC9B4CF">
          <v:rect id="_x0000_i1045" style="width:415.3pt;height:1.5pt" o:hralign="center" o:hrstd="t" o:hr="t" fillcolor="#a0a0a0" stroked="f"/>
        </w:pict>
      </w:r>
    </w:p>
    <w:p w14:paraId="0BC978F1" w14:textId="77777777" w:rsidR="009F0928" w:rsidRDefault="009F0928">
      <w:pPr>
        <w:spacing w:line="288" w:lineRule="auto"/>
        <w:rPr>
          <w:rFonts w:ascii="Times New Roman" w:hAnsi="Times New Roman"/>
          <w:sz w:val="20"/>
          <w:szCs w:val="20"/>
        </w:rPr>
      </w:pPr>
    </w:p>
    <w:p w14:paraId="0BC978F2" w14:textId="77777777" w:rsidR="009F0928" w:rsidRDefault="009F0928">
      <w:pPr>
        <w:rPr>
          <w:rFonts w:ascii="Times New Roman" w:hAnsi="Times New Roman"/>
          <w:sz w:val="20"/>
          <w:szCs w:val="20"/>
        </w:rPr>
      </w:pPr>
    </w:p>
    <w:p w14:paraId="0BC978F3" w14:textId="77777777" w:rsidR="009F0928" w:rsidRDefault="002112BD">
      <w:pPr>
        <w:spacing w:line="288" w:lineRule="auto"/>
        <w:ind w:firstLine="580"/>
        <w:jc w:val="both"/>
        <w:rPr>
          <w:rFonts w:ascii="Times New Roman" w:hAnsi="Times New Roman"/>
          <w:sz w:val="20"/>
          <w:szCs w:val="20"/>
        </w:rPr>
      </w:pPr>
      <w:r>
        <w:rPr>
          <w:rFonts w:ascii="Arial" w:eastAsia="宋体" w:hAnsi="Arial" w:cs="Arial"/>
          <w:sz w:val="20"/>
          <w:szCs w:val="20"/>
        </w:rPr>
        <w:t>Additionall</w:t>
      </w:r>
      <w:r>
        <w:rPr>
          <w:rFonts w:ascii="Arial" w:eastAsia="宋体" w:hAnsi="Arial" w:cs="Arial"/>
          <w:sz w:val="20"/>
          <w:szCs w:val="20"/>
        </w:rPr>
        <w:t>y, we have repeatedly been sued for allegedly infringing other parties’ patents. We are a defendant in a number of patent suits and have been notified of several other potential patent disputes. We expect that we will increasingly be subject to patent infr</w:t>
      </w:r>
      <w:r>
        <w:rPr>
          <w:rFonts w:ascii="Arial" w:eastAsia="宋体" w:hAnsi="Arial" w:cs="Arial"/>
          <w:sz w:val="20"/>
          <w:szCs w:val="20"/>
        </w:rPr>
        <w:t>ingement claims because, among other reasons:</w:t>
      </w:r>
    </w:p>
    <w:p w14:paraId="0BC978F4" w14:textId="77777777" w:rsidR="009F0928" w:rsidRDefault="009F0928">
      <w:pPr>
        <w:spacing w:line="288" w:lineRule="auto"/>
        <w:ind w:firstLine="58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540"/>
        <w:gridCol w:w="6282"/>
      </w:tblGrid>
      <w:tr w:rsidR="009F0928" w14:paraId="0BC978F7" w14:textId="77777777">
        <w:trPr>
          <w:tblCellSpacing w:w="0" w:type="dxa"/>
        </w:trPr>
        <w:tc>
          <w:tcPr>
            <w:tcW w:w="1540" w:type="dxa"/>
            <w:shd w:val="clear" w:color="auto" w:fill="auto"/>
            <w:vAlign w:val="center"/>
          </w:tcPr>
          <w:p w14:paraId="0BC978F5" w14:textId="77777777" w:rsidR="009F0928" w:rsidRDefault="009F0928">
            <w:pPr>
              <w:rPr>
                <w:rFonts w:ascii="Times New Roman" w:hAnsi="Times New Roman"/>
                <w:sz w:val="20"/>
                <w:szCs w:val="20"/>
              </w:rPr>
            </w:pPr>
          </w:p>
        </w:tc>
        <w:tc>
          <w:tcPr>
            <w:tcW w:w="0" w:type="auto"/>
            <w:shd w:val="clear" w:color="auto" w:fill="auto"/>
            <w:vAlign w:val="center"/>
          </w:tcPr>
          <w:p w14:paraId="0BC978F6" w14:textId="77777777" w:rsidR="009F0928" w:rsidRDefault="009F0928">
            <w:pPr>
              <w:rPr>
                <w:rFonts w:ascii="Times New Roman" w:hAnsi="Times New Roman"/>
                <w:sz w:val="20"/>
                <w:szCs w:val="20"/>
              </w:rPr>
            </w:pPr>
          </w:p>
        </w:tc>
      </w:tr>
      <w:tr w:rsidR="009F0928" w14:paraId="0BC978FA" w14:textId="77777777">
        <w:trPr>
          <w:tblCellSpacing w:w="0" w:type="dxa"/>
        </w:trPr>
        <w:tc>
          <w:tcPr>
            <w:tcW w:w="0" w:type="auto"/>
            <w:shd w:val="clear" w:color="auto" w:fill="auto"/>
          </w:tcPr>
          <w:p w14:paraId="0BC978F8" w14:textId="77777777" w:rsidR="009F0928" w:rsidRDefault="002112B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0BC978F9"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our products and services continue to expand in scope and complexity;</w:t>
            </w:r>
          </w:p>
        </w:tc>
      </w:tr>
    </w:tbl>
    <w:p w14:paraId="0BC978FB"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1540"/>
        <w:gridCol w:w="6766"/>
      </w:tblGrid>
      <w:tr w:rsidR="009F0928" w14:paraId="0BC978FE" w14:textId="77777777">
        <w:trPr>
          <w:tblCellSpacing w:w="0" w:type="dxa"/>
        </w:trPr>
        <w:tc>
          <w:tcPr>
            <w:tcW w:w="1540" w:type="dxa"/>
            <w:shd w:val="clear" w:color="auto" w:fill="auto"/>
            <w:vAlign w:val="center"/>
          </w:tcPr>
          <w:p w14:paraId="0BC978FC" w14:textId="77777777" w:rsidR="009F0928" w:rsidRDefault="009F0928">
            <w:pPr>
              <w:rPr>
                <w:rFonts w:ascii="Times New Roman" w:hAnsi="Times New Roman"/>
                <w:sz w:val="20"/>
                <w:szCs w:val="20"/>
              </w:rPr>
            </w:pPr>
          </w:p>
        </w:tc>
        <w:tc>
          <w:tcPr>
            <w:tcW w:w="0" w:type="auto"/>
            <w:shd w:val="clear" w:color="auto" w:fill="auto"/>
            <w:vAlign w:val="center"/>
          </w:tcPr>
          <w:p w14:paraId="0BC978FD" w14:textId="77777777" w:rsidR="009F0928" w:rsidRDefault="009F0928">
            <w:pPr>
              <w:rPr>
                <w:rFonts w:ascii="Times New Roman" w:hAnsi="Times New Roman"/>
                <w:sz w:val="20"/>
                <w:szCs w:val="20"/>
              </w:rPr>
            </w:pPr>
          </w:p>
        </w:tc>
      </w:tr>
      <w:tr w:rsidR="009F0928" w14:paraId="0BC97901" w14:textId="77777777">
        <w:trPr>
          <w:tblCellSpacing w:w="0" w:type="dxa"/>
        </w:trPr>
        <w:tc>
          <w:tcPr>
            <w:tcW w:w="0" w:type="auto"/>
            <w:shd w:val="clear" w:color="auto" w:fill="auto"/>
          </w:tcPr>
          <w:p w14:paraId="0BC978FF" w14:textId="77777777" w:rsidR="009F0928" w:rsidRDefault="002112B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0BC97900"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we continue to expand into new businesses, including through acquisitions and licenses; and</w:t>
            </w:r>
          </w:p>
        </w:tc>
      </w:tr>
    </w:tbl>
    <w:p w14:paraId="0BC97902"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1540"/>
        <w:gridCol w:w="6766"/>
      </w:tblGrid>
      <w:tr w:rsidR="009F0928" w14:paraId="0BC97905" w14:textId="77777777">
        <w:trPr>
          <w:tblCellSpacing w:w="0" w:type="dxa"/>
        </w:trPr>
        <w:tc>
          <w:tcPr>
            <w:tcW w:w="1540" w:type="dxa"/>
            <w:shd w:val="clear" w:color="auto" w:fill="auto"/>
            <w:vAlign w:val="center"/>
          </w:tcPr>
          <w:p w14:paraId="0BC97903" w14:textId="77777777" w:rsidR="009F0928" w:rsidRDefault="009F0928">
            <w:pPr>
              <w:rPr>
                <w:rFonts w:ascii="Times New Roman" w:hAnsi="Times New Roman"/>
                <w:sz w:val="20"/>
                <w:szCs w:val="20"/>
              </w:rPr>
            </w:pPr>
          </w:p>
        </w:tc>
        <w:tc>
          <w:tcPr>
            <w:tcW w:w="0" w:type="auto"/>
            <w:shd w:val="clear" w:color="auto" w:fill="auto"/>
            <w:vAlign w:val="center"/>
          </w:tcPr>
          <w:p w14:paraId="0BC97904" w14:textId="77777777" w:rsidR="009F0928" w:rsidRDefault="009F0928">
            <w:pPr>
              <w:rPr>
                <w:rFonts w:ascii="Times New Roman" w:hAnsi="Times New Roman"/>
                <w:sz w:val="20"/>
                <w:szCs w:val="20"/>
              </w:rPr>
            </w:pPr>
          </w:p>
        </w:tc>
      </w:tr>
      <w:tr w:rsidR="009F0928" w14:paraId="0BC97908" w14:textId="77777777">
        <w:trPr>
          <w:tblCellSpacing w:w="0" w:type="dxa"/>
        </w:trPr>
        <w:tc>
          <w:tcPr>
            <w:tcW w:w="0" w:type="auto"/>
            <w:shd w:val="clear" w:color="auto" w:fill="auto"/>
          </w:tcPr>
          <w:p w14:paraId="0BC97906" w14:textId="77777777" w:rsidR="009F0928" w:rsidRDefault="002112BD">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0BC97907"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universe of patent </w:t>
            </w:r>
            <w:r>
              <w:rPr>
                <w:rFonts w:ascii="Arial" w:eastAsia="宋体" w:hAnsi="Arial" w:cs="Arial"/>
                <w:sz w:val="20"/>
                <w:szCs w:val="20"/>
              </w:rPr>
              <w:t>owners who may claim that we, any of the companies that we have acquired, or our customers infringe their patents, and the aggregate number of patents controlled by such patent owners, continues to increase.</w:t>
            </w:r>
          </w:p>
        </w:tc>
      </w:tr>
    </w:tbl>
    <w:p w14:paraId="0BC97909" w14:textId="77777777" w:rsidR="009F0928" w:rsidRDefault="009F0928">
      <w:pPr>
        <w:spacing w:line="288" w:lineRule="auto"/>
        <w:ind w:firstLine="600"/>
        <w:jc w:val="both"/>
        <w:rPr>
          <w:rFonts w:ascii="Times New Roman" w:hAnsi="Times New Roman"/>
          <w:sz w:val="20"/>
          <w:szCs w:val="20"/>
        </w:rPr>
      </w:pPr>
    </w:p>
    <w:p w14:paraId="0BC9790A"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As the number of patent owners and </w:t>
      </w:r>
      <w:r>
        <w:rPr>
          <w:rFonts w:ascii="Arial" w:eastAsia="宋体" w:hAnsi="Arial" w:cs="Arial"/>
          <w:sz w:val="20"/>
          <w:szCs w:val="20"/>
        </w:rPr>
        <w:t>products in the software industry increases and the functionality of these products further overlap, and as we acquire technology through acquisitions or licenses, litigation may be necessary to determine the validity and scope of the intellectual property</w:t>
      </w:r>
      <w:r>
        <w:rPr>
          <w:rFonts w:ascii="Arial" w:eastAsia="宋体" w:hAnsi="Arial" w:cs="Arial"/>
          <w:sz w:val="20"/>
          <w:szCs w:val="20"/>
        </w:rPr>
        <w:t xml:space="preserve"> rights of others and we may become increasingly subject to patent suits and other infringement claims, including copyright, and trademark infringement claims. Such claims may be brought directly against us and/or against our customers whom we may indemnif</w:t>
      </w:r>
      <w:r>
        <w:rPr>
          <w:rFonts w:ascii="Arial" w:eastAsia="宋体" w:hAnsi="Arial" w:cs="Arial"/>
          <w:sz w:val="20"/>
          <w:szCs w:val="20"/>
        </w:rPr>
        <w:t>y either because we are contractually obligated to do so or we choose to do so as a business matter. We believe that an increasing number of these claims against us and other technology companies have been, and continue to be, initiated by third parties wh</w:t>
      </w:r>
      <w:r>
        <w:rPr>
          <w:rFonts w:ascii="Arial" w:eastAsia="宋体" w:hAnsi="Arial" w:cs="Arial"/>
          <w:sz w:val="20"/>
          <w:szCs w:val="20"/>
        </w:rPr>
        <w:t>ose sole or primary business is to assert such claims. In addition, we have seen significant patent disputes between operating companies in some technology industries. Patent claims, whether meritorious or not, are time-consuming and costly to defend and r</w:t>
      </w:r>
      <w:r>
        <w:rPr>
          <w:rFonts w:ascii="Arial" w:eastAsia="宋体" w:hAnsi="Arial" w:cs="Arial"/>
          <w:sz w:val="20"/>
          <w:szCs w:val="20"/>
        </w:rPr>
        <w:t xml:space="preserve">esolve, and could require us to make expensive changes in our methods of doing business, enter into costly royalty or licensing agreements, make substantial payments to satisfy adverse judgments or settle claims or proceedings, or cease conducting certain </w:t>
      </w:r>
      <w:r>
        <w:rPr>
          <w:rFonts w:ascii="Arial" w:eastAsia="宋体" w:hAnsi="Arial" w:cs="Arial"/>
          <w:sz w:val="20"/>
          <w:szCs w:val="20"/>
        </w:rPr>
        <w:t>operations, which would harm our business</w:t>
      </w:r>
    </w:p>
    <w:p w14:paraId="0BC9790B" w14:textId="77777777" w:rsidR="009F0928" w:rsidRDefault="009F0928">
      <w:pPr>
        <w:spacing w:line="288" w:lineRule="auto"/>
        <w:ind w:firstLine="600"/>
        <w:jc w:val="both"/>
        <w:rPr>
          <w:rFonts w:ascii="Times New Roman" w:hAnsi="Times New Roman"/>
          <w:sz w:val="20"/>
          <w:szCs w:val="20"/>
        </w:rPr>
      </w:pPr>
    </w:p>
    <w:p w14:paraId="0BC9790C"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The ultimate outcome of any allegation or litigation is uncertain and, regardless of the outcome, any of the claims described above, with or without merit, may be time-consuming, result in costly litigation, diver</w:t>
      </w:r>
      <w:r>
        <w:rPr>
          <w:rFonts w:ascii="Arial" w:eastAsia="宋体" w:hAnsi="Arial" w:cs="Arial"/>
          <w:sz w:val="20"/>
          <w:szCs w:val="20"/>
        </w:rPr>
        <w:t>t management’s time and attention from our business, require us to stop selling, delay roll-out, or redesign our products, or require us to pay substantial amounts to satisfy judgments or settle claims or lawsuits or to pay substantial royalty or licensing</w:t>
      </w:r>
      <w:r>
        <w:rPr>
          <w:rFonts w:ascii="Arial" w:eastAsia="宋体" w:hAnsi="Arial" w:cs="Arial"/>
          <w:sz w:val="20"/>
          <w:szCs w:val="20"/>
        </w:rPr>
        <w:t xml:space="preserve"> fees, or to satisfy indemnification obligations that we have with some of our customers. Our failure to obtain necessary license or other rights, or litigation or claims arising out of intellectual property matters, may harm our business.</w:t>
      </w:r>
    </w:p>
    <w:p w14:paraId="0BC9790D" w14:textId="77777777" w:rsidR="009F0928" w:rsidRDefault="009F0928">
      <w:pPr>
        <w:spacing w:line="288" w:lineRule="auto"/>
        <w:jc w:val="both"/>
        <w:rPr>
          <w:rFonts w:ascii="Times New Roman" w:hAnsi="Times New Roman"/>
          <w:sz w:val="20"/>
          <w:szCs w:val="20"/>
        </w:rPr>
      </w:pPr>
    </w:p>
    <w:p w14:paraId="0BC9790E"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Failure to deal</w:t>
      </w:r>
      <w:r>
        <w:rPr>
          <w:rFonts w:ascii="Arial" w:eastAsia="宋体" w:hAnsi="Arial" w:cs="Arial"/>
          <w:i/>
          <w:iCs/>
          <w:sz w:val="20"/>
          <w:szCs w:val="20"/>
        </w:rPr>
        <w:t xml:space="preserve"> effectively with fraudulent activities on our platforms would increase our loss rate and harm our business, and could severely diminish merchant and consumer confidence in and use of our services.</w:t>
      </w:r>
    </w:p>
    <w:p w14:paraId="0BC9790F" w14:textId="77777777" w:rsidR="009F0928" w:rsidRDefault="009F0928">
      <w:pPr>
        <w:spacing w:line="288" w:lineRule="auto"/>
        <w:ind w:firstLine="600"/>
        <w:jc w:val="both"/>
        <w:rPr>
          <w:rFonts w:ascii="Times New Roman" w:hAnsi="Times New Roman"/>
          <w:sz w:val="20"/>
          <w:szCs w:val="20"/>
        </w:rPr>
      </w:pPr>
    </w:p>
    <w:p w14:paraId="0BC97910"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face risks with respect to fraudulent activities on ou</w:t>
      </w:r>
      <w:r>
        <w:rPr>
          <w:rFonts w:ascii="Arial" w:eastAsia="宋体" w:hAnsi="Arial" w:cs="Arial"/>
          <w:sz w:val="20"/>
          <w:szCs w:val="20"/>
        </w:rPr>
        <w:t>r platforms and periodically receive complaints from buyers and sellers who may not have received the goods that they had contracted to purchase or payment for the goods that a buyer had contracted to purchase. In some European and Asian jurisdictions, buy</w:t>
      </w:r>
      <w:r>
        <w:rPr>
          <w:rFonts w:ascii="Arial" w:eastAsia="宋体" w:hAnsi="Arial" w:cs="Arial"/>
          <w:sz w:val="20"/>
          <w:szCs w:val="20"/>
        </w:rPr>
        <w:t>ers may also have the right to withdraw from a sale made by a professional seller within a specified time period. While we can, in some cases, suspend the accounts of users who fail to fulfill their payment or delivery obligations to other users, we do not</w:t>
      </w:r>
      <w:r>
        <w:rPr>
          <w:rFonts w:ascii="Arial" w:eastAsia="宋体" w:hAnsi="Arial" w:cs="Arial"/>
          <w:sz w:val="20"/>
          <w:szCs w:val="20"/>
        </w:rPr>
        <w:t xml:space="preserve"> have the ability to require users to make payment or deliver goods, or otherwise make users whole other than through our buyer protection program, which in the United States we refer to as the eBay Money Back Guarantee, or as we roll out our new payments </w:t>
      </w:r>
      <w:r>
        <w:rPr>
          <w:rFonts w:ascii="Arial" w:eastAsia="宋体" w:hAnsi="Arial" w:cs="Arial"/>
          <w:sz w:val="20"/>
          <w:szCs w:val="20"/>
        </w:rPr>
        <w:t>capabilities, by compensating our sellers for fraudulent payments. Although we have implemented measures to detect and reduce the occurrence of fraudulent activities, combat bad buyer experiences and increase buyer satisfaction, including evaluating seller</w:t>
      </w:r>
      <w:r>
        <w:rPr>
          <w:rFonts w:ascii="Arial" w:eastAsia="宋体" w:hAnsi="Arial" w:cs="Arial"/>
          <w:sz w:val="20"/>
          <w:szCs w:val="20"/>
        </w:rPr>
        <w:t>s on the basis of their transaction history and restricting or suspending their activity, there can be no assurance that these measures will be effective in combating fraudulent transactions or improving overall satisfaction among sellers, buyers, and othe</w:t>
      </w:r>
      <w:r>
        <w:rPr>
          <w:rFonts w:ascii="Arial" w:eastAsia="宋体" w:hAnsi="Arial" w:cs="Arial"/>
          <w:sz w:val="20"/>
          <w:szCs w:val="20"/>
        </w:rPr>
        <w:t>r participants. Additional measures to address fraud could negatively affect the attractiveness of our services to buyers or sellers, resulting in a reduction in the ability to attract new users or retain current users, damage to our reputation, or a dimin</w:t>
      </w:r>
      <w:r>
        <w:rPr>
          <w:rFonts w:ascii="Arial" w:eastAsia="宋体" w:hAnsi="Arial" w:cs="Arial"/>
          <w:sz w:val="20"/>
          <w:szCs w:val="20"/>
        </w:rPr>
        <w:t>ution in the value of our brand names.</w:t>
      </w:r>
    </w:p>
    <w:p w14:paraId="0BC97911" w14:textId="77777777" w:rsidR="009F0928" w:rsidRDefault="009F0928">
      <w:pPr>
        <w:spacing w:line="288" w:lineRule="auto"/>
        <w:ind w:firstLine="600"/>
        <w:jc w:val="both"/>
        <w:rPr>
          <w:rFonts w:ascii="Times New Roman" w:hAnsi="Times New Roman"/>
          <w:sz w:val="20"/>
          <w:szCs w:val="20"/>
        </w:rPr>
      </w:pPr>
    </w:p>
    <w:p w14:paraId="0BC97912"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We have substantial indebtedness, and we may incur substantial additional indebtedness in the future, and we may not generate sufficient cash flow from our business to service our indebtedness. Failure to comply with</w:t>
      </w:r>
      <w:r>
        <w:rPr>
          <w:rFonts w:ascii="Arial" w:eastAsia="宋体" w:hAnsi="Arial" w:cs="Arial"/>
          <w:i/>
          <w:iCs/>
          <w:sz w:val="20"/>
          <w:szCs w:val="20"/>
        </w:rPr>
        <w:t xml:space="preserve"> the terms of our indebtedness could result in the acceleration of our indebtedness, which could have an adverse effect on our cash flow and liquidity.</w:t>
      </w:r>
    </w:p>
    <w:p w14:paraId="0BC97913" w14:textId="77777777" w:rsidR="009F0928" w:rsidRDefault="009F0928">
      <w:pPr>
        <w:spacing w:line="288" w:lineRule="auto"/>
        <w:ind w:firstLine="600"/>
        <w:jc w:val="both"/>
        <w:rPr>
          <w:rFonts w:ascii="Times New Roman" w:hAnsi="Times New Roman"/>
          <w:sz w:val="20"/>
          <w:szCs w:val="20"/>
        </w:rPr>
      </w:pPr>
    </w:p>
    <w:p w14:paraId="0BC97914"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have a substantial amount of outstanding indebtedness and we may incur substantial additional indebt</w:t>
      </w:r>
      <w:r>
        <w:rPr>
          <w:rFonts w:ascii="Arial" w:eastAsia="宋体" w:hAnsi="Arial" w:cs="Arial"/>
          <w:sz w:val="20"/>
          <w:szCs w:val="20"/>
        </w:rPr>
        <w:t>edness in the future, including under our commercial paper program and revolving credit facility or through public or private offerings of debt securities. Our outstanding indebtedness and any additional indebtedness we incur may have significant consequen</w:t>
      </w:r>
      <w:r>
        <w:rPr>
          <w:rFonts w:ascii="Arial" w:eastAsia="宋体" w:hAnsi="Arial" w:cs="Arial"/>
          <w:sz w:val="20"/>
          <w:szCs w:val="20"/>
        </w:rPr>
        <w:t>ces, including, without limitation, any of the following:</w:t>
      </w:r>
    </w:p>
    <w:p w14:paraId="0BC97915" w14:textId="77777777" w:rsidR="009F0928" w:rsidRDefault="009F0928">
      <w:pPr>
        <w:rPr>
          <w:rFonts w:ascii="Times New Roman" w:hAnsi="Times New Roman"/>
          <w:sz w:val="20"/>
          <w:szCs w:val="20"/>
        </w:rPr>
      </w:pPr>
    </w:p>
    <w:p w14:paraId="0BC97916"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21</w:t>
      </w:r>
    </w:p>
    <w:p w14:paraId="0BC97917" w14:textId="77777777" w:rsidR="009F0928" w:rsidRDefault="002112BD">
      <w:r>
        <w:rPr>
          <w:rFonts w:ascii="Times New Roman" w:hAnsi="Times New Roman"/>
          <w:sz w:val="18"/>
          <w:szCs w:val="18"/>
        </w:rPr>
        <w:pict w14:anchorId="0BC9B4D0">
          <v:rect id="_x0000_i1046" style="width:415.3pt;height:1.5pt" o:hralign="center" o:hrstd="t" o:hr="t" fillcolor="#a0a0a0" stroked="f"/>
        </w:pict>
      </w:r>
    </w:p>
    <w:p w14:paraId="0BC97918" w14:textId="77777777" w:rsidR="009F0928" w:rsidRDefault="009F0928">
      <w:pPr>
        <w:spacing w:line="288" w:lineRule="auto"/>
        <w:rPr>
          <w:rFonts w:ascii="Times New Roman" w:hAnsi="Times New Roman"/>
          <w:sz w:val="20"/>
          <w:szCs w:val="20"/>
        </w:rPr>
      </w:pPr>
    </w:p>
    <w:p w14:paraId="0BC97919" w14:textId="77777777" w:rsidR="009F0928" w:rsidRDefault="009F0928">
      <w:pPr>
        <w:rPr>
          <w:rFonts w:ascii="Times New Roman" w:hAnsi="Times New Roman"/>
          <w:sz w:val="20"/>
          <w:szCs w:val="20"/>
        </w:rPr>
      </w:pPr>
    </w:p>
    <w:p w14:paraId="0BC9791A" w14:textId="77777777" w:rsidR="009F0928" w:rsidRDefault="002112BD">
      <w:pPr>
        <w:spacing w:line="288" w:lineRule="auto"/>
        <w:ind w:firstLine="960"/>
        <w:jc w:val="both"/>
        <w:rPr>
          <w:rFonts w:ascii="Times New Roman" w:hAnsi="Times New Roman"/>
          <w:sz w:val="20"/>
          <w:szCs w:val="20"/>
        </w:rPr>
      </w:pPr>
      <w:r>
        <w:rPr>
          <w:rFonts w:ascii="Arial" w:eastAsia="宋体" w:hAnsi="Arial" w:cs="Arial"/>
          <w:sz w:val="20"/>
          <w:szCs w:val="20"/>
        </w:rPr>
        <w:t>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91D" w14:textId="77777777">
        <w:trPr>
          <w:tblCellSpacing w:w="0" w:type="dxa"/>
        </w:trPr>
        <w:tc>
          <w:tcPr>
            <w:tcW w:w="960" w:type="dxa"/>
            <w:shd w:val="clear" w:color="auto" w:fill="auto"/>
            <w:vAlign w:val="center"/>
          </w:tcPr>
          <w:p w14:paraId="0BC9791B" w14:textId="77777777" w:rsidR="009F0928" w:rsidRDefault="009F0928">
            <w:pPr>
              <w:rPr>
                <w:rFonts w:ascii="Times New Roman" w:hAnsi="Times New Roman"/>
                <w:sz w:val="20"/>
                <w:szCs w:val="20"/>
              </w:rPr>
            </w:pPr>
          </w:p>
        </w:tc>
        <w:tc>
          <w:tcPr>
            <w:tcW w:w="0" w:type="auto"/>
            <w:shd w:val="clear" w:color="auto" w:fill="auto"/>
            <w:vAlign w:val="center"/>
          </w:tcPr>
          <w:p w14:paraId="0BC9791C" w14:textId="77777777" w:rsidR="009F0928" w:rsidRDefault="009F0928">
            <w:pPr>
              <w:rPr>
                <w:rFonts w:ascii="Times New Roman" w:hAnsi="Times New Roman"/>
                <w:sz w:val="20"/>
                <w:szCs w:val="20"/>
              </w:rPr>
            </w:pPr>
          </w:p>
        </w:tc>
      </w:tr>
      <w:tr w:rsidR="009F0928" w14:paraId="0BC97920" w14:textId="77777777">
        <w:trPr>
          <w:tblCellSpacing w:w="0" w:type="dxa"/>
        </w:trPr>
        <w:tc>
          <w:tcPr>
            <w:tcW w:w="0" w:type="auto"/>
            <w:shd w:val="clear" w:color="auto" w:fill="auto"/>
          </w:tcPr>
          <w:p w14:paraId="0BC9791E"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1F"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requiring us to use a significant portion of our cash flow from operations and other available cash to service our indebtedness, thereby reducing the amount of cash </w:t>
            </w:r>
            <w:r>
              <w:rPr>
                <w:rFonts w:ascii="Arial" w:eastAsia="宋体" w:hAnsi="Arial" w:cs="Arial"/>
                <w:sz w:val="20"/>
                <w:szCs w:val="20"/>
              </w:rPr>
              <w:t>available for other purposes, including capital expenditures, dividends, share repurchases, and acquisitions;</w:t>
            </w:r>
          </w:p>
        </w:tc>
      </w:tr>
    </w:tbl>
    <w:p w14:paraId="0BC97921"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924" w14:textId="77777777">
        <w:trPr>
          <w:tblCellSpacing w:w="0" w:type="dxa"/>
        </w:trPr>
        <w:tc>
          <w:tcPr>
            <w:tcW w:w="960" w:type="dxa"/>
            <w:shd w:val="clear" w:color="auto" w:fill="auto"/>
            <w:vAlign w:val="center"/>
          </w:tcPr>
          <w:p w14:paraId="0BC97922" w14:textId="77777777" w:rsidR="009F0928" w:rsidRDefault="009F0928">
            <w:pPr>
              <w:rPr>
                <w:rFonts w:ascii="Times New Roman" w:hAnsi="Times New Roman"/>
                <w:sz w:val="20"/>
                <w:szCs w:val="20"/>
              </w:rPr>
            </w:pPr>
          </w:p>
        </w:tc>
        <w:tc>
          <w:tcPr>
            <w:tcW w:w="0" w:type="auto"/>
            <w:shd w:val="clear" w:color="auto" w:fill="auto"/>
            <w:vAlign w:val="center"/>
          </w:tcPr>
          <w:p w14:paraId="0BC97923" w14:textId="77777777" w:rsidR="009F0928" w:rsidRDefault="009F0928">
            <w:pPr>
              <w:rPr>
                <w:rFonts w:ascii="Times New Roman" w:hAnsi="Times New Roman"/>
                <w:sz w:val="20"/>
                <w:szCs w:val="20"/>
              </w:rPr>
            </w:pPr>
          </w:p>
        </w:tc>
      </w:tr>
      <w:tr w:rsidR="009F0928" w14:paraId="0BC97927" w14:textId="77777777">
        <w:trPr>
          <w:tblCellSpacing w:w="0" w:type="dxa"/>
        </w:trPr>
        <w:tc>
          <w:tcPr>
            <w:tcW w:w="0" w:type="auto"/>
            <w:shd w:val="clear" w:color="auto" w:fill="auto"/>
          </w:tcPr>
          <w:p w14:paraId="0BC97925"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26"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our indebtedness and leverage may increase our vulnerability to downturns in our business, to competitive pressures, and to adverse changes</w:t>
            </w:r>
            <w:r>
              <w:rPr>
                <w:rFonts w:ascii="Arial" w:eastAsia="宋体" w:hAnsi="Arial" w:cs="Arial"/>
                <w:sz w:val="20"/>
                <w:szCs w:val="20"/>
              </w:rPr>
              <w:t xml:space="preserve"> in general economic and industry conditions;</w:t>
            </w:r>
          </w:p>
        </w:tc>
      </w:tr>
    </w:tbl>
    <w:p w14:paraId="0BC97928"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92B" w14:textId="77777777">
        <w:trPr>
          <w:tblCellSpacing w:w="0" w:type="dxa"/>
        </w:trPr>
        <w:tc>
          <w:tcPr>
            <w:tcW w:w="960" w:type="dxa"/>
            <w:shd w:val="clear" w:color="auto" w:fill="auto"/>
            <w:vAlign w:val="center"/>
          </w:tcPr>
          <w:p w14:paraId="0BC97929" w14:textId="77777777" w:rsidR="009F0928" w:rsidRDefault="009F0928">
            <w:pPr>
              <w:rPr>
                <w:rFonts w:ascii="Times New Roman" w:hAnsi="Times New Roman"/>
                <w:sz w:val="20"/>
                <w:szCs w:val="20"/>
              </w:rPr>
            </w:pPr>
          </w:p>
        </w:tc>
        <w:tc>
          <w:tcPr>
            <w:tcW w:w="0" w:type="auto"/>
            <w:shd w:val="clear" w:color="auto" w:fill="auto"/>
            <w:vAlign w:val="center"/>
          </w:tcPr>
          <w:p w14:paraId="0BC9792A" w14:textId="77777777" w:rsidR="009F0928" w:rsidRDefault="009F0928">
            <w:pPr>
              <w:rPr>
                <w:rFonts w:ascii="Times New Roman" w:hAnsi="Times New Roman"/>
                <w:sz w:val="20"/>
                <w:szCs w:val="20"/>
              </w:rPr>
            </w:pPr>
          </w:p>
        </w:tc>
      </w:tr>
      <w:tr w:rsidR="009F0928" w14:paraId="0BC9792E" w14:textId="77777777">
        <w:trPr>
          <w:tblCellSpacing w:w="0" w:type="dxa"/>
        </w:trPr>
        <w:tc>
          <w:tcPr>
            <w:tcW w:w="0" w:type="auto"/>
            <w:shd w:val="clear" w:color="auto" w:fill="auto"/>
          </w:tcPr>
          <w:p w14:paraId="0BC9792C"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2D"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adverse changes in the ratings assigned to our debt securities by credit rating agencies will likely increase our borrowing costs;</w:t>
            </w:r>
          </w:p>
        </w:tc>
      </w:tr>
    </w:tbl>
    <w:p w14:paraId="0BC9792F"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932" w14:textId="77777777">
        <w:trPr>
          <w:tblCellSpacing w:w="0" w:type="dxa"/>
        </w:trPr>
        <w:tc>
          <w:tcPr>
            <w:tcW w:w="960" w:type="dxa"/>
            <w:shd w:val="clear" w:color="auto" w:fill="auto"/>
            <w:vAlign w:val="center"/>
          </w:tcPr>
          <w:p w14:paraId="0BC97930" w14:textId="77777777" w:rsidR="009F0928" w:rsidRDefault="009F0928">
            <w:pPr>
              <w:rPr>
                <w:rFonts w:ascii="Times New Roman" w:hAnsi="Times New Roman"/>
                <w:sz w:val="20"/>
                <w:szCs w:val="20"/>
              </w:rPr>
            </w:pPr>
          </w:p>
        </w:tc>
        <w:tc>
          <w:tcPr>
            <w:tcW w:w="0" w:type="auto"/>
            <w:shd w:val="clear" w:color="auto" w:fill="auto"/>
            <w:vAlign w:val="center"/>
          </w:tcPr>
          <w:p w14:paraId="0BC97931" w14:textId="77777777" w:rsidR="009F0928" w:rsidRDefault="009F0928">
            <w:pPr>
              <w:rPr>
                <w:rFonts w:ascii="Times New Roman" w:hAnsi="Times New Roman"/>
                <w:sz w:val="20"/>
                <w:szCs w:val="20"/>
              </w:rPr>
            </w:pPr>
          </w:p>
        </w:tc>
      </w:tr>
      <w:tr w:rsidR="009F0928" w14:paraId="0BC97935" w14:textId="77777777">
        <w:trPr>
          <w:tblCellSpacing w:w="0" w:type="dxa"/>
        </w:trPr>
        <w:tc>
          <w:tcPr>
            <w:tcW w:w="0" w:type="auto"/>
            <w:shd w:val="clear" w:color="auto" w:fill="auto"/>
          </w:tcPr>
          <w:p w14:paraId="0BC97933"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34"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our ability to obtain additional financing for working </w:t>
            </w:r>
            <w:r>
              <w:rPr>
                <w:rFonts w:ascii="Arial" w:eastAsia="宋体" w:hAnsi="Arial" w:cs="Arial"/>
                <w:sz w:val="20"/>
                <w:szCs w:val="20"/>
              </w:rPr>
              <w:t>capital, capital expenditures, acquisitions, share repurchases, dividends or other general corporate and other purposes may be limited; and</w:t>
            </w:r>
          </w:p>
        </w:tc>
      </w:tr>
    </w:tbl>
    <w:p w14:paraId="0BC97936"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939" w14:textId="77777777">
        <w:trPr>
          <w:tblCellSpacing w:w="0" w:type="dxa"/>
        </w:trPr>
        <w:tc>
          <w:tcPr>
            <w:tcW w:w="960" w:type="dxa"/>
            <w:shd w:val="clear" w:color="auto" w:fill="auto"/>
            <w:vAlign w:val="center"/>
          </w:tcPr>
          <w:p w14:paraId="0BC97937" w14:textId="77777777" w:rsidR="009F0928" w:rsidRDefault="009F0928">
            <w:pPr>
              <w:rPr>
                <w:rFonts w:ascii="Times New Roman" w:hAnsi="Times New Roman"/>
                <w:sz w:val="20"/>
                <w:szCs w:val="20"/>
              </w:rPr>
            </w:pPr>
          </w:p>
        </w:tc>
        <w:tc>
          <w:tcPr>
            <w:tcW w:w="0" w:type="auto"/>
            <w:shd w:val="clear" w:color="auto" w:fill="auto"/>
            <w:vAlign w:val="center"/>
          </w:tcPr>
          <w:p w14:paraId="0BC97938" w14:textId="77777777" w:rsidR="009F0928" w:rsidRDefault="009F0928">
            <w:pPr>
              <w:rPr>
                <w:rFonts w:ascii="Times New Roman" w:hAnsi="Times New Roman"/>
                <w:sz w:val="20"/>
                <w:szCs w:val="20"/>
              </w:rPr>
            </w:pPr>
          </w:p>
        </w:tc>
      </w:tr>
      <w:tr w:rsidR="009F0928" w14:paraId="0BC9793C" w14:textId="77777777">
        <w:trPr>
          <w:tblCellSpacing w:w="0" w:type="dxa"/>
        </w:trPr>
        <w:tc>
          <w:tcPr>
            <w:tcW w:w="0" w:type="auto"/>
            <w:shd w:val="clear" w:color="auto" w:fill="auto"/>
          </w:tcPr>
          <w:p w14:paraId="0BC9793A"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3B"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our flexibility in planning for, or reacting to, changes in our business and our industry may be limited.</w:t>
            </w:r>
          </w:p>
        </w:tc>
      </w:tr>
    </w:tbl>
    <w:p w14:paraId="0BC9793D" w14:textId="77777777" w:rsidR="009F0928" w:rsidRDefault="009F0928">
      <w:pPr>
        <w:spacing w:line="288" w:lineRule="auto"/>
        <w:jc w:val="both"/>
        <w:rPr>
          <w:rFonts w:ascii="Times New Roman" w:hAnsi="Times New Roman"/>
          <w:sz w:val="20"/>
          <w:szCs w:val="20"/>
        </w:rPr>
      </w:pPr>
    </w:p>
    <w:p w14:paraId="0BC9793E"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These risks increase as the level of our debt increases. Our ability to make payments of principal of and interest on our indebtedness depends upon our future performance, which will be subject to general economic conditions, industry cycles and financial,</w:t>
      </w:r>
      <w:r>
        <w:rPr>
          <w:rFonts w:ascii="Arial" w:eastAsia="宋体" w:hAnsi="Arial" w:cs="Arial"/>
          <w:sz w:val="20"/>
          <w:szCs w:val="20"/>
        </w:rPr>
        <w:t xml:space="preserve"> business and other factors affecting our results of operations and financial condition, many of which are beyond our control. If we are unable to generate sufficient cash flow from operations in the future to service our debt, we may be required to, among</w:t>
      </w:r>
      <w:r>
        <w:rPr>
          <w:rFonts w:ascii="Arial" w:eastAsia="宋体" w:hAnsi="Arial" w:cs="Arial"/>
          <w:sz w:val="20"/>
          <w:szCs w:val="20"/>
        </w:rPr>
        <w:t xml:space="preserve"> other things:</w:t>
      </w:r>
    </w:p>
    <w:p w14:paraId="0BC9793F" w14:textId="77777777" w:rsidR="009F0928" w:rsidRDefault="002112BD">
      <w:pPr>
        <w:spacing w:line="288" w:lineRule="auto"/>
        <w:ind w:firstLine="960"/>
        <w:jc w:val="both"/>
        <w:rPr>
          <w:rFonts w:ascii="Times New Roman" w:hAnsi="Times New Roman"/>
          <w:sz w:val="20"/>
          <w:szCs w:val="20"/>
        </w:rPr>
      </w:pPr>
      <w:r>
        <w:rPr>
          <w:rFonts w:ascii="Arial" w:eastAsia="宋体" w:hAnsi="Arial" w:cs="Arial"/>
          <w:sz w:val="20"/>
          <w:szCs w:val="20"/>
        </w:rPr>
        <w:t>    </w:t>
      </w:r>
    </w:p>
    <w:tbl>
      <w:tblPr>
        <w:tblW w:w="0" w:type="auto"/>
        <w:tblCellSpacing w:w="0" w:type="dxa"/>
        <w:tblCellMar>
          <w:left w:w="0" w:type="dxa"/>
          <w:right w:w="0" w:type="dxa"/>
        </w:tblCellMar>
        <w:tblLook w:val="04A0" w:firstRow="1" w:lastRow="0" w:firstColumn="1" w:lastColumn="0" w:noHBand="0" w:noVBand="1"/>
      </w:tblPr>
      <w:tblGrid>
        <w:gridCol w:w="960"/>
        <w:gridCol w:w="5203"/>
      </w:tblGrid>
      <w:tr w:rsidR="009F0928" w14:paraId="0BC97942" w14:textId="77777777">
        <w:trPr>
          <w:tblCellSpacing w:w="0" w:type="dxa"/>
        </w:trPr>
        <w:tc>
          <w:tcPr>
            <w:tcW w:w="960" w:type="dxa"/>
            <w:shd w:val="clear" w:color="auto" w:fill="auto"/>
            <w:vAlign w:val="center"/>
          </w:tcPr>
          <w:p w14:paraId="0BC97940" w14:textId="77777777" w:rsidR="009F0928" w:rsidRDefault="009F0928">
            <w:pPr>
              <w:rPr>
                <w:rFonts w:ascii="Times New Roman" w:hAnsi="Times New Roman"/>
                <w:sz w:val="20"/>
                <w:szCs w:val="20"/>
              </w:rPr>
            </w:pPr>
          </w:p>
        </w:tc>
        <w:tc>
          <w:tcPr>
            <w:tcW w:w="0" w:type="auto"/>
            <w:shd w:val="clear" w:color="auto" w:fill="auto"/>
            <w:vAlign w:val="center"/>
          </w:tcPr>
          <w:p w14:paraId="0BC97941" w14:textId="77777777" w:rsidR="009F0928" w:rsidRDefault="009F0928">
            <w:pPr>
              <w:rPr>
                <w:rFonts w:ascii="Times New Roman" w:hAnsi="Times New Roman"/>
                <w:sz w:val="20"/>
                <w:szCs w:val="20"/>
              </w:rPr>
            </w:pPr>
          </w:p>
        </w:tc>
      </w:tr>
      <w:tr w:rsidR="009F0928" w14:paraId="0BC97945" w14:textId="77777777">
        <w:trPr>
          <w:tblCellSpacing w:w="0" w:type="dxa"/>
        </w:trPr>
        <w:tc>
          <w:tcPr>
            <w:tcW w:w="0" w:type="auto"/>
            <w:shd w:val="clear" w:color="auto" w:fill="auto"/>
          </w:tcPr>
          <w:p w14:paraId="0BC97943"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44"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incur the tax cost of repatriating funds to the United States;</w:t>
            </w:r>
          </w:p>
        </w:tc>
      </w:tr>
    </w:tbl>
    <w:p w14:paraId="0BC97946"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826"/>
      </w:tblGrid>
      <w:tr w:rsidR="009F0928" w14:paraId="0BC97949" w14:textId="77777777">
        <w:trPr>
          <w:tblCellSpacing w:w="0" w:type="dxa"/>
        </w:trPr>
        <w:tc>
          <w:tcPr>
            <w:tcW w:w="960" w:type="dxa"/>
            <w:shd w:val="clear" w:color="auto" w:fill="auto"/>
            <w:vAlign w:val="center"/>
          </w:tcPr>
          <w:p w14:paraId="0BC97947" w14:textId="77777777" w:rsidR="009F0928" w:rsidRDefault="009F0928">
            <w:pPr>
              <w:rPr>
                <w:rFonts w:ascii="Times New Roman" w:hAnsi="Times New Roman"/>
                <w:sz w:val="20"/>
                <w:szCs w:val="20"/>
              </w:rPr>
            </w:pPr>
          </w:p>
        </w:tc>
        <w:tc>
          <w:tcPr>
            <w:tcW w:w="0" w:type="auto"/>
            <w:shd w:val="clear" w:color="auto" w:fill="auto"/>
            <w:vAlign w:val="center"/>
          </w:tcPr>
          <w:p w14:paraId="0BC97948" w14:textId="77777777" w:rsidR="009F0928" w:rsidRDefault="009F0928">
            <w:pPr>
              <w:rPr>
                <w:rFonts w:ascii="Times New Roman" w:hAnsi="Times New Roman"/>
                <w:sz w:val="20"/>
                <w:szCs w:val="20"/>
              </w:rPr>
            </w:pPr>
          </w:p>
        </w:tc>
      </w:tr>
      <w:tr w:rsidR="009F0928" w14:paraId="0BC9794C" w14:textId="77777777">
        <w:trPr>
          <w:tblCellSpacing w:w="0" w:type="dxa"/>
        </w:trPr>
        <w:tc>
          <w:tcPr>
            <w:tcW w:w="0" w:type="auto"/>
            <w:shd w:val="clear" w:color="auto" w:fill="auto"/>
          </w:tcPr>
          <w:p w14:paraId="0BC9794A"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4B"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seek additional financing in the debt or equity markets;</w:t>
            </w:r>
          </w:p>
        </w:tc>
      </w:tr>
    </w:tbl>
    <w:p w14:paraId="0BC9794D"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259"/>
      </w:tblGrid>
      <w:tr w:rsidR="009F0928" w14:paraId="0BC97950" w14:textId="77777777">
        <w:trPr>
          <w:tblCellSpacing w:w="0" w:type="dxa"/>
        </w:trPr>
        <w:tc>
          <w:tcPr>
            <w:tcW w:w="960" w:type="dxa"/>
            <w:shd w:val="clear" w:color="auto" w:fill="auto"/>
            <w:vAlign w:val="center"/>
          </w:tcPr>
          <w:p w14:paraId="0BC9794E" w14:textId="77777777" w:rsidR="009F0928" w:rsidRDefault="009F0928">
            <w:pPr>
              <w:rPr>
                <w:rFonts w:ascii="Times New Roman" w:hAnsi="Times New Roman"/>
                <w:sz w:val="20"/>
                <w:szCs w:val="20"/>
              </w:rPr>
            </w:pPr>
          </w:p>
        </w:tc>
        <w:tc>
          <w:tcPr>
            <w:tcW w:w="0" w:type="auto"/>
            <w:shd w:val="clear" w:color="auto" w:fill="auto"/>
            <w:vAlign w:val="center"/>
          </w:tcPr>
          <w:p w14:paraId="0BC9794F" w14:textId="77777777" w:rsidR="009F0928" w:rsidRDefault="009F0928">
            <w:pPr>
              <w:rPr>
                <w:rFonts w:ascii="Times New Roman" w:hAnsi="Times New Roman"/>
                <w:sz w:val="20"/>
                <w:szCs w:val="20"/>
              </w:rPr>
            </w:pPr>
          </w:p>
        </w:tc>
      </w:tr>
      <w:tr w:rsidR="009F0928" w14:paraId="0BC97953" w14:textId="77777777">
        <w:trPr>
          <w:tblCellSpacing w:w="0" w:type="dxa"/>
        </w:trPr>
        <w:tc>
          <w:tcPr>
            <w:tcW w:w="0" w:type="auto"/>
            <w:shd w:val="clear" w:color="auto" w:fill="auto"/>
          </w:tcPr>
          <w:p w14:paraId="0BC97951"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52"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refinance or restructure all or a portion of our indebtedness;</w:t>
            </w:r>
          </w:p>
        </w:tc>
      </w:tr>
    </w:tbl>
    <w:p w14:paraId="0BC97954"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024"/>
      </w:tblGrid>
      <w:tr w:rsidR="009F0928" w14:paraId="0BC97957" w14:textId="77777777">
        <w:trPr>
          <w:tblCellSpacing w:w="0" w:type="dxa"/>
        </w:trPr>
        <w:tc>
          <w:tcPr>
            <w:tcW w:w="960" w:type="dxa"/>
            <w:shd w:val="clear" w:color="auto" w:fill="auto"/>
            <w:vAlign w:val="center"/>
          </w:tcPr>
          <w:p w14:paraId="0BC97955" w14:textId="77777777" w:rsidR="009F0928" w:rsidRDefault="009F0928">
            <w:pPr>
              <w:rPr>
                <w:rFonts w:ascii="Times New Roman" w:hAnsi="Times New Roman"/>
                <w:sz w:val="20"/>
                <w:szCs w:val="20"/>
              </w:rPr>
            </w:pPr>
          </w:p>
        </w:tc>
        <w:tc>
          <w:tcPr>
            <w:tcW w:w="0" w:type="auto"/>
            <w:shd w:val="clear" w:color="auto" w:fill="auto"/>
            <w:vAlign w:val="center"/>
          </w:tcPr>
          <w:p w14:paraId="0BC97956" w14:textId="77777777" w:rsidR="009F0928" w:rsidRDefault="009F0928">
            <w:pPr>
              <w:rPr>
                <w:rFonts w:ascii="Times New Roman" w:hAnsi="Times New Roman"/>
                <w:sz w:val="20"/>
                <w:szCs w:val="20"/>
              </w:rPr>
            </w:pPr>
          </w:p>
        </w:tc>
      </w:tr>
      <w:tr w:rsidR="009F0928" w14:paraId="0BC9795A" w14:textId="77777777">
        <w:trPr>
          <w:tblCellSpacing w:w="0" w:type="dxa"/>
        </w:trPr>
        <w:tc>
          <w:tcPr>
            <w:tcW w:w="0" w:type="auto"/>
            <w:shd w:val="clear" w:color="auto" w:fill="auto"/>
          </w:tcPr>
          <w:p w14:paraId="0BC97958"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59"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sell selected </w:t>
            </w:r>
            <w:r>
              <w:rPr>
                <w:rFonts w:ascii="Arial" w:eastAsia="宋体" w:hAnsi="Arial" w:cs="Arial"/>
                <w:sz w:val="20"/>
                <w:szCs w:val="20"/>
              </w:rPr>
              <w:t>assets; or</w:t>
            </w:r>
          </w:p>
        </w:tc>
      </w:tr>
    </w:tbl>
    <w:p w14:paraId="0BC9795B"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159"/>
      </w:tblGrid>
      <w:tr w:rsidR="009F0928" w14:paraId="0BC9795E" w14:textId="77777777">
        <w:trPr>
          <w:tblCellSpacing w:w="0" w:type="dxa"/>
        </w:trPr>
        <w:tc>
          <w:tcPr>
            <w:tcW w:w="960" w:type="dxa"/>
            <w:shd w:val="clear" w:color="auto" w:fill="auto"/>
            <w:vAlign w:val="center"/>
          </w:tcPr>
          <w:p w14:paraId="0BC9795C" w14:textId="77777777" w:rsidR="009F0928" w:rsidRDefault="009F0928">
            <w:pPr>
              <w:rPr>
                <w:rFonts w:ascii="Times New Roman" w:hAnsi="Times New Roman"/>
                <w:sz w:val="20"/>
                <w:szCs w:val="20"/>
              </w:rPr>
            </w:pPr>
          </w:p>
        </w:tc>
        <w:tc>
          <w:tcPr>
            <w:tcW w:w="0" w:type="auto"/>
            <w:shd w:val="clear" w:color="auto" w:fill="auto"/>
            <w:vAlign w:val="center"/>
          </w:tcPr>
          <w:p w14:paraId="0BC9795D" w14:textId="77777777" w:rsidR="009F0928" w:rsidRDefault="009F0928">
            <w:pPr>
              <w:rPr>
                <w:rFonts w:ascii="Times New Roman" w:hAnsi="Times New Roman"/>
                <w:sz w:val="20"/>
                <w:szCs w:val="20"/>
              </w:rPr>
            </w:pPr>
          </w:p>
        </w:tc>
      </w:tr>
      <w:tr w:rsidR="009F0928" w14:paraId="0BC97961" w14:textId="77777777">
        <w:trPr>
          <w:tblCellSpacing w:w="0" w:type="dxa"/>
        </w:trPr>
        <w:tc>
          <w:tcPr>
            <w:tcW w:w="0" w:type="auto"/>
            <w:shd w:val="clear" w:color="auto" w:fill="auto"/>
          </w:tcPr>
          <w:p w14:paraId="0BC9795F"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60"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reduce or delay planned capital or operating expenditures.</w:t>
            </w:r>
          </w:p>
        </w:tc>
      </w:tr>
    </w:tbl>
    <w:p w14:paraId="0BC97962" w14:textId="77777777" w:rsidR="009F0928" w:rsidRDefault="009F0928">
      <w:pPr>
        <w:spacing w:line="288" w:lineRule="auto"/>
        <w:jc w:val="both"/>
        <w:rPr>
          <w:rFonts w:ascii="Times New Roman" w:hAnsi="Times New Roman"/>
          <w:sz w:val="20"/>
          <w:szCs w:val="20"/>
        </w:rPr>
      </w:pPr>
    </w:p>
    <w:p w14:paraId="0BC97963"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Such measures might not be sufficient to enable us to service our debt. In addition, any such financing, refinancing or sale of assets might not be available on </w:t>
      </w:r>
      <w:r>
        <w:rPr>
          <w:rFonts w:ascii="Arial" w:eastAsia="宋体" w:hAnsi="Arial" w:cs="Arial"/>
          <w:sz w:val="20"/>
          <w:szCs w:val="20"/>
        </w:rPr>
        <w:t>economically favorable terms or at all.</w:t>
      </w:r>
    </w:p>
    <w:p w14:paraId="0BC97964" w14:textId="77777777" w:rsidR="009F0928" w:rsidRDefault="009F0928">
      <w:pPr>
        <w:spacing w:line="288" w:lineRule="auto"/>
        <w:ind w:firstLine="600"/>
        <w:jc w:val="both"/>
        <w:rPr>
          <w:rFonts w:ascii="Times New Roman" w:hAnsi="Times New Roman"/>
          <w:sz w:val="20"/>
          <w:szCs w:val="20"/>
        </w:rPr>
      </w:pPr>
    </w:p>
    <w:p w14:paraId="0BC97965"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Our revolving credit facility and the indenture pursuant to which certain of our outstanding debt securities were issued contain, and any debt instruments we enter into in the future may contain, financial and other</w:t>
      </w:r>
      <w:r>
        <w:rPr>
          <w:rFonts w:ascii="Arial" w:eastAsia="宋体" w:hAnsi="Arial" w:cs="Arial"/>
          <w:sz w:val="20"/>
          <w:szCs w:val="20"/>
        </w:rPr>
        <w:t xml:space="preserve"> covenants that restrict or could restrict, among other things, our business and operations. If we fail to pay amounts due under, or breach any of the covenants in, a debt instrument, then the lenders would typically have the right to demand immediate repa</w:t>
      </w:r>
      <w:r>
        <w:rPr>
          <w:rFonts w:ascii="Arial" w:eastAsia="宋体" w:hAnsi="Arial" w:cs="Arial"/>
          <w:sz w:val="20"/>
          <w:szCs w:val="20"/>
        </w:rPr>
        <w:t>yment of all borrowings thereunder (subject in certain cases to grace or cure period). Moreover, any such acceleration and required repayment of or default in respect of any of our indebtedness could, in turn, constitute an event of default under other deb</w:t>
      </w:r>
      <w:r>
        <w:rPr>
          <w:rFonts w:ascii="Arial" w:eastAsia="宋体" w:hAnsi="Arial" w:cs="Arial"/>
          <w:sz w:val="20"/>
          <w:szCs w:val="20"/>
        </w:rPr>
        <w:t>t instruments, thereby resulting in the acceleration and required repayment of that other indebtedness. Any of these events could materially adversely affect our liquidity and financial condition.</w:t>
      </w:r>
    </w:p>
    <w:p w14:paraId="0BC97966" w14:textId="77777777" w:rsidR="009F0928" w:rsidRDefault="009F0928">
      <w:pPr>
        <w:spacing w:line="288" w:lineRule="auto"/>
        <w:ind w:firstLine="600"/>
        <w:jc w:val="both"/>
        <w:rPr>
          <w:rFonts w:ascii="Times New Roman" w:hAnsi="Times New Roman"/>
          <w:sz w:val="20"/>
          <w:szCs w:val="20"/>
        </w:rPr>
      </w:pPr>
    </w:p>
    <w:p w14:paraId="0BC97967"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A downgrade in our credit ratings could materially adverse</w:t>
      </w:r>
      <w:r>
        <w:rPr>
          <w:rFonts w:ascii="Arial" w:eastAsia="宋体" w:hAnsi="Arial" w:cs="Arial"/>
          <w:i/>
          <w:iCs/>
          <w:sz w:val="20"/>
          <w:szCs w:val="20"/>
        </w:rPr>
        <w:t>ly affect our business.</w:t>
      </w:r>
    </w:p>
    <w:p w14:paraId="0BC97968"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The credit ratings assigned to our debt securities could change based upon, among other things, our results of operations, financial condition or dispositions and acquisitions. These ratings are subject to ongoing evaluation by cred</w:t>
      </w:r>
      <w:r>
        <w:rPr>
          <w:rFonts w:ascii="Arial" w:eastAsia="宋体" w:hAnsi="Arial" w:cs="Arial"/>
          <w:sz w:val="20"/>
          <w:szCs w:val="20"/>
        </w:rPr>
        <w:t>it rating agencies, and there can be no assurance that such ratings will not be lowered, suspended or withdrawn entirely by a rating agency or placed on a so-called “watch list” for a possible downgrade or assigned a negative ratings outlook if, in any rat</w:t>
      </w:r>
      <w:r>
        <w:rPr>
          <w:rFonts w:ascii="Arial" w:eastAsia="宋体" w:hAnsi="Arial" w:cs="Arial"/>
          <w:sz w:val="20"/>
          <w:szCs w:val="20"/>
        </w:rPr>
        <w:t>ing agency’s judgment, circumstances so warrant. Actual or anticipated changes or downgrades in our credit ratings, including any announcement that our ratings are under review for a downgrade or have been assigned a negative outlook, would likely increase</w:t>
      </w:r>
      <w:r>
        <w:rPr>
          <w:rFonts w:ascii="Arial" w:eastAsia="宋体" w:hAnsi="Arial" w:cs="Arial"/>
          <w:sz w:val="20"/>
          <w:szCs w:val="20"/>
        </w:rPr>
        <w:t xml:space="preserve"> our borrowing costs, which could in turn have a material adverse effect on our financial condition, results of operations, cash flows and could harm our business. </w:t>
      </w:r>
    </w:p>
    <w:p w14:paraId="0BC97969" w14:textId="77777777" w:rsidR="009F0928" w:rsidRDefault="009F0928">
      <w:pPr>
        <w:spacing w:line="288" w:lineRule="auto"/>
        <w:ind w:firstLine="720"/>
        <w:jc w:val="both"/>
        <w:rPr>
          <w:rFonts w:ascii="Times New Roman" w:hAnsi="Times New Roman"/>
          <w:sz w:val="20"/>
          <w:szCs w:val="20"/>
        </w:rPr>
      </w:pPr>
    </w:p>
    <w:p w14:paraId="0BC9796A"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Our business may be subject to sales and other taxes.</w:t>
      </w:r>
    </w:p>
    <w:p w14:paraId="0BC9796B"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The application of indirect taxes su</w:t>
      </w:r>
      <w:r>
        <w:rPr>
          <w:rFonts w:ascii="Arial" w:eastAsia="宋体" w:hAnsi="Arial" w:cs="Arial"/>
          <w:sz w:val="20"/>
          <w:szCs w:val="20"/>
        </w:rPr>
        <w:t>ch as sales and use tax, value-added tax (“VAT”), goods and services tax (including the “digital services tax”), business tax and gross receipt tax to ecommerce businesses is a complex and evolving issue. Many of the fundamental statutes and regulations th</w:t>
      </w:r>
      <w:r>
        <w:rPr>
          <w:rFonts w:ascii="Arial" w:eastAsia="宋体" w:hAnsi="Arial" w:cs="Arial"/>
          <w:sz w:val="20"/>
          <w:szCs w:val="20"/>
        </w:rPr>
        <w:t>at impose these taxes were established before the adoption and growth of the Internet and ecommerce. In many cases, it is not clear how existing statutes apply to ecommerce services. In addition, many state and foreign governments are looking for ways to i</w:t>
      </w:r>
      <w:r>
        <w:rPr>
          <w:rFonts w:ascii="Arial" w:eastAsia="宋体" w:hAnsi="Arial" w:cs="Arial"/>
          <w:sz w:val="20"/>
          <w:szCs w:val="20"/>
        </w:rPr>
        <w:t>ncrease revenues, which has resulted in legislative action, including new taxes on services and gross revenues and through other indirect taxes. There are many transactions that occur during the ordinary course of business for which the ultimate tax determ</w:t>
      </w:r>
      <w:r>
        <w:rPr>
          <w:rFonts w:ascii="Arial" w:eastAsia="宋体" w:hAnsi="Arial" w:cs="Arial"/>
          <w:sz w:val="20"/>
          <w:szCs w:val="20"/>
        </w:rPr>
        <w:t>ination is uncertain.</w:t>
      </w:r>
    </w:p>
    <w:p w14:paraId="0BC9796C" w14:textId="77777777" w:rsidR="009F0928" w:rsidRDefault="009F0928">
      <w:pPr>
        <w:spacing w:line="288" w:lineRule="auto"/>
        <w:ind w:firstLine="600"/>
        <w:jc w:val="both"/>
        <w:rPr>
          <w:rFonts w:ascii="Times New Roman" w:hAnsi="Times New Roman"/>
          <w:sz w:val="20"/>
          <w:szCs w:val="20"/>
        </w:rPr>
      </w:pPr>
    </w:p>
    <w:p w14:paraId="0BC9796D" w14:textId="77777777" w:rsidR="009F0928" w:rsidRDefault="009F0928">
      <w:pPr>
        <w:rPr>
          <w:rFonts w:ascii="Times New Roman" w:hAnsi="Times New Roman"/>
          <w:sz w:val="20"/>
          <w:szCs w:val="20"/>
        </w:rPr>
      </w:pPr>
    </w:p>
    <w:p w14:paraId="0BC9796E"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22</w:t>
      </w:r>
    </w:p>
    <w:p w14:paraId="0BC9796F" w14:textId="77777777" w:rsidR="009F0928" w:rsidRDefault="002112BD">
      <w:r>
        <w:rPr>
          <w:rFonts w:ascii="Times New Roman" w:hAnsi="Times New Roman"/>
          <w:sz w:val="18"/>
          <w:szCs w:val="18"/>
        </w:rPr>
        <w:pict w14:anchorId="0BC9B4D1">
          <v:rect id="_x0000_i1047" style="width:415.3pt;height:1.5pt" o:hralign="center" o:hrstd="t" o:hr="t" fillcolor="#a0a0a0" stroked="f"/>
        </w:pict>
      </w:r>
    </w:p>
    <w:p w14:paraId="0BC97970" w14:textId="77777777" w:rsidR="009F0928" w:rsidRDefault="009F0928">
      <w:pPr>
        <w:spacing w:line="288" w:lineRule="auto"/>
        <w:rPr>
          <w:rFonts w:ascii="Times New Roman" w:hAnsi="Times New Roman"/>
          <w:sz w:val="20"/>
          <w:szCs w:val="20"/>
        </w:rPr>
      </w:pPr>
    </w:p>
    <w:p w14:paraId="0BC97971" w14:textId="77777777" w:rsidR="009F0928" w:rsidRDefault="009F0928">
      <w:pPr>
        <w:rPr>
          <w:rFonts w:ascii="Times New Roman" w:hAnsi="Times New Roman"/>
          <w:sz w:val="20"/>
          <w:szCs w:val="20"/>
        </w:rPr>
      </w:pPr>
    </w:p>
    <w:p w14:paraId="0BC97972"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From time to time, some taxing authorities in the United States have notified us that they believe we owe them certain taxes imposed on our services. These notifications have not resulted in any significant tax </w:t>
      </w:r>
      <w:r>
        <w:rPr>
          <w:rFonts w:ascii="Arial" w:eastAsia="宋体" w:hAnsi="Arial" w:cs="Arial"/>
          <w:sz w:val="20"/>
          <w:szCs w:val="20"/>
        </w:rPr>
        <w:t>liabilities to date, but there is a risk that some jurisdiction may be successful in the future, which would harm our business.</w:t>
      </w:r>
    </w:p>
    <w:p w14:paraId="0BC97973" w14:textId="77777777" w:rsidR="009F0928" w:rsidRDefault="009F0928">
      <w:pPr>
        <w:spacing w:line="288" w:lineRule="auto"/>
        <w:ind w:firstLine="600"/>
        <w:jc w:val="both"/>
        <w:rPr>
          <w:rFonts w:ascii="Times New Roman" w:hAnsi="Times New Roman"/>
          <w:sz w:val="20"/>
          <w:szCs w:val="20"/>
        </w:rPr>
      </w:pPr>
    </w:p>
    <w:p w14:paraId="0BC97974"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Similar issues exist outside of the United States, where the application of VAT or other indirect taxes on ecommerce </w:t>
      </w:r>
      <w:r>
        <w:rPr>
          <w:rFonts w:ascii="Arial" w:eastAsia="宋体" w:hAnsi="Arial" w:cs="Arial"/>
          <w:sz w:val="20"/>
          <w:szCs w:val="20"/>
        </w:rPr>
        <w:t>providers is complex and evolving. While we attempt to comply in those jurisdictions where it is clear that a tax is due, some of our subsidiaries have, from time to time, received claims relating to the applicability of indirect taxes to our fees. Additio</w:t>
      </w:r>
      <w:r>
        <w:rPr>
          <w:rFonts w:ascii="Arial" w:eastAsia="宋体" w:hAnsi="Arial" w:cs="Arial"/>
          <w:sz w:val="20"/>
          <w:szCs w:val="20"/>
        </w:rPr>
        <w:t>nally, we pay input VAT on applicable taxable purchases within the various countries in which we operate. In most cases, we are entitled to reclaim this input VAT from the various countries. However, because of our unique business model, the application of</w:t>
      </w:r>
      <w:r>
        <w:rPr>
          <w:rFonts w:ascii="Arial" w:eastAsia="宋体" w:hAnsi="Arial" w:cs="Arial"/>
          <w:sz w:val="20"/>
          <w:szCs w:val="20"/>
        </w:rPr>
        <w:t xml:space="preserve"> the laws and rules that allow such reclamation is sometimes uncertain. A successful assertion by one or more countries that we are not entitled to reclaim VAT could harm our business.</w:t>
      </w:r>
    </w:p>
    <w:p w14:paraId="0BC97975" w14:textId="77777777" w:rsidR="009F0928" w:rsidRDefault="009F0928">
      <w:pPr>
        <w:spacing w:line="288" w:lineRule="auto"/>
        <w:ind w:firstLine="600"/>
        <w:jc w:val="both"/>
        <w:rPr>
          <w:rFonts w:ascii="Times New Roman" w:hAnsi="Times New Roman"/>
          <w:sz w:val="20"/>
          <w:szCs w:val="20"/>
        </w:rPr>
      </w:pPr>
    </w:p>
    <w:p w14:paraId="0BC97976"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In certain jurisdictions, we collect and remit indirect taxes on our f</w:t>
      </w:r>
      <w:r>
        <w:rPr>
          <w:rFonts w:ascii="Arial" w:eastAsia="宋体" w:hAnsi="Arial" w:cs="Arial"/>
          <w:sz w:val="20"/>
          <w:szCs w:val="20"/>
        </w:rPr>
        <w:t>ees and pay taxes on our purchases of goods and services. However, tax authorities may raise questions about our calculation, reporting and collection of these taxes and may ask us to remit additional taxes. Should any new taxes become applicable to our se</w:t>
      </w:r>
      <w:r>
        <w:rPr>
          <w:rFonts w:ascii="Arial" w:eastAsia="宋体" w:hAnsi="Arial" w:cs="Arial"/>
          <w:sz w:val="20"/>
          <w:szCs w:val="20"/>
        </w:rPr>
        <w:t xml:space="preserve">rvices or if the taxes we pay are found to be deficient, our business could be harmed. </w:t>
      </w:r>
    </w:p>
    <w:p w14:paraId="0BC97977" w14:textId="77777777" w:rsidR="009F0928" w:rsidRDefault="009F0928">
      <w:pPr>
        <w:spacing w:line="288" w:lineRule="auto"/>
        <w:ind w:firstLine="600"/>
        <w:jc w:val="both"/>
        <w:rPr>
          <w:rFonts w:ascii="Times New Roman" w:hAnsi="Times New Roman"/>
          <w:sz w:val="20"/>
          <w:szCs w:val="20"/>
        </w:rPr>
      </w:pPr>
    </w:p>
    <w:p w14:paraId="0BC97978"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We may have exposure to greater than anticipated tax liabilities.</w:t>
      </w:r>
    </w:p>
    <w:p w14:paraId="0BC97979" w14:textId="77777777" w:rsidR="009F0928" w:rsidRDefault="009F0928">
      <w:pPr>
        <w:spacing w:line="288" w:lineRule="auto"/>
        <w:ind w:firstLine="600"/>
        <w:jc w:val="both"/>
        <w:rPr>
          <w:rFonts w:ascii="Times New Roman" w:hAnsi="Times New Roman"/>
          <w:sz w:val="20"/>
          <w:szCs w:val="20"/>
        </w:rPr>
      </w:pPr>
    </w:p>
    <w:p w14:paraId="0BC9797A"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The determination of our worldwide provision for income taxes and other tax liabilities requires est</w:t>
      </w:r>
      <w:r>
        <w:rPr>
          <w:rFonts w:ascii="Arial" w:eastAsia="宋体" w:hAnsi="Arial" w:cs="Arial"/>
          <w:sz w:val="20"/>
          <w:szCs w:val="20"/>
        </w:rPr>
        <w:t>imation and significant judgment, and there are many transactions and calculations where the ultimate tax determination is uncertain. Like many other multinational corporations, we are subject to tax in multiple U.S. and foreign jurisdictions and have stru</w:t>
      </w:r>
      <w:r>
        <w:rPr>
          <w:rFonts w:ascii="Arial" w:eastAsia="宋体" w:hAnsi="Arial" w:cs="Arial"/>
          <w:sz w:val="20"/>
          <w:szCs w:val="20"/>
        </w:rPr>
        <w:t xml:space="preserve">ctured our operations to reduce our effective tax rate. Our determination of our tax liability is always subject to audit and review by applicable domestic and foreign tax authorities, and we are currently undergoing a number of investigations, audits and </w:t>
      </w:r>
      <w:r>
        <w:rPr>
          <w:rFonts w:ascii="Arial" w:eastAsia="宋体" w:hAnsi="Arial" w:cs="Arial"/>
          <w:sz w:val="20"/>
          <w:szCs w:val="20"/>
        </w:rPr>
        <w:t>reviews by taxing authorities throughout the world, including with respect to our business structure. Any adverse outcome of any such audit or review could harm our business, and the ultimate tax outcome may differ from the amounts recorded in our financia</w:t>
      </w:r>
      <w:r>
        <w:rPr>
          <w:rFonts w:ascii="Arial" w:eastAsia="宋体" w:hAnsi="Arial" w:cs="Arial"/>
          <w:sz w:val="20"/>
          <w:szCs w:val="20"/>
        </w:rPr>
        <w:t>l statements and may materially affect our financial results in the period or periods for which such determination is made. While we have established reserves based on assumptions and estimates that we believe are reasonable to cover such eventualities, th</w:t>
      </w:r>
      <w:r>
        <w:rPr>
          <w:rFonts w:ascii="Arial" w:eastAsia="宋体" w:hAnsi="Arial" w:cs="Arial"/>
          <w:sz w:val="20"/>
          <w:szCs w:val="20"/>
        </w:rPr>
        <w:t>ese reserves may prove to be insufficient.</w:t>
      </w:r>
    </w:p>
    <w:p w14:paraId="0BC9797B" w14:textId="77777777" w:rsidR="009F0928" w:rsidRDefault="009F0928">
      <w:pPr>
        <w:spacing w:line="288" w:lineRule="auto"/>
        <w:ind w:firstLine="600"/>
        <w:jc w:val="both"/>
        <w:rPr>
          <w:rFonts w:ascii="Times New Roman" w:hAnsi="Times New Roman"/>
          <w:sz w:val="20"/>
          <w:szCs w:val="20"/>
        </w:rPr>
      </w:pPr>
    </w:p>
    <w:p w14:paraId="0BC9797C"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In addition, our future income taxes could be adversely affected by a shift in our jurisdictional earning mix, by changes in the valuation of our deferred tax assets and liabilities, as a result of gains on our f</w:t>
      </w:r>
      <w:r>
        <w:rPr>
          <w:rFonts w:ascii="Arial" w:eastAsia="宋体" w:hAnsi="Arial" w:cs="Arial"/>
          <w:sz w:val="20"/>
          <w:szCs w:val="20"/>
        </w:rPr>
        <w:t xml:space="preserve">oreign exchange risk management program, or changes in tax laws, regulations, or accounting principles, as well as certain discrete items. </w:t>
      </w:r>
    </w:p>
    <w:p w14:paraId="0BC9797D" w14:textId="77777777" w:rsidR="009F0928" w:rsidRDefault="009F0928">
      <w:pPr>
        <w:spacing w:line="288" w:lineRule="auto"/>
        <w:ind w:firstLine="600"/>
        <w:jc w:val="both"/>
        <w:rPr>
          <w:rFonts w:ascii="Times New Roman" w:hAnsi="Times New Roman"/>
          <w:sz w:val="20"/>
          <w:szCs w:val="20"/>
        </w:rPr>
      </w:pPr>
    </w:p>
    <w:p w14:paraId="0BC9797E"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In light of continuing fiscal challenges in certain U.S. states and in many countries in Europe, various levels of </w:t>
      </w:r>
      <w:r>
        <w:rPr>
          <w:rFonts w:ascii="Arial" w:eastAsia="宋体" w:hAnsi="Arial" w:cs="Arial"/>
          <w:sz w:val="20"/>
          <w:szCs w:val="20"/>
        </w:rPr>
        <w:t>government are increasingly focused on tax reform and other legislative action to increase tax revenue, including corporate income taxes. A number of U.S. states have attempted to increase corporate tax revenues by taking an expansive view of corporate pre</w:t>
      </w:r>
      <w:r>
        <w:rPr>
          <w:rFonts w:ascii="Arial" w:eastAsia="宋体" w:hAnsi="Arial" w:cs="Arial"/>
          <w:sz w:val="20"/>
          <w:szCs w:val="20"/>
        </w:rPr>
        <w:t>sence to attempt to impose corporate income taxes and other direct business taxes on companies that have no physical presence in their state, and taxing authorities in foreign jurisdictions may take similar actions. Many U.S. states are also altering their</w:t>
      </w:r>
      <w:r>
        <w:rPr>
          <w:rFonts w:ascii="Arial" w:eastAsia="宋体" w:hAnsi="Arial" w:cs="Arial"/>
          <w:sz w:val="20"/>
          <w:szCs w:val="20"/>
        </w:rPr>
        <w:t xml:space="preserve"> apportionment formulas to increase the amount of taxable income or loss attributable to their state from certain out-of-state businesses. Similarly, in Europe, and elsewhere in the world, there are various tax reform efforts underway designed to ensure th</w:t>
      </w:r>
      <w:r>
        <w:rPr>
          <w:rFonts w:ascii="Arial" w:eastAsia="宋体" w:hAnsi="Arial" w:cs="Arial"/>
          <w:sz w:val="20"/>
          <w:szCs w:val="20"/>
        </w:rPr>
        <w:t>at corporate entities are taxed on a larger percentage of their earnings. Companies that operate over the Internet, such as eBay, are a target of some of these efforts. If more taxing authorities are successful in applying direct taxes to Internet companie</w:t>
      </w:r>
      <w:r>
        <w:rPr>
          <w:rFonts w:ascii="Arial" w:eastAsia="宋体" w:hAnsi="Arial" w:cs="Arial"/>
          <w:sz w:val="20"/>
          <w:szCs w:val="20"/>
        </w:rPr>
        <w:t>s that do not have a physical presence in their respective jurisdictions, this could increase our effective tax rate.</w:t>
      </w:r>
    </w:p>
    <w:p w14:paraId="0BC9797F" w14:textId="77777777" w:rsidR="009F0928" w:rsidRDefault="009F0928">
      <w:pPr>
        <w:spacing w:line="288" w:lineRule="auto"/>
        <w:jc w:val="both"/>
        <w:rPr>
          <w:rFonts w:ascii="Times New Roman" w:hAnsi="Times New Roman"/>
          <w:sz w:val="20"/>
          <w:szCs w:val="20"/>
        </w:rPr>
      </w:pPr>
    </w:p>
    <w:p w14:paraId="0BC97980"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Our business and its users are subject to Internet sales tax and sales reporting and record-keeping obligations.</w:t>
      </w:r>
    </w:p>
    <w:p w14:paraId="0BC97981" w14:textId="77777777" w:rsidR="009F0928" w:rsidRDefault="009F0928">
      <w:pPr>
        <w:spacing w:line="288" w:lineRule="auto"/>
        <w:ind w:firstLine="600"/>
        <w:jc w:val="both"/>
        <w:rPr>
          <w:rFonts w:ascii="Times New Roman" w:hAnsi="Times New Roman"/>
          <w:sz w:val="20"/>
          <w:szCs w:val="20"/>
        </w:rPr>
      </w:pPr>
    </w:p>
    <w:p w14:paraId="0BC97982"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The application of sale</w:t>
      </w:r>
      <w:r>
        <w:rPr>
          <w:rFonts w:ascii="Arial" w:eastAsia="宋体" w:hAnsi="Arial" w:cs="Arial"/>
          <w:sz w:val="20"/>
          <w:szCs w:val="20"/>
        </w:rPr>
        <w:t xml:space="preserve">s tax and other indirect taxes on cross border sales by remote sellers is continuing to change and evolve. On June 21, 2018, the U.S. Supreme Court decided </w:t>
      </w:r>
      <w:r>
        <w:rPr>
          <w:rFonts w:ascii="Arial" w:eastAsia="宋体" w:hAnsi="Arial" w:cs="Arial"/>
          <w:i/>
          <w:iCs/>
          <w:sz w:val="20"/>
          <w:szCs w:val="20"/>
        </w:rPr>
        <w:t>South Dakota v. Wayfair, Inc. et al</w:t>
      </w:r>
      <w:r>
        <w:rPr>
          <w:rFonts w:ascii="Arial" w:eastAsia="宋体" w:hAnsi="Arial" w:cs="Arial"/>
          <w:sz w:val="20"/>
          <w:szCs w:val="20"/>
        </w:rPr>
        <w:t>, a case challenging the current law under which online retailers</w:t>
      </w:r>
      <w:r>
        <w:rPr>
          <w:rFonts w:ascii="Arial" w:eastAsia="宋体" w:hAnsi="Arial" w:cs="Arial"/>
          <w:sz w:val="20"/>
          <w:szCs w:val="20"/>
        </w:rPr>
        <w:t xml:space="preserve"> are not required to collect sales and use tax unless they have a physical presence in the buyer’s state. This decision allows states to adopt new or enforce existing laws requiring sellers to collect and remit sales and use tax, even in states in which th</w:t>
      </w:r>
      <w:r>
        <w:rPr>
          <w:rFonts w:ascii="Arial" w:eastAsia="宋体" w:hAnsi="Arial" w:cs="Arial"/>
          <w:sz w:val="20"/>
          <w:szCs w:val="20"/>
        </w:rPr>
        <w:t>e seller has no presence. The adoption or enforcement of any such legislation could result in a sales and use tax collection responsibility for certain of our sellers. This collection responsibility and the additional costs associated with complex sales an</w:t>
      </w:r>
      <w:r>
        <w:rPr>
          <w:rFonts w:ascii="Arial" w:eastAsia="宋体" w:hAnsi="Arial" w:cs="Arial"/>
          <w:sz w:val="20"/>
          <w:szCs w:val="20"/>
        </w:rPr>
        <w:t>d use tax collection, remittance and audit requirements could create additional burdens for buyers and sellers on our websites and mobile platforms and could harm our business. Moreover, the application of such taxes on our commerce platforms could cause a</w:t>
      </w:r>
      <w:r>
        <w:rPr>
          <w:rFonts w:ascii="Arial" w:eastAsia="宋体" w:hAnsi="Arial" w:cs="Arial"/>
          <w:sz w:val="20"/>
          <w:szCs w:val="20"/>
        </w:rPr>
        <w:t xml:space="preserve"> marketplace to be less attractive to current and prospective buyers, which could adversely impact our business, financial </w:t>
      </w:r>
    </w:p>
    <w:p w14:paraId="0BC97983" w14:textId="77777777" w:rsidR="009F0928" w:rsidRDefault="009F0928">
      <w:pPr>
        <w:rPr>
          <w:rFonts w:ascii="Times New Roman" w:hAnsi="Times New Roman"/>
          <w:sz w:val="20"/>
          <w:szCs w:val="20"/>
        </w:rPr>
      </w:pPr>
    </w:p>
    <w:p w14:paraId="0BC97984"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23</w:t>
      </w:r>
    </w:p>
    <w:p w14:paraId="0BC97985" w14:textId="77777777" w:rsidR="009F0928" w:rsidRDefault="002112BD">
      <w:r>
        <w:rPr>
          <w:rFonts w:ascii="Times New Roman" w:hAnsi="Times New Roman"/>
          <w:sz w:val="18"/>
          <w:szCs w:val="18"/>
        </w:rPr>
        <w:pict w14:anchorId="0BC9B4D2">
          <v:rect id="_x0000_i1048" style="width:415.3pt;height:1.5pt" o:hralign="center" o:hrstd="t" o:hr="t" fillcolor="#a0a0a0" stroked="f"/>
        </w:pict>
      </w:r>
    </w:p>
    <w:p w14:paraId="0BC97986" w14:textId="77777777" w:rsidR="009F0928" w:rsidRDefault="009F0928">
      <w:pPr>
        <w:spacing w:line="288" w:lineRule="auto"/>
        <w:rPr>
          <w:rFonts w:ascii="Times New Roman" w:hAnsi="Times New Roman"/>
          <w:sz w:val="20"/>
          <w:szCs w:val="20"/>
        </w:rPr>
      </w:pPr>
    </w:p>
    <w:p w14:paraId="0BC97987" w14:textId="77777777" w:rsidR="009F0928" w:rsidRDefault="009F0928">
      <w:pPr>
        <w:rPr>
          <w:rFonts w:ascii="Times New Roman" w:hAnsi="Times New Roman"/>
          <w:sz w:val="20"/>
          <w:szCs w:val="20"/>
        </w:rPr>
      </w:pPr>
    </w:p>
    <w:p w14:paraId="0BC97988"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xml:space="preserve">performance, and growth. The majority of U.S. states have enacted laws or have pending legislation that require marketplace </w:t>
      </w:r>
      <w:r>
        <w:rPr>
          <w:rFonts w:ascii="Arial" w:eastAsia="宋体" w:hAnsi="Arial" w:cs="Arial"/>
          <w:sz w:val="20"/>
          <w:szCs w:val="20"/>
        </w:rPr>
        <w:t>facilitators to collect and remit sales tax for some or all sellers using these marketplaces.</w:t>
      </w:r>
    </w:p>
    <w:p w14:paraId="0BC97989" w14:textId="77777777" w:rsidR="009F0928" w:rsidRDefault="009F0928">
      <w:pPr>
        <w:spacing w:line="288" w:lineRule="auto"/>
        <w:ind w:firstLine="600"/>
        <w:jc w:val="both"/>
        <w:rPr>
          <w:rFonts w:ascii="Times New Roman" w:hAnsi="Times New Roman"/>
          <w:sz w:val="20"/>
          <w:szCs w:val="20"/>
        </w:rPr>
      </w:pPr>
    </w:p>
    <w:p w14:paraId="0BC9798A"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Similar laws imposing tax collection responsibility on foreign sellers are being considered in other countries as well. We are now jointly liable for U.K. VAT an</w:t>
      </w:r>
      <w:r>
        <w:rPr>
          <w:rFonts w:ascii="Arial" w:eastAsia="宋体" w:hAnsi="Arial" w:cs="Arial"/>
          <w:sz w:val="20"/>
          <w:szCs w:val="20"/>
        </w:rPr>
        <w:t>d German VAT for certain sellers who fail to fulfill their VAT obligations unless we suspend their eBay activity until the seller resolves the matter with the corresponding VAT authority. Other jurisdictions are considering similar legislation.</w:t>
      </w:r>
    </w:p>
    <w:p w14:paraId="0BC9798B" w14:textId="77777777" w:rsidR="009F0928" w:rsidRDefault="009F0928">
      <w:pPr>
        <w:spacing w:line="288" w:lineRule="auto"/>
        <w:ind w:firstLine="600"/>
        <w:jc w:val="both"/>
        <w:rPr>
          <w:rFonts w:ascii="Times New Roman" w:hAnsi="Times New Roman"/>
          <w:sz w:val="20"/>
          <w:szCs w:val="20"/>
        </w:rPr>
      </w:pPr>
    </w:p>
    <w:p w14:paraId="0BC9798C"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Multiple jurisdictions have enacted laws which require marketplaces to report user activity or collect and remit taxes on certain items sold on the marketplace. For example, we are collecting Australian GST on certain imports into Australia and remitting t</w:t>
      </w:r>
      <w:r>
        <w:rPr>
          <w:rFonts w:ascii="Arial" w:eastAsia="宋体" w:hAnsi="Arial" w:cs="Arial"/>
          <w:sz w:val="20"/>
          <w:szCs w:val="20"/>
        </w:rPr>
        <w:t xml:space="preserve">he GST to the Australian Tax Office. The European Union has also adopted a VAT reform package which starting in 2021 requires marketplaces such as eBay to collect and remit VAT on most imports from outside the European Union. </w:t>
      </w:r>
    </w:p>
    <w:p w14:paraId="0BC9798D" w14:textId="77777777" w:rsidR="009F0928" w:rsidRDefault="009F0928">
      <w:pPr>
        <w:spacing w:line="288" w:lineRule="auto"/>
        <w:ind w:firstLine="600"/>
        <w:jc w:val="both"/>
        <w:rPr>
          <w:rFonts w:ascii="Times New Roman" w:hAnsi="Times New Roman"/>
          <w:sz w:val="20"/>
          <w:szCs w:val="20"/>
        </w:rPr>
      </w:pPr>
    </w:p>
    <w:p w14:paraId="0BC9798E"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One or more states, the U.S.</w:t>
      </w:r>
      <w:r>
        <w:rPr>
          <w:rFonts w:ascii="Arial" w:eastAsia="宋体" w:hAnsi="Arial" w:cs="Arial"/>
          <w:sz w:val="20"/>
          <w:szCs w:val="20"/>
        </w:rPr>
        <w:t xml:space="preserve"> federal government or foreign countries may seek to impose reporting or record-keeping obligations on companies that engage in or facilitate ecommerce. Such an obligation could be imposed by legislation intended to improve tax compliance or if one of our </w:t>
      </w:r>
      <w:r>
        <w:rPr>
          <w:rFonts w:ascii="Arial" w:eastAsia="宋体" w:hAnsi="Arial" w:cs="Arial"/>
          <w:sz w:val="20"/>
          <w:szCs w:val="20"/>
        </w:rPr>
        <w:t>companies was ever deemed to be the legal agent of the users of our services by a jurisdiction in which it operates. Certain of our companies are required to report to the Internal Revenue Service (the “IRS”) and most states on customers subject to U.S. in</w:t>
      </w:r>
      <w:r>
        <w:rPr>
          <w:rFonts w:ascii="Arial" w:eastAsia="宋体" w:hAnsi="Arial" w:cs="Arial"/>
          <w:sz w:val="20"/>
          <w:szCs w:val="20"/>
        </w:rPr>
        <w:t>come tax if they reach certain payment thresholds. As a result, we are required to request tax identification numbers from certain payees, track payments by tax identification number and, under certain conditions, withhold a portion of payments and forward</w:t>
      </w:r>
      <w:r>
        <w:rPr>
          <w:rFonts w:ascii="Arial" w:eastAsia="宋体" w:hAnsi="Arial" w:cs="Arial"/>
          <w:sz w:val="20"/>
          <w:szCs w:val="20"/>
        </w:rPr>
        <w:t xml:space="preserve"> such withholding to the IRS. These obligations can increase operational costs and change our user experience. Any failure by us to meet these requirements could result in substantial monetary penalties and other sanctions and could harm our business. Impo</w:t>
      </w:r>
      <w:r>
        <w:rPr>
          <w:rFonts w:ascii="Arial" w:eastAsia="宋体" w:hAnsi="Arial" w:cs="Arial"/>
          <w:sz w:val="20"/>
          <w:szCs w:val="20"/>
        </w:rPr>
        <w:t xml:space="preserve">sition of an information reporting requirement could decrease seller or buyer activity on our sites and would harm our business. </w:t>
      </w:r>
    </w:p>
    <w:p w14:paraId="0BC9798F" w14:textId="77777777" w:rsidR="009F0928" w:rsidRDefault="009F0928">
      <w:pPr>
        <w:spacing w:line="288" w:lineRule="auto"/>
        <w:ind w:firstLine="600"/>
        <w:jc w:val="both"/>
        <w:rPr>
          <w:rFonts w:ascii="Times New Roman" w:hAnsi="Times New Roman"/>
          <w:sz w:val="20"/>
          <w:szCs w:val="20"/>
        </w:rPr>
      </w:pPr>
    </w:p>
    <w:p w14:paraId="0BC97990"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have periodically received requests from tax authorities for information regarding the transactions of large classes of se</w:t>
      </w:r>
      <w:r>
        <w:rPr>
          <w:rFonts w:ascii="Arial" w:eastAsia="宋体" w:hAnsi="Arial" w:cs="Arial"/>
          <w:sz w:val="20"/>
          <w:szCs w:val="20"/>
        </w:rPr>
        <w:t>llers on our sites, and in some cases we have been legally obligated to provide this data. The imposition of any requirements on us to disclose transaction records for all or a class of sellers to tax or other regulatory authorities or to file tax forms on</w:t>
      </w:r>
      <w:r>
        <w:rPr>
          <w:rFonts w:ascii="Arial" w:eastAsia="宋体" w:hAnsi="Arial" w:cs="Arial"/>
          <w:sz w:val="20"/>
          <w:szCs w:val="20"/>
        </w:rPr>
        <w:t xml:space="preserve"> behalf of any sellers, especially requirements that are imposed on us but not on alternative means of ecommerce, and any use of those records to investigate, collect taxes from or prosecute sellers or buyers, could decrease activity on our sites and harm </w:t>
      </w:r>
      <w:r>
        <w:rPr>
          <w:rFonts w:ascii="Arial" w:eastAsia="宋体" w:hAnsi="Arial" w:cs="Arial"/>
          <w:sz w:val="20"/>
          <w:szCs w:val="20"/>
        </w:rPr>
        <w:t>our business.</w:t>
      </w:r>
    </w:p>
    <w:p w14:paraId="0BC97991" w14:textId="77777777" w:rsidR="009F0928" w:rsidRDefault="009F0928">
      <w:pPr>
        <w:spacing w:line="288" w:lineRule="auto"/>
        <w:ind w:firstLine="600"/>
        <w:jc w:val="both"/>
        <w:rPr>
          <w:rFonts w:ascii="Times New Roman" w:hAnsi="Times New Roman"/>
          <w:sz w:val="20"/>
          <w:szCs w:val="20"/>
        </w:rPr>
      </w:pPr>
    </w:p>
    <w:p w14:paraId="0BC97992"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Our business is subject to online security risks, including security breaches and cyberattacks.</w:t>
      </w:r>
    </w:p>
    <w:p w14:paraId="0BC97993" w14:textId="77777777" w:rsidR="009F0928" w:rsidRDefault="009F0928">
      <w:pPr>
        <w:spacing w:line="288" w:lineRule="auto"/>
        <w:ind w:firstLine="600"/>
        <w:jc w:val="both"/>
        <w:rPr>
          <w:rFonts w:ascii="Times New Roman" w:hAnsi="Times New Roman"/>
          <w:sz w:val="20"/>
          <w:szCs w:val="20"/>
        </w:rPr>
      </w:pPr>
    </w:p>
    <w:p w14:paraId="0BC97994"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Our businesses involve the storage and transmission of users’ personal financial information. In addition, a significant number of our users aut</w:t>
      </w:r>
      <w:r>
        <w:rPr>
          <w:rFonts w:ascii="Arial" w:eastAsia="宋体" w:hAnsi="Arial" w:cs="Arial"/>
          <w:sz w:val="20"/>
          <w:szCs w:val="20"/>
        </w:rPr>
        <w:t>horize us to bill their payment card accounts directly for all transaction and other fees charged by us or, in certain cases, third-party service providers utilized in our payment services. An increasing number of websites, including those owned by several</w:t>
      </w:r>
      <w:r>
        <w:rPr>
          <w:rFonts w:ascii="Arial" w:eastAsia="宋体" w:hAnsi="Arial" w:cs="Arial"/>
          <w:sz w:val="20"/>
          <w:szCs w:val="20"/>
        </w:rPr>
        <w:t xml:space="preserve"> other large Internet and offline companies, have disclosed breaches of their security, some of which have involved sophisticated and highly targeted attacks on portions of their websites or infrastructure. The techniques used to obtain unauthorized access</w:t>
      </w:r>
      <w:r>
        <w:rPr>
          <w:rFonts w:ascii="Arial" w:eastAsia="宋体" w:hAnsi="Arial" w:cs="Arial"/>
          <w:sz w:val="20"/>
          <w:szCs w:val="20"/>
        </w:rPr>
        <w:t>, disable, or degrade service, or sabotage systems, change frequently, may be difficult to detect for a long time, and often are not recognized until launched against a target. Certain efforts may be state sponsored and supported by significant financial a</w:t>
      </w:r>
      <w:r>
        <w:rPr>
          <w:rFonts w:ascii="Arial" w:eastAsia="宋体" w:hAnsi="Arial" w:cs="Arial"/>
          <w:sz w:val="20"/>
          <w:szCs w:val="20"/>
        </w:rPr>
        <w:t xml:space="preserve">nd technological resources and therefore may be even more difficult to detect. As a result, we may be unable to anticipate these techniques or to implement adequate preventative measures. Unauthorized parties may also attempt to gain access to our systems </w:t>
      </w:r>
      <w:r>
        <w:rPr>
          <w:rFonts w:ascii="Arial" w:eastAsia="宋体" w:hAnsi="Arial" w:cs="Arial"/>
          <w:sz w:val="20"/>
          <w:szCs w:val="20"/>
        </w:rPr>
        <w:t>or facilities through various means, including hacking into our systems or facilities, fraud, trickery or other means of deceiving our employees, contractors and temporary staff. A party that is able to circumvent our security measures, or those of our thi</w:t>
      </w:r>
      <w:r>
        <w:rPr>
          <w:rFonts w:ascii="Arial" w:eastAsia="宋体" w:hAnsi="Arial" w:cs="Arial"/>
          <w:sz w:val="20"/>
          <w:szCs w:val="20"/>
        </w:rPr>
        <w:t xml:space="preserve">rd-party service providers, could misappropriate our or our users’ personal information, cause interruption or degradations in our operations, damage our computers or those of our users, or otherwise damage our reputation. In addition, our users have been </w:t>
      </w:r>
      <w:r>
        <w:rPr>
          <w:rFonts w:ascii="Arial" w:eastAsia="宋体" w:hAnsi="Arial" w:cs="Arial"/>
          <w:sz w:val="20"/>
          <w:szCs w:val="20"/>
        </w:rPr>
        <w:t>and likely will continue to be targeted by parties using fraudulent “spoof” and “phishing” emails to misappropriate user names, passwords, payment card numbers, or other personal information or to introduce viruses or other malware through “trojan horse” p</w:t>
      </w:r>
      <w:r>
        <w:rPr>
          <w:rFonts w:ascii="Arial" w:eastAsia="宋体" w:hAnsi="Arial" w:cs="Arial"/>
          <w:sz w:val="20"/>
          <w:szCs w:val="20"/>
        </w:rPr>
        <w:t>rograms to our users’ computers. Our information technology and infrastructure may be vulnerable to cyberattacks or security incidents and third parties may be able to access our users’ proprietary information and payment card data that are stored on or ac</w:t>
      </w:r>
      <w:r>
        <w:rPr>
          <w:rFonts w:ascii="Arial" w:eastAsia="宋体" w:hAnsi="Arial" w:cs="Arial"/>
          <w:sz w:val="20"/>
          <w:szCs w:val="20"/>
        </w:rPr>
        <w:t>cessible through our systems. Any security breach at a company providing services to us or our users could have similar effects.</w:t>
      </w:r>
    </w:p>
    <w:p w14:paraId="0BC97995" w14:textId="77777777" w:rsidR="009F0928" w:rsidRDefault="009F0928">
      <w:pPr>
        <w:spacing w:line="288" w:lineRule="auto"/>
        <w:ind w:firstLine="600"/>
        <w:jc w:val="both"/>
        <w:rPr>
          <w:rFonts w:ascii="Times New Roman" w:hAnsi="Times New Roman"/>
          <w:sz w:val="20"/>
          <w:szCs w:val="20"/>
        </w:rPr>
      </w:pPr>
    </w:p>
    <w:p w14:paraId="0BC97996"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In May 2014, we publicly announced that criminals were able to penetrate and steal certain data, including usernames, encrypte</w:t>
      </w:r>
      <w:r>
        <w:rPr>
          <w:rFonts w:ascii="Arial" w:eastAsia="宋体" w:hAnsi="Arial" w:cs="Arial"/>
          <w:sz w:val="20"/>
          <w:szCs w:val="20"/>
        </w:rPr>
        <w:t xml:space="preserve">d user passwords and other non-financial user data. Upon making this announcement, we required </w:t>
      </w:r>
    </w:p>
    <w:p w14:paraId="0BC97997" w14:textId="77777777" w:rsidR="009F0928" w:rsidRDefault="009F0928">
      <w:pPr>
        <w:rPr>
          <w:rFonts w:ascii="Times New Roman" w:hAnsi="Times New Roman"/>
          <w:sz w:val="20"/>
          <w:szCs w:val="20"/>
        </w:rPr>
      </w:pPr>
    </w:p>
    <w:p w14:paraId="0BC97998"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24</w:t>
      </w:r>
    </w:p>
    <w:p w14:paraId="0BC97999" w14:textId="77777777" w:rsidR="009F0928" w:rsidRDefault="002112BD">
      <w:r>
        <w:rPr>
          <w:rFonts w:ascii="Times New Roman" w:hAnsi="Times New Roman"/>
          <w:sz w:val="18"/>
          <w:szCs w:val="18"/>
        </w:rPr>
        <w:pict w14:anchorId="0BC9B4D3">
          <v:rect id="_x0000_i1049" style="width:415.3pt;height:1.5pt" o:hralign="center" o:hrstd="t" o:hr="t" fillcolor="#a0a0a0" stroked="f"/>
        </w:pict>
      </w:r>
    </w:p>
    <w:p w14:paraId="0BC9799A" w14:textId="77777777" w:rsidR="009F0928" w:rsidRDefault="009F0928">
      <w:pPr>
        <w:spacing w:line="288" w:lineRule="auto"/>
        <w:rPr>
          <w:rFonts w:ascii="Times New Roman" w:hAnsi="Times New Roman"/>
          <w:sz w:val="20"/>
          <w:szCs w:val="20"/>
        </w:rPr>
      </w:pPr>
    </w:p>
    <w:p w14:paraId="0BC9799B" w14:textId="77777777" w:rsidR="009F0928" w:rsidRDefault="009F0928">
      <w:pPr>
        <w:rPr>
          <w:rFonts w:ascii="Times New Roman" w:hAnsi="Times New Roman"/>
          <w:sz w:val="20"/>
          <w:szCs w:val="20"/>
        </w:rPr>
      </w:pPr>
    </w:p>
    <w:p w14:paraId="0BC9799C"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all buyers and sellers on our platform to reset their passwords in order to log into their account. The breach and subsequent password reset have negati</w:t>
      </w:r>
      <w:r>
        <w:rPr>
          <w:rFonts w:ascii="Arial" w:eastAsia="宋体" w:hAnsi="Arial" w:cs="Arial"/>
          <w:sz w:val="20"/>
          <w:szCs w:val="20"/>
        </w:rPr>
        <w:t xml:space="preserve">vely impacted the business. In July 2014, a putative class action lawsuit was filed against us for alleged violations and harm resulting from the breach. The lawsuit was dismissed with leave to amend. In addition, we have received requests for information </w:t>
      </w:r>
      <w:r>
        <w:rPr>
          <w:rFonts w:ascii="Arial" w:eastAsia="宋体" w:hAnsi="Arial" w:cs="Arial"/>
          <w:sz w:val="20"/>
          <w:szCs w:val="20"/>
        </w:rPr>
        <w:t>and became subject to investigations regarding this incident from numerous regulatory and other government agencies across the world.</w:t>
      </w:r>
    </w:p>
    <w:p w14:paraId="0BC9799D" w14:textId="77777777" w:rsidR="009F0928" w:rsidRDefault="009F0928">
      <w:pPr>
        <w:spacing w:line="288" w:lineRule="auto"/>
        <w:ind w:firstLine="600"/>
        <w:jc w:val="both"/>
        <w:rPr>
          <w:rFonts w:ascii="Times New Roman" w:hAnsi="Times New Roman"/>
          <w:sz w:val="20"/>
          <w:szCs w:val="20"/>
        </w:rPr>
      </w:pPr>
    </w:p>
    <w:p w14:paraId="0BC9799E"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may also need to expend significant additional resources to protect against security breaches or to redress problems c</w:t>
      </w:r>
      <w:r>
        <w:rPr>
          <w:rFonts w:ascii="Arial" w:eastAsia="宋体" w:hAnsi="Arial" w:cs="Arial"/>
          <w:sz w:val="20"/>
          <w:szCs w:val="20"/>
        </w:rPr>
        <w:t xml:space="preserve">aused by breaches. These issues are likely to become more difficult and costly as we expand the number of markets where we operate. Additionally, our insurance policies carry low coverage limits, which may not be adequate to reimburse us for losses caused </w:t>
      </w:r>
      <w:r>
        <w:rPr>
          <w:rFonts w:ascii="Arial" w:eastAsia="宋体" w:hAnsi="Arial" w:cs="Arial"/>
          <w:sz w:val="20"/>
          <w:szCs w:val="20"/>
        </w:rPr>
        <w:t>by security breaches and we may not be able to fully collect, if at all, under these insurance policies.</w:t>
      </w:r>
    </w:p>
    <w:p w14:paraId="0BC9799F" w14:textId="77777777" w:rsidR="009F0928" w:rsidRDefault="009F0928">
      <w:pPr>
        <w:spacing w:line="288" w:lineRule="auto"/>
        <w:ind w:firstLine="600"/>
        <w:jc w:val="both"/>
        <w:rPr>
          <w:rFonts w:ascii="Times New Roman" w:hAnsi="Times New Roman"/>
          <w:sz w:val="20"/>
          <w:szCs w:val="20"/>
        </w:rPr>
      </w:pPr>
    </w:p>
    <w:p w14:paraId="0BC979A0"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Systems failures or cyberattacks and resulting interruptions in the availability of or degradation in the performance of our websites, applications, p</w:t>
      </w:r>
      <w:r>
        <w:rPr>
          <w:rFonts w:ascii="Arial" w:eastAsia="宋体" w:hAnsi="Arial" w:cs="Arial"/>
          <w:i/>
          <w:iCs/>
          <w:sz w:val="20"/>
          <w:szCs w:val="20"/>
        </w:rPr>
        <w:t xml:space="preserve">roducts or services could harm our business. </w:t>
      </w:r>
    </w:p>
    <w:p w14:paraId="0BC979A1" w14:textId="77777777" w:rsidR="009F0928" w:rsidRDefault="009F0928">
      <w:pPr>
        <w:spacing w:line="288" w:lineRule="auto"/>
        <w:ind w:firstLine="600"/>
        <w:jc w:val="both"/>
        <w:rPr>
          <w:rFonts w:ascii="Times New Roman" w:hAnsi="Times New Roman"/>
          <w:sz w:val="20"/>
          <w:szCs w:val="20"/>
        </w:rPr>
      </w:pPr>
    </w:p>
    <w:p w14:paraId="0BC979A2"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Our systems may experience service interruptions or degradation due to of hardware and software defects or malfunctions, computer denial-of-service and other cyberattacks, human error, earthquakes, hurricanes,</w:t>
      </w:r>
      <w:r>
        <w:rPr>
          <w:rFonts w:ascii="Arial" w:eastAsia="宋体" w:hAnsi="Arial" w:cs="Arial"/>
          <w:sz w:val="20"/>
          <w:szCs w:val="20"/>
        </w:rPr>
        <w:t xml:space="preserve"> floods, fires, natural disasters, power losses, disruptions in telecommunications services, fraud, military or political conflicts, terrorist attacks, computer viruses, or other events. Our systems are also subject to break-ins, sabotage and intentional a</w:t>
      </w:r>
      <w:r>
        <w:rPr>
          <w:rFonts w:ascii="Arial" w:eastAsia="宋体" w:hAnsi="Arial" w:cs="Arial"/>
          <w:sz w:val="20"/>
          <w:szCs w:val="20"/>
        </w:rPr>
        <w:t xml:space="preserve">cts of vandalism. Some of our systems are not fully redundant and our disaster recovery planning is not sufficient for all eventualities. </w:t>
      </w:r>
    </w:p>
    <w:p w14:paraId="0BC979A3" w14:textId="77777777" w:rsidR="009F0928" w:rsidRDefault="009F0928">
      <w:pPr>
        <w:spacing w:line="288" w:lineRule="auto"/>
        <w:ind w:firstLine="600"/>
        <w:jc w:val="both"/>
        <w:rPr>
          <w:rFonts w:ascii="Times New Roman" w:hAnsi="Times New Roman"/>
          <w:sz w:val="20"/>
          <w:szCs w:val="20"/>
        </w:rPr>
      </w:pPr>
    </w:p>
    <w:p w14:paraId="0BC979A4"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have experienced and will likely continue to experience system failures, denial-of-service attacks and other even</w:t>
      </w:r>
      <w:r>
        <w:rPr>
          <w:rFonts w:ascii="Arial" w:eastAsia="宋体" w:hAnsi="Arial" w:cs="Arial"/>
          <w:sz w:val="20"/>
          <w:szCs w:val="20"/>
        </w:rPr>
        <w:t>ts or conditions from time to time that interrupt the availability or reduce the speed or functionality of our websites and mobile applications, including our payments services. These events have resulted and likely will result in loss of revenue. A prolon</w:t>
      </w:r>
      <w:r>
        <w:rPr>
          <w:rFonts w:ascii="Arial" w:eastAsia="宋体" w:hAnsi="Arial" w:cs="Arial"/>
          <w:sz w:val="20"/>
          <w:szCs w:val="20"/>
        </w:rPr>
        <w:t xml:space="preserve">ged interruption in the availability or reduction in the speed or other functionality of our websites and mobile applications or payments services could materially harm our business. Frequent or persistent interruptions in our services could cause current </w:t>
      </w:r>
      <w:r>
        <w:rPr>
          <w:rFonts w:ascii="Arial" w:eastAsia="宋体" w:hAnsi="Arial" w:cs="Arial"/>
          <w:sz w:val="20"/>
          <w:szCs w:val="20"/>
        </w:rPr>
        <w:t>or potential users to believe that our systems are unreliable, leading them to switch to our competitors or to avoid our sites, and could permanently harm our reputation and brands. Moreover, to the extent that any system failure or similar event results i</w:t>
      </w:r>
      <w:r>
        <w:rPr>
          <w:rFonts w:ascii="Arial" w:eastAsia="宋体" w:hAnsi="Arial" w:cs="Arial"/>
          <w:sz w:val="20"/>
          <w:szCs w:val="20"/>
        </w:rPr>
        <w:t>n damages to our customers or their businesses, these customers could seek significant compensation from us for their losses and those claims, even if unsuccessful, would likely be time-consuming and costly for us to address. We also rely on facilities, co</w:t>
      </w:r>
      <w:r>
        <w:rPr>
          <w:rFonts w:ascii="Arial" w:eastAsia="宋体" w:hAnsi="Arial" w:cs="Arial"/>
          <w:sz w:val="20"/>
          <w:szCs w:val="20"/>
        </w:rPr>
        <w:t>mponents and services supplied by third parties and our business may be materially adversely affected to the extent these components or services do not meet our expectations or these third parties cease to provide the services or facilities. In particular,</w:t>
      </w:r>
      <w:r>
        <w:rPr>
          <w:rFonts w:ascii="Arial" w:eastAsia="宋体" w:hAnsi="Arial" w:cs="Arial"/>
          <w:sz w:val="20"/>
          <w:szCs w:val="20"/>
        </w:rPr>
        <w:t xml:space="preserve"> a decision by any of our third-party hosting providers to close a facility that we use could cause system interruptions and delays, result in loss of critical data and cause lengthy interruptions in our services. We do not carry business interruption insu</w:t>
      </w:r>
      <w:r>
        <w:rPr>
          <w:rFonts w:ascii="Arial" w:eastAsia="宋体" w:hAnsi="Arial" w:cs="Arial"/>
          <w:sz w:val="20"/>
          <w:szCs w:val="20"/>
        </w:rPr>
        <w:t>rance sufficient to compensate us for losses that may result from interruptions in our service as a result of systems failures and similar events.</w:t>
      </w:r>
    </w:p>
    <w:p w14:paraId="0BC979A5" w14:textId="77777777" w:rsidR="009F0928" w:rsidRDefault="009F0928">
      <w:pPr>
        <w:spacing w:line="288" w:lineRule="auto"/>
        <w:ind w:firstLine="600"/>
        <w:jc w:val="both"/>
        <w:rPr>
          <w:rFonts w:ascii="Times New Roman" w:hAnsi="Times New Roman"/>
          <w:sz w:val="20"/>
          <w:szCs w:val="20"/>
        </w:rPr>
      </w:pPr>
    </w:p>
    <w:p w14:paraId="0BC979A6" w14:textId="77777777" w:rsidR="009F0928" w:rsidRDefault="002112BD">
      <w:pPr>
        <w:spacing w:line="288" w:lineRule="auto"/>
        <w:ind w:firstLine="580"/>
        <w:jc w:val="both"/>
        <w:rPr>
          <w:rFonts w:ascii="Times New Roman" w:hAnsi="Times New Roman"/>
          <w:sz w:val="20"/>
          <w:szCs w:val="20"/>
        </w:rPr>
      </w:pPr>
      <w:r>
        <w:rPr>
          <w:rFonts w:ascii="Arial" w:eastAsia="宋体" w:hAnsi="Arial" w:cs="Arial"/>
          <w:i/>
          <w:iCs/>
          <w:sz w:val="20"/>
          <w:szCs w:val="20"/>
        </w:rPr>
        <w:t xml:space="preserve">The closing of the proposed sale of StubHub is subject to various risks and uncertainties, may not be </w:t>
      </w:r>
      <w:r>
        <w:rPr>
          <w:rFonts w:ascii="Arial" w:eastAsia="宋体" w:hAnsi="Arial" w:cs="Arial"/>
          <w:i/>
          <w:iCs/>
          <w:sz w:val="20"/>
          <w:szCs w:val="20"/>
        </w:rPr>
        <w:t>completed in accordance with expected plans or on the currently contemplated timeline, or at all, and the pending sale may be disruptive to StubHub.</w:t>
      </w:r>
    </w:p>
    <w:p w14:paraId="0BC979A7" w14:textId="77777777" w:rsidR="009F0928" w:rsidRDefault="009F0928">
      <w:pPr>
        <w:spacing w:line="288" w:lineRule="auto"/>
        <w:ind w:firstLine="580"/>
        <w:jc w:val="both"/>
        <w:rPr>
          <w:rFonts w:ascii="Times New Roman" w:hAnsi="Times New Roman"/>
          <w:sz w:val="20"/>
          <w:szCs w:val="20"/>
        </w:rPr>
      </w:pPr>
    </w:p>
    <w:p w14:paraId="0BC979A8" w14:textId="77777777" w:rsidR="009F0928" w:rsidRDefault="002112BD">
      <w:pPr>
        <w:spacing w:line="288" w:lineRule="auto"/>
        <w:ind w:firstLine="580"/>
        <w:jc w:val="both"/>
        <w:rPr>
          <w:rFonts w:ascii="Times New Roman" w:hAnsi="Times New Roman"/>
          <w:sz w:val="20"/>
          <w:szCs w:val="20"/>
        </w:rPr>
      </w:pPr>
      <w:r>
        <w:rPr>
          <w:rFonts w:ascii="Arial" w:eastAsia="宋体" w:hAnsi="Arial" w:cs="Arial"/>
          <w:sz w:val="20"/>
          <w:szCs w:val="20"/>
        </w:rPr>
        <w:t>As previously announced, on November 24, 2019, we entered into a stock purchase agreement with an affiliat</w:t>
      </w:r>
      <w:r>
        <w:rPr>
          <w:rFonts w:ascii="Arial" w:eastAsia="宋体" w:hAnsi="Arial" w:cs="Arial"/>
          <w:sz w:val="20"/>
          <w:szCs w:val="20"/>
        </w:rPr>
        <w:t xml:space="preserve">e of viagogo to sell StubHub. </w:t>
      </w:r>
    </w:p>
    <w:p w14:paraId="0BC979A9" w14:textId="77777777" w:rsidR="009F0928" w:rsidRDefault="009F0928">
      <w:pPr>
        <w:spacing w:line="288" w:lineRule="auto"/>
        <w:ind w:firstLine="580"/>
        <w:jc w:val="both"/>
        <w:rPr>
          <w:rFonts w:ascii="Times New Roman" w:hAnsi="Times New Roman"/>
          <w:sz w:val="20"/>
          <w:szCs w:val="20"/>
        </w:rPr>
      </w:pPr>
    </w:p>
    <w:p w14:paraId="0BC979AA" w14:textId="77777777" w:rsidR="009F0928" w:rsidRDefault="002112BD">
      <w:pPr>
        <w:spacing w:line="288" w:lineRule="auto"/>
        <w:ind w:firstLine="580"/>
        <w:jc w:val="both"/>
        <w:rPr>
          <w:rFonts w:ascii="Times New Roman" w:hAnsi="Times New Roman"/>
          <w:sz w:val="20"/>
          <w:szCs w:val="20"/>
        </w:rPr>
      </w:pPr>
      <w:r>
        <w:rPr>
          <w:rFonts w:ascii="Arial" w:eastAsia="宋体" w:hAnsi="Arial" w:cs="Arial"/>
          <w:sz w:val="20"/>
          <w:szCs w:val="20"/>
        </w:rPr>
        <w:t>The sale is expected to close by the end of the first quarter of 2020. </w:t>
      </w:r>
      <w:r>
        <w:rPr>
          <w:rFonts w:ascii="Arial" w:eastAsia="宋体" w:hAnsi="Arial" w:cs="Arial"/>
          <w:color w:val="222222"/>
          <w:sz w:val="20"/>
          <w:szCs w:val="20"/>
        </w:rPr>
        <w:t>The completion, on our expected timeline, of the proposed sale of StubHub is subject to closing conditions and viagogo’s ability to obtain debt and equit</w:t>
      </w:r>
      <w:r>
        <w:rPr>
          <w:rFonts w:ascii="Arial" w:eastAsia="宋体" w:hAnsi="Arial" w:cs="Arial"/>
          <w:color w:val="222222"/>
          <w:sz w:val="20"/>
          <w:szCs w:val="20"/>
        </w:rPr>
        <w:t>y financing on a timely basis. </w:t>
      </w:r>
      <w:r>
        <w:rPr>
          <w:rFonts w:ascii="Arial" w:eastAsia="宋体" w:hAnsi="Arial" w:cs="Arial"/>
          <w:sz w:val="20"/>
          <w:szCs w:val="20"/>
        </w:rPr>
        <w:t xml:space="preserve">If the conditions to the closing of the sale of StubHub are neither satisfied nor, where permissible, waived on a timely basis or at all, we may be unable to complete the sale of StubHub or such completion may be </w:t>
      </w:r>
      <w:r>
        <w:rPr>
          <w:rFonts w:ascii="Arial" w:eastAsia="宋体" w:hAnsi="Arial" w:cs="Arial"/>
          <w:sz w:val="20"/>
          <w:szCs w:val="20"/>
        </w:rPr>
        <w:t>delayed beyond our expected timeline</w:t>
      </w:r>
      <w:r>
        <w:rPr>
          <w:rFonts w:ascii="Arial" w:eastAsia="宋体" w:hAnsi="Arial" w:cs="Arial"/>
          <w:color w:val="222222"/>
          <w:sz w:val="20"/>
          <w:szCs w:val="20"/>
        </w:rPr>
        <w:t xml:space="preserve">. </w:t>
      </w:r>
      <w:r>
        <w:rPr>
          <w:rFonts w:ascii="Arial" w:eastAsia="宋体" w:hAnsi="Arial" w:cs="Arial"/>
          <w:sz w:val="20"/>
          <w:szCs w:val="20"/>
        </w:rPr>
        <w:t>We are also subject to risks regarding the failure of the buyer to obtain the necessary financing to complete the transactions contemplated by the stock purchase agreement and risks related to the equity and debt finan</w:t>
      </w:r>
      <w:r>
        <w:rPr>
          <w:rFonts w:ascii="Arial" w:eastAsia="宋体" w:hAnsi="Arial" w:cs="Arial"/>
          <w:sz w:val="20"/>
          <w:szCs w:val="20"/>
        </w:rPr>
        <w:t>cing and related guarantee arrangements entered in connection with the stock purchase agreement. </w:t>
      </w:r>
    </w:p>
    <w:p w14:paraId="0BC979AB" w14:textId="77777777" w:rsidR="009F0928" w:rsidRDefault="009F0928">
      <w:pPr>
        <w:spacing w:line="288" w:lineRule="auto"/>
        <w:ind w:firstLine="580"/>
        <w:jc w:val="both"/>
        <w:rPr>
          <w:rFonts w:ascii="Times New Roman" w:hAnsi="Times New Roman"/>
          <w:sz w:val="20"/>
          <w:szCs w:val="20"/>
        </w:rPr>
      </w:pPr>
    </w:p>
    <w:p w14:paraId="0BC979AC" w14:textId="77777777" w:rsidR="009F0928" w:rsidRDefault="002112BD">
      <w:pPr>
        <w:spacing w:line="288" w:lineRule="auto"/>
        <w:ind w:firstLine="580"/>
        <w:jc w:val="both"/>
        <w:rPr>
          <w:rFonts w:ascii="Times New Roman" w:hAnsi="Times New Roman"/>
          <w:sz w:val="20"/>
          <w:szCs w:val="20"/>
        </w:rPr>
      </w:pPr>
      <w:r>
        <w:rPr>
          <w:rFonts w:ascii="Arial" w:eastAsia="宋体" w:hAnsi="Arial" w:cs="Arial"/>
          <w:sz w:val="20"/>
          <w:szCs w:val="20"/>
        </w:rPr>
        <w:t>Whether or not the proposed sale of StubHub is completed, the announcement and pendency of the StubHub sale may be disruptive to StubHub and may adversely af</w:t>
      </w:r>
      <w:r>
        <w:rPr>
          <w:rFonts w:ascii="Arial" w:eastAsia="宋体" w:hAnsi="Arial" w:cs="Arial"/>
          <w:sz w:val="20"/>
          <w:szCs w:val="20"/>
        </w:rPr>
        <w:t xml:space="preserve">fect StubHub’s relationships with current and prospective employees and business partners and buyers and sellers on its platform. Uncertainties related to the pending sale of </w:t>
      </w:r>
    </w:p>
    <w:p w14:paraId="0BC979AD" w14:textId="77777777" w:rsidR="009F0928" w:rsidRDefault="009F0928">
      <w:pPr>
        <w:rPr>
          <w:rFonts w:ascii="Times New Roman" w:hAnsi="Times New Roman"/>
          <w:sz w:val="20"/>
          <w:szCs w:val="20"/>
        </w:rPr>
      </w:pPr>
    </w:p>
    <w:p w14:paraId="0BC979AE"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25</w:t>
      </w:r>
    </w:p>
    <w:p w14:paraId="0BC979AF" w14:textId="77777777" w:rsidR="009F0928" w:rsidRDefault="002112BD">
      <w:r>
        <w:rPr>
          <w:rFonts w:ascii="Times New Roman" w:hAnsi="Times New Roman"/>
          <w:sz w:val="18"/>
          <w:szCs w:val="18"/>
        </w:rPr>
        <w:pict w14:anchorId="0BC9B4D4">
          <v:rect id="_x0000_i1050" style="width:415.3pt;height:1.5pt" o:hralign="center" o:hrstd="t" o:hr="t" fillcolor="#a0a0a0" stroked="f"/>
        </w:pict>
      </w:r>
    </w:p>
    <w:p w14:paraId="0BC979B0" w14:textId="77777777" w:rsidR="009F0928" w:rsidRDefault="009F0928">
      <w:pPr>
        <w:spacing w:line="288" w:lineRule="auto"/>
        <w:rPr>
          <w:rFonts w:ascii="Times New Roman" w:hAnsi="Times New Roman"/>
          <w:sz w:val="20"/>
          <w:szCs w:val="20"/>
        </w:rPr>
      </w:pPr>
    </w:p>
    <w:p w14:paraId="0BC979B1" w14:textId="77777777" w:rsidR="009F0928" w:rsidRDefault="009F0928">
      <w:pPr>
        <w:rPr>
          <w:rFonts w:ascii="Times New Roman" w:hAnsi="Times New Roman"/>
          <w:sz w:val="20"/>
          <w:szCs w:val="20"/>
        </w:rPr>
      </w:pPr>
    </w:p>
    <w:p w14:paraId="0BC979B2"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StubHub may impair StubHub’s ability to attract, retain and motivate key</w:t>
      </w:r>
      <w:r>
        <w:rPr>
          <w:rFonts w:ascii="Arial" w:eastAsia="宋体" w:hAnsi="Arial" w:cs="Arial"/>
          <w:sz w:val="20"/>
          <w:szCs w:val="20"/>
        </w:rPr>
        <w:t xml:space="preserve"> personnel and could divert the attention of StubHub’s management and other employees from its day-to-day business and operations in preparation for and during the sale. If we are unable to effectively manage these risks, StubHub’s business, results of ope</w:t>
      </w:r>
      <w:r>
        <w:rPr>
          <w:rFonts w:ascii="Arial" w:eastAsia="宋体" w:hAnsi="Arial" w:cs="Arial"/>
          <w:sz w:val="20"/>
          <w:szCs w:val="20"/>
        </w:rPr>
        <w:t>rations, financial condition and prospects would be adversely affected.</w:t>
      </w:r>
    </w:p>
    <w:p w14:paraId="0BC979B3" w14:textId="77777777" w:rsidR="009F0928" w:rsidRDefault="009F0928">
      <w:pPr>
        <w:spacing w:line="288" w:lineRule="auto"/>
        <w:ind w:firstLine="580"/>
        <w:jc w:val="both"/>
        <w:rPr>
          <w:rFonts w:ascii="Times New Roman" w:hAnsi="Times New Roman"/>
          <w:sz w:val="20"/>
          <w:szCs w:val="20"/>
        </w:rPr>
      </w:pPr>
    </w:p>
    <w:p w14:paraId="0BC979B4" w14:textId="77777777" w:rsidR="009F0928" w:rsidRDefault="002112BD">
      <w:pPr>
        <w:spacing w:line="288" w:lineRule="auto"/>
        <w:ind w:firstLine="580"/>
        <w:jc w:val="both"/>
        <w:rPr>
          <w:rFonts w:ascii="Times New Roman" w:hAnsi="Times New Roman"/>
          <w:sz w:val="20"/>
          <w:szCs w:val="20"/>
        </w:rPr>
      </w:pPr>
      <w:r>
        <w:rPr>
          <w:rFonts w:ascii="Arial" w:eastAsia="宋体" w:hAnsi="Arial" w:cs="Arial"/>
          <w:sz w:val="20"/>
          <w:szCs w:val="20"/>
        </w:rPr>
        <w:t xml:space="preserve">If the proposed sale of StubHub is delayed or not completed for any reason, including due to the inability to satisfy the closing conditions or due to the buyer’s inability to obtain </w:t>
      </w:r>
      <w:r>
        <w:rPr>
          <w:rFonts w:ascii="Arial" w:eastAsia="宋体" w:hAnsi="Arial" w:cs="Arial"/>
          <w:sz w:val="20"/>
          <w:szCs w:val="20"/>
        </w:rPr>
        <w:t>the necessary financing or industry or economic conditions outside of our control, investor confidence could decline and we could face negative publicity and possible litigation. In addition, in the event of a failed transaction, we will have expended sign</w:t>
      </w:r>
      <w:r>
        <w:rPr>
          <w:rFonts w:ascii="Arial" w:eastAsia="宋体" w:hAnsi="Arial" w:cs="Arial"/>
          <w:sz w:val="20"/>
          <w:szCs w:val="20"/>
        </w:rPr>
        <w:t>ificant management resources in an effort to complete the sale and, although in some circumstances the buyer may be obligated to pay us a termination fee of $200 million, will have incurred significant transaction costs. Accordingly, if the proposed sale o</w:t>
      </w:r>
      <w:r>
        <w:rPr>
          <w:rFonts w:ascii="Arial" w:eastAsia="宋体" w:hAnsi="Arial" w:cs="Arial"/>
          <w:sz w:val="20"/>
          <w:szCs w:val="20"/>
        </w:rPr>
        <w:t>f StubHub is not completed on the terms set forth in the stock purchase agreement or at all, our business, results of operations, financial condition, cash flows and stock price may be adversely affected.</w:t>
      </w:r>
    </w:p>
    <w:p w14:paraId="0BC979B5" w14:textId="77777777" w:rsidR="009F0928" w:rsidRDefault="009F0928">
      <w:pPr>
        <w:spacing w:line="288" w:lineRule="auto"/>
        <w:jc w:val="both"/>
        <w:rPr>
          <w:rFonts w:ascii="Times New Roman" w:hAnsi="Times New Roman"/>
          <w:sz w:val="20"/>
          <w:szCs w:val="20"/>
        </w:rPr>
      </w:pPr>
    </w:p>
    <w:p w14:paraId="0BC979B6"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Acquisitions, dispositions, joint ventures, strate</w:t>
      </w:r>
      <w:r>
        <w:rPr>
          <w:rFonts w:ascii="Arial" w:eastAsia="宋体" w:hAnsi="Arial" w:cs="Arial"/>
          <w:i/>
          <w:iCs/>
          <w:sz w:val="20"/>
          <w:szCs w:val="20"/>
        </w:rPr>
        <w:t xml:space="preserve">gic partnerships and strategic investments could result in operating difficulties and could harm our business or impact our financial results. </w:t>
      </w:r>
    </w:p>
    <w:p w14:paraId="0BC979B7" w14:textId="77777777" w:rsidR="009F0928" w:rsidRDefault="009F0928">
      <w:pPr>
        <w:spacing w:line="288" w:lineRule="auto"/>
        <w:ind w:firstLine="600"/>
        <w:jc w:val="both"/>
        <w:rPr>
          <w:rFonts w:ascii="Times New Roman" w:hAnsi="Times New Roman"/>
          <w:sz w:val="20"/>
          <w:szCs w:val="20"/>
        </w:rPr>
      </w:pPr>
    </w:p>
    <w:p w14:paraId="0BC979B8"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have acquired a significant number of businesses of varying size and scope, technologies, services, and prod</w:t>
      </w:r>
      <w:r>
        <w:rPr>
          <w:rFonts w:ascii="Arial" w:eastAsia="宋体" w:hAnsi="Arial" w:cs="Arial"/>
          <w:sz w:val="20"/>
          <w:szCs w:val="20"/>
        </w:rPr>
        <w:t xml:space="preserve">ucts, disposed of significant businesses (including PayPal and our Enterprise business in 2015), and in November 2019 we have entered into an agreement to sell our StubHub business to viagogo. We expect to continue to evaluate and consider a wide array of </w:t>
      </w:r>
      <w:r>
        <w:rPr>
          <w:rFonts w:ascii="Arial" w:eastAsia="宋体" w:hAnsi="Arial" w:cs="Arial"/>
          <w:sz w:val="20"/>
          <w:szCs w:val="20"/>
        </w:rPr>
        <w:t>potential strategic transactions as part of our overall business strategy, including business combinations, acquisitions, and dispositions of businesses, technologies, services, products, and other assets, as well as strategic investments and joint venture</w:t>
      </w:r>
      <w:r>
        <w:rPr>
          <w:rFonts w:ascii="Arial" w:eastAsia="宋体" w:hAnsi="Arial" w:cs="Arial"/>
          <w:sz w:val="20"/>
          <w:szCs w:val="20"/>
        </w:rPr>
        <w:t>s.</w:t>
      </w:r>
    </w:p>
    <w:p w14:paraId="0BC979B9" w14:textId="77777777" w:rsidR="009F0928" w:rsidRDefault="009F0928">
      <w:pPr>
        <w:spacing w:line="288" w:lineRule="auto"/>
        <w:ind w:firstLine="600"/>
        <w:jc w:val="both"/>
        <w:rPr>
          <w:rFonts w:ascii="Times New Roman" w:hAnsi="Times New Roman"/>
          <w:sz w:val="20"/>
          <w:szCs w:val="20"/>
        </w:rPr>
      </w:pPr>
    </w:p>
    <w:p w14:paraId="0BC979BA"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These transactions may involve significant challenges and risks, including:</w:t>
      </w:r>
    </w:p>
    <w:p w14:paraId="0BC979BB" w14:textId="77777777" w:rsidR="009F0928" w:rsidRDefault="009F0928">
      <w:pPr>
        <w:spacing w:line="288" w:lineRule="auto"/>
        <w:ind w:firstLine="60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9BE" w14:textId="77777777">
        <w:trPr>
          <w:tblCellSpacing w:w="0" w:type="dxa"/>
        </w:trPr>
        <w:tc>
          <w:tcPr>
            <w:tcW w:w="960" w:type="dxa"/>
            <w:shd w:val="clear" w:color="auto" w:fill="auto"/>
            <w:vAlign w:val="center"/>
          </w:tcPr>
          <w:p w14:paraId="0BC979BC" w14:textId="77777777" w:rsidR="009F0928" w:rsidRDefault="009F0928">
            <w:pPr>
              <w:rPr>
                <w:rFonts w:ascii="Times New Roman" w:hAnsi="Times New Roman"/>
                <w:sz w:val="20"/>
                <w:szCs w:val="20"/>
              </w:rPr>
            </w:pPr>
          </w:p>
        </w:tc>
        <w:tc>
          <w:tcPr>
            <w:tcW w:w="0" w:type="auto"/>
            <w:shd w:val="clear" w:color="auto" w:fill="auto"/>
            <w:vAlign w:val="center"/>
          </w:tcPr>
          <w:p w14:paraId="0BC979BD" w14:textId="77777777" w:rsidR="009F0928" w:rsidRDefault="009F0928">
            <w:pPr>
              <w:rPr>
                <w:rFonts w:ascii="Times New Roman" w:hAnsi="Times New Roman"/>
                <w:sz w:val="20"/>
                <w:szCs w:val="20"/>
              </w:rPr>
            </w:pPr>
          </w:p>
        </w:tc>
      </w:tr>
      <w:tr w:rsidR="009F0928" w14:paraId="0BC979C1" w14:textId="77777777">
        <w:trPr>
          <w:tblCellSpacing w:w="0" w:type="dxa"/>
        </w:trPr>
        <w:tc>
          <w:tcPr>
            <w:tcW w:w="0" w:type="auto"/>
            <w:shd w:val="clear" w:color="auto" w:fill="auto"/>
          </w:tcPr>
          <w:p w14:paraId="0BC979BF"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C0"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potential loss of key customers, merchants, vendors and other key business partners of the companies we acquire, or dispose of, following and continuing after </w:t>
            </w:r>
            <w:r>
              <w:rPr>
                <w:rFonts w:ascii="Arial" w:eastAsia="宋体" w:hAnsi="Arial" w:cs="Arial"/>
                <w:sz w:val="20"/>
                <w:szCs w:val="20"/>
              </w:rPr>
              <w:t>announcement of our transaction plans;</w:t>
            </w:r>
          </w:p>
        </w:tc>
      </w:tr>
    </w:tbl>
    <w:p w14:paraId="0BC979C2"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9C5" w14:textId="77777777">
        <w:trPr>
          <w:tblCellSpacing w:w="0" w:type="dxa"/>
        </w:trPr>
        <w:tc>
          <w:tcPr>
            <w:tcW w:w="960" w:type="dxa"/>
            <w:shd w:val="clear" w:color="auto" w:fill="auto"/>
            <w:vAlign w:val="center"/>
          </w:tcPr>
          <w:p w14:paraId="0BC979C3" w14:textId="77777777" w:rsidR="009F0928" w:rsidRDefault="009F0928">
            <w:pPr>
              <w:rPr>
                <w:rFonts w:ascii="Times New Roman" w:hAnsi="Times New Roman"/>
                <w:sz w:val="20"/>
                <w:szCs w:val="20"/>
              </w:rPr>
            </w:pPr>
          </w:p>
        </w:tc>
        <w:tc>
          <w:tcPr>
            <w:tcW w:w="0" w:type="auto"/>
            <w:shd w:val="clear" w:color="auto" w:fill="auto"/>
            <w:vAlign w:val="center"/>
          </w:tcPr>
          <w:p w14:paraId="0BC979C4" w14:textId="77777777" w:rsidR="009F0928" w:rsidRDefault="009F0928">
            <w:pPr>
              <w:rPr>
                <w:rFonts w:ascii="Times New Roman" w:hAnsi="Times New Roman"/>
                <w:sz w:val="20"/>
                <w:szCs w:val="20"/>
              </w:rPr>
            </w:pPr>
          </w:p>
        </w:tc>
      </w:tr>
      <w:tr w:rsidR="009F0928" w14:paraId="0BC979C8" w14:textId="77777777">
        <w:trPr>
          <w:tblCellSpacing w:w="0" w:type="dxa"/>
        </w:trPr>
        <w:tc>
          <w:tcPr>
            <w:tcW w:w="0" w:type="auto"/>
            <w:shd w:val="clear" w:color="auto" w:fill="auto"/>
          </w:tcPr>
          <w:p w14:paraId="0BC979C6"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C7"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declining employee morale and retention issues affecting employees of companies that we acquire or dispose of, which may result from changes in compensation, or changes in management, reporting </w:t>
            </w:r>
            <w:r>
              <w:rPr>
                <w:rFonts w:ascii="Arial" w:eastAsia="宋体" w:hAnsi="Arial" w:cs="Arial"/>
                <w:sz w:val="20"/>
                <w:szCs w:val="20"/>
              </w:rPr>
              <w:t>relationships, future prospects or the direction of the acquired or disposed business;</w:t>
            </w:r>
          </w:p>
        </w:tc>
      </w:tr>
    </w:tbl>
    <w:p w14:paraId="0BC979C9"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259"/>
      </w:tblGrid>
      <w:tr w:rsidR="009F0928" w14:paraId="0BC979CC" w14:textId="77777777">
        <w:trPr>
          <w:tblCellSpacing w:w="0" w:type="dxa"/>
        </w:trPr>
        <w:tc>
          <w:tcPr>
            <w:tcW w:w="960" w:type="dxa"/>
            <w:shd w:val="clear" w:color="auto" w:fill="auto"/>
            <w:vAlign w:val="center"/>
          </w:tcPr>
          <w:p w14:paraId="0BC979CA" w14:textId="77777777" w:rsidR="009F0928" w:rsidRDefault="009F0928">
            <w:pPr>
              <w:rPr>
                <w:rFonts w:ascii="Times New Roman" w:hAnsi="Times New Roman"/>
                <w:sz w:val="20"/>
                <w:szCs w:val="20"/>
              </w:rPr>
            </w:pPr>
          </w:p>
        </w:tc>
        <w:tc>
          <w:tcPr>
            <w:tcW w:w="0" w:type="auto"/>
            <w:shd w:val="clear" w:color="auto" w:fill="auto"/>
            <w:vAlign w:val="center"/>
          </w:tcPr>
          <w:p w14:paraId="0BC979CB" w14:textId="77777777" w:rsidR="009F0928" w:rsidRDefault="009F0928">
            <w:pPr>
              <w:rPr>
                <w:rFonts w:ascii="Times New Roman" w:hAnsi="Times New Roman"/>
                <w:sz w:val="20"/>
                <w:szCs w:val="20"/>
              </w:rPr>
            </w:pPr>
          </w:p>
        </w:tc>
      </w:tr>
      <w:tr w:rsidR="009F0928" w14:paraId="0BC979CF" w14:textId="77777777">
        <w:trPr>
          <w:tblCellSpacing w:w="0" w:type="dxa"/>
        </w:trPr>
        <w:tc>
          <w:tcPr>
            <w:tcW w:w="0" w:type="auto"/>
            <w:shd w:val="clear" w:color="auto" w:fill="auto"/>
          </w:tcPr>
          <w:p w14:paraId="0BC979CD"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CE"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difficulty making new and strategic hires of new employees;</w:t>
            </w:r>
          </w:p>
        </w:tc>
      </w:tr>
    </w:tbl>
    <w:p w14:paraId="0BC979D0"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9D3" w14:textId="77777777">
        <w:trPr>
          <w:tblCellSpacing w:w="0" w:type="dxa"/>
        </w:trPr>
        <w:tc>
          <w:tcPr>
            <w:tcW w:w="960" w:type="dxa"/>
            <w:shd w:val="clear" w:color="auto" w:fill="auto"/>
            <w:vAlign w:val="center"/>
          </w:tcPr>
          <w:p w14:paraId="0BC979D1" w14:textId="77777777" w:rsidR="009F0928" w:rsidRDefault="009F0928">
            <w:pPr>
              <w:rPr>
                <w:rFonts w:ascii="Times New Roman" w:hAnsi="Times New Roman"/>
                <w:sz w:val="20"/>
                <w:szCs w:val="20"/>
              </w:rPr>
            </w:pPr>
          </w:p>
        </w:tc>
        <w:tc>
          <w:tcPr>
            <w:tcW w:w="0" w:type="auto"/>
            <w:shd w:val="clear" w:color="auto" w:fill="auto"/>
            <w:vAlign w:val="center"/>
          </w:tcPr>
          <w:p w14:paraId="0BC979D2" w14:textId="77777777" w:rsidR="009F0928" w:rsidRDefault="009F0928">
            <w:pPr>
              <w:rPr>
                <w:rFonts w:ascii="Times New Roman" w:hAnsi="Times New Roman"/>
                <w:sz w:val="20"/>
                <w:szCs w:val="20"/>
              </w:rPr>
            </w:pPr>
          </w:p>
        </w:tc>
      </w:tr>
      <w:tr w:rsidR="009F0928" w14:paraId="0BC979D6" w14:textId="77777777">
        <w:trPr>
          <w:tblCellSpacing w:w="0" w:type="dxa"/>
        </w:trPr>
        <w:tc>
          <w:tcPr>
            <w:tcW w:w="0" w:type="auto"/>
            <w:shd w:val="clear" w:color="auto" w:fill="auto"/>
          </w:tcPr>
          <w:p w14:paraId="0BC979D4"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D5"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diversion of management time and a shift of focus from operating the businesses to the </w:t>
            </w:r>
            <w:r>
              <w:rPr>
                <w:rFonts w:ascii="Arial" w:eastAsia="宋体" w:hAnsi="Arial" w:cs="Arial"/>
                <w:sz w:val="20"/>
                <w:szCs w:val="20"/>
              </w:rPr>
              <w:t>transaction, and in the case of an acquisition, integration and administration;</w:t>
            </w:r>
          </w:p>
        </w:tc>
      </w:tr>
    </w:tbl>
    <w:p w14:paraId="0BC979D7"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9DA" w14:textId="77777777">
        <w:trPr>
          <w:tblCellSpacing w:w="0" w:type="dxa"/>
        </w:trPr>
        <w:tc>
          <w:tcPr>
            <w:tcW w:w="960" w:type="dxa"/>
            <w:shd w:val="clear" w:color="auto" w:fill="auto"/>
            <w:vAlign w:val="center"/>
          </w:tcPr>
          <w:p w14:paraId="0BC979D8" w14:textId="77777777" w:rsidR="009F0928" w:rsidRDefault="009F0928">
            <w:pPr>
              <w:rPr>
                <w:rFonts w:ascii="Times New Roman" w:hAnsi="Times New Roman"/>
                <w:sz w:val="20"/>
                <w:szCs w:val="20"/>
              </w:rPr>
            </w:pPr>
          </w:p>
        </w:tc>
        <w:tc>
          <w:tcPr>
            <w:tcW w:w="0" w:type="auto"/>
            <w:shd w:val="clear" w:color="auto" w:fill="auto"/>
            <w:vAlign w:val="center"/>
          </w:tcPr>
          <w:p w14:paraId="0BC979D9" w14:textId="77777777" w:rsidR="009F0928" w:rsidRDefault="009F0928">
            <w:pPr>
              <w:rPr>
                <w:rFonts w:ascii="Times New Roman" w:hAnsi="Times New Roman"/>
                <w:sz w:val="20"/>
                <w:szCs w:val="20"/>
              </w:rPr>
            </w:pPr>
          </w:p>
        </w:tc>
      </w:tr>
      <w:tr w:rsidR="009F0928" w14:paraId="0BC979DD" w14:textId="77777777">
        <w:trPr>
          <w:tblCellSpacing w:w="0" w:type="dxa"/>
        </w:trPr>
        <w:tc>
          <w:tcPr>
            <w:tcW w:w="0" w:type="auto"/>
            <w:shd w:val="clear" w:color="auto" w:fill="auto"/>
          </w:tcPr>
          <w:p w14:paraId="0BC979DB"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DC"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the need to provide transition services to a disposed of company, which may result in the diversion of resources and focus;</w:t>
            </w:r>
          </w:p>
        </w:tc>
      </w:tr>
    </w:tbl>
    <w:p w14:paraId="0BC979DE"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9E1" w14:textId="77777777">
        <w:trPr>
          <w:tblCellSpacing w:w="0" w:type="dxa"/>
        </w:trPr>
        <w:tc>
          <w:tcPr>
            <w:tcW w:w="960" w:type="dxa"/>
            <w:shd w:val="clear" w:color="auto" w:fill="auto"/>
            <w:vAlign w:val="center"/>
          </w:tcPr>
          <w:p w14:paraId="0BC979DF" w14:textId="77777777" w:rsidR="009F0928" w:rsidRDefault="009F0928">
            <w:pPr>
              <w:rPr>
                <w:rFonts w:ascii="Times New Roman" w:hAnsi="Times New Roman"/>
                <w:sz w:val="20"/>
                <w:szCs w:val="20"/>
              </w:rPr>
            </w:pPr>
          </w:p>
        </w:tc>
        <w:tc>
          <w:tcPr>
            <w:tcW w:w="0" w:type="auto"/>
            <w:shd w:val="clear" w:color="auto" w:fill="auto"/>
            <w:vAlign w:val="center"/>
          </w:tcPr>
          <w:p w14:paraId="0BC979E0" w14:textId="77777777" w:rsidR="009F0928" w:rsidRDefault="009F0928">
            <w:pPr>
              <w:rPr>
                <w:rFonts w:ascii="Times New Roman" w:hAnsi="Times New Roman"/>
                <w:sz w:val="20"/>
                <w:szCs w:val="20"/>
              </w:rPr>
            </w:pPr>
          </w:p>
        </w:tc>
      </w:tr>
      <w:tr w:rsidR="009F0928" w14:paraId="0BC979E4" w14:textId="77777777">
        <w:trPr>
          <w:tblCellSpacing w:w="0" w:type="dxa"/>
        </w:trPr>
        <w:tc>
          <w:tcPr>
            <w:tcW w:w="0" w:type="auto"/>
            <w:shd w:val="clear" w:color="auto" w:fill="auto"/>
          </w:tcPr>
          <w:p w14:paraId="0BC979E2"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E3"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the need to integrate the operations, systems (including accounting, management, information, human resource and other administrative systems), technologies, products and personnel of each acquired company, which is an inherently risky and potentially leng</w:t>
            </w:r>
            <w:r>
              <w:rPr>
                <w:rFonts w:ascii="Arial" w:eastAsia="宋体" w:hAnsi="Arial" w:cs="Arial"/>
                <w:sz w:val="20"/>
                <w:szCs w:val="20"/>
              </w:rPr>
              <w:t xml:space="preserve">thy and costly process; </w:t>
            </w:r>
          </w:p>
        </w:tc>
      </w:tr>
    </w:tbl>
    <w:p w14:paraId="0BC979E5"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9E8" w14:textId="77777777">
        <w:trPr>
          <w:tblCellSpacing w:w="0" w:type="dxa"/>
        </w:trPr>
        <w:tc>
          <w:tcPr>
            <w:tcW w:w="960" w:type="dxa"/>
            <w:shd w:val="clear" w:color="auto" w:fill="auto"/>
            <w:vAlign w:val="center"/>
          </w:tcPr>
          <w:p w14:paraId="0BC979E6" w14:textId="77777777" w:rsidR="009F0928" w:rsidRDefault="009F0928">
            <w:pPr>
              <w:rPr>
                <w:rFonts w:ascii="Times New Roman" w:hAnsi="Times New Roman"/>
                <w:sz w:val="20"/>
                <w:szCs w:val="20"/>
              </w:rPr>
            </w:pPr>
          </w:p>
        </w:tc>
        <w:tc>
          <w:tcPr>
            <w:tcW w:w="0" w:type="auto"/>
            <w:shd w:val="clear" w:color="auto" w:fill="auto"/>
            <w:vAlign w:val="center"/>
          </w:tcPr>
          <w:p w14:paraId="0BC979E7" w14:textId="77777777" w:rsidR="009F0928" w:rsidRDefault="009F0928">
            <w:pPr>
              <w:rPr>
                <w:rFonts w:ascii="Times New Roman" w:hAnsi="Times New Roman"/>
                <w:sz w:val="20"/>
                <w:szCs w:val="20"/>
              </w:rPr>
            </w:pPr>
          </w:p>
        </w:tc>
      </w:tr>
      <w:tr w:rsidR="009F0928" w14:paraId="0BC979EB" w14:textId="77777777">
        <w:trPr>
          <w:tblCellSpacing w:w="0" w:type="dxa"/>
        </w:trPr>
        <w:tc>
          <w:tcPr>
            <w:tcW w:w="0" w:type="auto"/>
            <w:shd w:val="clear" w:color="auto" w:fill="auto"/>
          </w:tcPr>
          <w:p w14:paraId="0BC979E9"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EA"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the inefficiencies and lack of control that may result if such integration is delayed or not implemented, and unforeseen difficulties and expenditures that may arise as a result;</w:t>
            </w:r>
          </w:p>
        </w:tc>
      </w:tr>
    </w:tbl>
    <w:p w14:paraId="0BC979EC"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9EF" w14:textId="77777777">
        <w:trPr>
          <w:tblCellSpacing w:w="0" w:type="dxa"/>
        </w:trPr>
        <w:tc>
          <w:tcPr>
            <w:tcW w:w="960" w:type="dxa"/>
            <w:shd w:val="clear" w:color="auto" w:fill="auto"/>
            <w:vAlign w:val="center"/>
          </w:tcPr>
          <w:p w14:paraId="0BC979ED" w14:textId="77777777" w:rsidR="009F0928" w:rsidRDefault="009F0928">
            <w:pPr>
              <w:rPr>
                <w:rFonts w:ascii="Times New Roman" w:hAnsi="Times New Roman"/>
                <w:sz w:val="20"/>
                <w:szCs w:val="20"/>
              </w:rPr>
            </w:pPr>
          </w:p>
        </w:tc>
        <w:tc>
          <w:tcPr>
            <w:tcW w:w="0" w:type="auto"/>
            <w:shd w:val="clear" w:color="auto" w:fill="auto"/>
            <w:vAlign w:val="center"/>
          </w:tcPr>
          <w:p w14:paraId="0BC979EE" w14:textId="77777777" w:rsidR="009F0928" w:rsidRDefault="009F0928">
            <w:pPr>
              <w:rPr>
                <w:rFonts w:ascii="Times New Roman" w:hAnsi="Times New Roman"/>
                <w:sz w:val="20"/>
                <w:szCs w:val="20"/>
              </w:rPr>
            </w:pPr>
          </w:p>
        </w:tc>
      </w:tr>
      <w:tr w:rsidR="009F0928" w14:paraId="0BC979F2" w14:textId="77777777">
        <w:trPr>
          <w:tblCellSpacing w:w="0" w:type="dxa"/>
        </w:trPr>
        <w:tc>
          <w:tcPr>
            <w:tcW w:w="0" w:type="auto"/>
            <w:shd w:val="clear" w:color="auto" w:fill="auto"/>
          </w:tcPr>
          <w:p w14:paraId="0BC979F0"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F1"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need to implement or </w:t>
            </w:r>
            <w:r>
              <w:rPr>
                <w:rFonts w:ascii="Arial" w:eastAsia="宋体" w:hAnsi="Arial" w:cs="Arial"/>
                <w:sz w:val="20"/>
                <w:szCs w:val="20"/>
              </w:rPr>
              <w:t>improve controls, procedures and policies appropriate for a larger public company at companies that prior to acquisition may have lacked such controls, procedures and policies or whose controls, procedures and policies did not meet applicable legal and oth</w:t>
            </w:r>
            <w:r>
              <w:rPr>
                <w:rFonts w:ascii="Arial" w:eastAsia="宋体" w:hAnsi="Arial" w:cs="Arial"/>
                <w:sz w:val="20"/>
                <w:szCs w:val="20"/>
              </w:rPr>
              <w:t>er standards;</w:t>
            </w:r>
          </w:p>
        </w:tc>
      </w:tr>
    </w:tbl>
    <w:p w14:paraId="0BC979F3"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915"/>
      </w:tblGrid>
      <w:tr w:rsidR="009F0928" w14:paraId="0BC979F6" w14:textId="77777777">
        <w:trPr>
          <w:tblCellSpacing w:w="0" w:type="dxa"/>
        </w:trPr>
        <w:tc>
          <w:tcPr>
            <w:tcW w:w="960" w:type="dxa"/>
            <w:shd w:val="clear" w:color="auto" w:fill="auto"/>
            <w:vAlign w:val="center"/>
          </w:tcPr>
          <w:p w14:paraId="0BC979F4" w14:textId="77777777" w:rsidR="009F0928" w:rsidRDefault="009F0928">
            <w:pPr>
              <w:rPr>
                <w:rFonts w:ascii="Times New Roman" w:hAnsi="Times New Roman"/>
                <w:sz w:val="20"/>
                <w:szCs w:val="20"/>
              </w:rPr>
            </w:pPr>
          </w:p>
        </w:tc>
        <w:tc>
          <w:tcPr>
            <w:tcW w:w="0" w:type="auto"/>
            <w:shd w:val="clear" w:color="auto" w:fill="auto"/>
            <w:vAlign w:val="center"/>
          </w:tcPr>
          <w:p w14:paraId="0BC979F5" w14:textId="77777777" w:rsidR="009F0928" w:rsidRDefault="009F0928">
            <w:pPr>
              <w:rPr>
                <w:rFonts w:ascii="Times New Roman" w:hAnsi="Times New Roman"/>
                <w:sz w:val="20"/>
                <w:szCs w:val="20"/>
              </w:rPr>
            </w:pPr>
          </w:p>
        </w:tc>
      </w:tr>
      <w:tr w:rsidR="009F0928" w14:paraId="0BC979F9" w14:textId="77777777">
        <w:trPr>
          <w:tblCellSpacing w:w="0" w:type="dxa"/>
        </w:trPr>
        <w:tc>
          <w:tcPr>
            <w:tcW w:w="0" w:type="auto"/>
            <w:shd w:val="clear" w:color="auto" w:fill="auto"/>
          </w:tcPr>
          <w:p w14:paraId="0BC979F7"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F8"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risks associated with our expansion into new international markets;</w:t>
            </w:r>
          </w:p>
        </w:tc>
      </w:tr>
    </w:tbl>
    <w:p w14:paraId="0BC979FA"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514"/>
      </w:tblGrid>
      <w:tr w:rsidR="009F0928" w14:paraId="0BC979FD" w14:textId="77777777">
        <w:trPr>
          <w:tblCellSpacing w:w="0" w:type="dxa"/>
        </w:trPr>
        <w:tc>
          <w:tcPr>
            <w:tcW w:w="960" w:type="dxa"/>
            <w:shd w:val="clear" w:color="auto" w:fill="auto"/>
            <w:vAlign w:val="center"/>
          </w:tcPr>
          <w:p w14:paraId="0BC979FB" w14:textId="77777777" w:rsidR="009F0928" w:rsidRDefault="009F0928">
            <w:pPr>
              <w:rPr>
                <w:rFonts w:ascii="Times New Roman" w:hAnsi="Times New Roman"/>
                <w:sz w:val="20"/>
                <w:szCs w:val="20"/>
              </w:rPr>
            </w:pPr>
          </w:p>
        </w:tc>
        <w:tc>
          <w:tcPr>
            <w:tcW w:w="0" w:type="auto"/>
            <w:shd w:val="clear" w:color="auto" w:fill="auto"/>
            <w:vAlign w:val="center"/>
          </w:tcPr>
          <w:p w14:paraId="0BC979FC" w14:textId="77777777" w:rsidR="009F0928" w:rsidRDefault="009F0928">
            <w:pPr>
              <w:rPr>
                <w:rFonts w:ascii="Times New Roman" w:hAnsi="Times New Roman"/>
                <w:sz w:val="20"/>
                <w:szCs w:val="20"/>
              </w:rPr>
            </w:pPr>
          </w:p>
        </w:tc>
      </w:tr>
      <w:tr w:rsidR="009F0928" w14:paraId="0BC97A00" w14:textId="77777777">
        <w:trPr>
          <w:tblCellSpacing w:w="0" w:type="dxa"/>
        </w:trPr>
        <w:tc>
          <w:tcPr>
            <w:tcW w:w="0" w:type="auto"/>
            <w:shd w:val="clear" w:color="auto" w:fill="auto"/>
          </w:tcPr>
          <w:p w14:paraId="0BC979FE"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9FF"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derivative lawsuits resulting from the acquisition or disposition;</w:t>
            </w:r>
          </w:p>
        </w:tc>
      </w:tr>
    </w:tbl>
    <w:p w14:paraId="0BC97A01"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A04" w14:textId="77777777">
        <w:trPr>
          <w:tblCellSpacing w:w="0" w:type="dxa"/>
        </w:trPr>
        <w:tc>
          <w:tcPr>
            <w:tcW w:w="960" w:type="dxa"/>
            <w:shd w:val="clear" w:color="auto" w:fill="auto"/>
            <w:vAlign w:val="center"/>
          </w:tcPr>
          <w:p w14:paraId="0BC97A02" w14:textId="77777777" w:rsidR="009F0928" w:rsidRDefault="009F0928">
            <w:pPr>
              <w:rPr>
                <w:rFonts w:ascii="Times New Roman" w:hAnsi="Times New Roman"/>
                <w:sz w:val="20"/>
                <w:szCs w:val="20"/>
              </w:rPr>
            </w:pPr>
          </w:p>
        </w:tc>
        <w:tc>
          <w:tcPr>
            <w:tcW w:w="0" w:type="auto"/>
            <w:shd w:val="clear" w:color="auto" w:fill="auto"/>
            <w:vAlign w:val="center"/>
          </w:tcPr>
          <w:p w14:paraId="0BC97A03" w14:textId="77777777" w:rsidR="009F0928" w:rsidRDefault="009F0928">
            <w:pPr>
              <w:rPr>
                <w:rFonts w:ascii="Times New Roman" w:hAnsi="Times New Roman"/>
                <w:sz w:val="20"/>
                <w:szCs w:val="20"/>
              </w:rPr>
            </w:pPr>
          </w:p>
        </w:tc>
      </w:tr>
      <w:tr w:rsidR="009F0928" w14:paraId="0BC97A07" w14:textId="77777777">
        <w:trPr>
          <w:tblCellSpacing w:w="0" w:type="dxa"/>
        </w:trPr>
        <w:tc>
          <w:tcPr>
            <w:tcW w:w="0" w:type="auto"/>
            <w:shd w:val="clear" w:color="auto" w:fill="auto"/>
          </w:tcPr>
          <w:p w14:paraId="0BC97A05"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A06"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liability for activities of the acquired or disposed of company before the </w:t>
            </w:r>
            <w:r>
              <w:rPr>
                <w:rFonts w:ascii="Arial" w:eastAsia="宋体" w:hAnsi="Arial" w:cs="Arial"/>
                <w:sz w:val="20"/>
                <w:szCs w:val="20"/>
              </w:rPr>
              <w:t>transaction, including intellectual property and other litigation claims or disputes, violations of laws, rules and regulations, commercial disputes, tax liabilities and other known and unknown liabilities and, in the case of dispositions, liabilities to t</w:t>
            </w:r>
            <w:r>
              <w:rPr>
                <w:rFonts w:ascii="Arial" w:eastAsia="宋体" w:hAnsi="Arial" w:cs="Arial"/>
                <w:sz w:val="20"/>
                <w:szCs w:val="20"/>
              </w:rPr>
              <w:t>he acquirors of those businesses under contractual provisions such as representations, warranties and indemnities;</w:t>
            </w:r>
          </w:p>
        </w:tc>
      </w:tr>
    </w:tbl>
    <w:p w14:paraId="0BC97A08"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370"/>
      </w:tblGrid>
      <w:tr w:rsidR="009F0928" w14:paraId="0BC97A0B" w14:textId="77777777">
        <w:trPr>
          <w:tblCellSpacing w:w="0" w:type="dxa"/>
        </w:trPr>
        <w:tc>
          <w:tcPr>
            <w:tcW w:w="960" w:type="dxa"/>
            <w:shd w:val="clear" w:color="auto" w:fill="auto"/>
            <w:vAlign w:val="center"/>
          </w:tcPr>
          <w:p w14:paraId="0BC97A09" w14:textId="77777777" w:rsidR="009F0928" w:rsidRDefault="009F0928">
            <w:pPr>
              <w:rPr>
                <w:rFonts w:ascii="Times New Roman" w:hAnsi="Times New Roman"/>
                <w:sz w:val="20"/>
                <w:szCs w:val="20"/>
              </w:rPr>
            </w:pPr>
          </w:p>
        </w:tc>
        <w:tc>
          <w:tcPr>
            <w:tcW w:w="0" w:type="auto"/>
            <w:shd w:val="clear" w:color="auto" w:fill="auto"/>
            <w:vAlign w:val="center"/>
          </w:tcPr>
          <w:p w14:paraId="0BC97A0A" w14:textId="77777777" w:rsidR="009F0928" w:rsidRDefault="009F0928">
            <w:pPr>
              <w:rPr>
                <w:rFonts w:ascii="Times New Roman" w:hAnsi="Times New Roman"/>
                <w:sz w:val="20"/>
                <w:szCs w:val="20"/>
              </w:rPr>
            </w:pPr>
          </w:p>
        </w:tc>
      </w:tr>
      <w:tr w:rsidR="009F0928" w14:paraId="0BC97A0E" w14:textId="77777777">
        <w:trPr>
          <w:tblCellSpacing w:w="0" w:type="dxa"/>
        </w:trPr>
        <w:tc>
          <w:tcPr>
            <w:tcW w:w="0" w:type="auto"/>
            <w:shd w:val="clear" w:color="auto" w:fill="auto"/>
          </w:tcPr>
          <w:p w14:paraId="0BC97A0C"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A0D"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the potential loss of key employees following the transaction;</w:t>
            </w:r>
          </w:p>
        </w:tc>
      </w:tr>
    </w:tbl>
    <w:p w14:paraId="0BC97A0F"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A12" w14:textId="77777777">
        <w:trPr>
          <w:tblCellSpacing w:w="0" w:type="dxa"/>
        </w:trPr>
        <w:tc>
          <w:tcPr>
            <w:tcW w:w="960" w:type="dxa"/>
            <w:shd w:val="clear" w:color="auto" w:fill="auto"/>
            <w:vAlign w:val="center"/>
          </w:tcPr>
          <w:p w14:paraId="0BC97A10" w14:textId="77777777" w:rsidR="009F0928" w:rsidRDefault="009F0928">
            <w:pPr>
              <w:rPr>
                <w:rFonts w:ascii="Times New Roman" w:hAnsi="Times New Roman"/>
                <w:sz w:val="20"/>
                <w:szCs w:val="20"/>
              </w:rPr>
            </w:pPr>
          </w:p>
        </w:tc>
        <w:tc>
          <w:tcPr>
            <w:tcW w:w="0" w:type="auto"/>
            <w:shd w:val="clear" w:color="auto" w:fill="auto"/>
            <w:vAlign w:val="center"/>
          </w:tcPr>
          <w:p w14:paraId="0BC97A11" w14:textId="77777777" w:rsidR="009F0928" w:rsidRDefault="009F0928">
            <w:pPr>
              <w:rPr>
                <w:rFonts w:ascii="Times New Roman" w:hAnsi="Times New Roman"/>
                <w:sz w:val="20"/>
                <w:szCs w:val="20"/>
              </w:rPr>
            </w:pPr>
          </w:p>
        </w:tc>
      </w:tr>
      <w:tr w:rsidR="009F0928" w14:paraId="0BC97A15" w14:textId="77777777">
        <w:trPr>
          <w:tblCellSpacing w:w="0" w:type="dxa"/>
        </w:trPr>
        <w:tc>
          <w:tcPr>
            <w:tcW w:w="0" w:type="auto"/>
            <w:shd w:val="clear" w:color="auto" w:fill="auto"/>
          </w:tcPr>
          <w:p w14:paraId="0BC97A13"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A14"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acquisition of new customer and employee personal </w:t>
            </w:r>
            <w:r>
              <w:rPr>
                <w:rFonts w:ascii="Arial" w:eastAsia="宋体" w:hAnsi="Arial" w:cs="Arial"/>
                <w:sz w:val="20"/>
                <w:szCs w:val="20"/>
              </w:rPr>
              <w:t>information by us or a third-party acquiring assets or businesses from us, which in and of itself may require regulatory approval and or additional controls, policies and procedures and subject us to additional exposure; and</w:t>
            </w:r>
          </w:p>
        </w:tc>
      </w:tr>
    </w:tbl>
    <w:p w14:paraId="0BC97A16"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9F0928" w14:paraId="0BC97A19" w14:textId="77777777">
        <w:trPr>
          <w:tblCellSpacing w:w="0" w:type="dxa"/>
        </w:trPr>
        <w:tc>
          <w:tcPr>
            <w:tcW w:w="960" w:type="dxa"/>
            <w:shd w:val="clear" w:color="auto" w:fill="auto"/>
            <w:vAlign w:val="center"/>
          </w:tcPr>
          <w:p w14:paraId="0BC97A17" w14:textId="77777777" w:rsidR="009F0928" w:rsidRDefault="009F0928">
            <w:pPr>
              <w:rPr>
                <w:rFonts w:ascii="Times New Roman" w:hAnsi="Times New Roman"/>
                <w:sz w:val="20"/>
                <w:szCs w:val="20"/>
              </w:rPr>
            </w:pPr>
          </w:p>
        </w:tc>
        <w:tc>
          <w:tcPr>
            <w:tcW w:w="0" w:type="auto"/>
            <w:shd w:val="clear" w:color="auto" w:fill="auto"/>
            <w:vAlign w:val="center"/>
          </w:tcPr>
          <w:p w14:paraId="0BC97A18" w14:textId="77777777" w:rsidR="009F0928" w:rsidRDefault="009F0928">
            <w:pPr>
              <w:rPr>
                <w:rFonts w:ascii="Times New Roman" w:hAnsi="Times New Roman"/>
                <w:sz w:val="20"/>
                <w:szCs w:val="20"/>
              </w:rPr>
            </w:pPr>
          </w:p>
        </w:tc>
      </w:tr>
      <w:tr w:rsidR="009F0928" w14:paraId="0BC97A1C" w14:textId="77777777">
        <w:trPr>
          <w:tblCellSpacing w:w="0" w:type="dxa"/>
        </w:trPr>
        <w:tc>
          <w:tcPr>
            <w:tcW w:w="0" w:type="auto"/>
            <w:shd w:val="clear" w:color="auto" w:fill="auto"/>
          </w:tcPr>
          <w:p w14:paraId="0BC97A1A"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7A1B"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our dependence on the ac</w:t>
            </w:r>
            <w:r>
              <w:rPr>
                <w:rFonts w:ascii="Arial" w:eastAsia="宋体" w:hAnsi="Arial" w:cs="Arial"/>
                <w:sz w:val="20"/>
                <w:szCs w:val="20"/>
              </w:rPr>
              <w:t>quired business’ accounting, financial reporting, operating metrics and similar systems, controls and processes and the risk that errors or irregularities in those systems, controls and processes will lead to errors in our consolidated financial statements</w:t>
            </w:r>
            <w:r>
              <w:rPr>
                <w:rFonts w:ascii="Arial" w:eastAsia="宋体" w:hAnsi="Arial" w:cs="Arial"/>
                <w:sz w:val="20"/>
                <w:szCs w:val="20"/>
              </w:rPr>
              <w:t xml:space="preserve"> or make it more difficult to manage the acquired business.</w:t>
            </w:r>
          </w:p>
        </w:tc>
      </w:tr>
    </w:tbl>
    <w:p w14:paraId="0BC97A1D" w14:textId="77777777" w:rsidR="009F0928" w:rsidRDefault="009F0928">
      <w:pPr>
        <w:rPr>
          <w:rFonts w:ascii="Times New Roman" w:hAnsi="Times New Roman"/>
          <w:sz w:val="20"/>
          <w:szCs w:val="20"/>
        </w:rPr>
      </w:pPr>
    </w:p>
    <w:p w14:paraId="0BC97A1E"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26</w:t>
      </w:r>
    </w:p>
    <w:p w14:paraId="0BC97A1F" w14:textId="77777777" w:rsidR="009F0928" w:rsidRDefault="002112BD">
      <w:r>
        <w:rPr>
          <w:rFonts w:ascii="Times New Roman" w:hAnsi="Times New Roman"/>
          <w:sz w:val="18"/>
          <w:szCs w:val="18"/>
        </w:rPr>
        <w:pict w14:anchorId="0BC9B4D5">
          <v:rect id="_x0000_i1051" style="width:415.3pt;height:1.5pt" o:hralign="center" o:hrstd="t" o:hr="t" fillcolor="#a0a0a0" stroked="f"/>
        </w:pict>
      </w:r>
    </w:p>
    <w:p w14:paraId="0BC97A20" w14:textId="77777777" w:rsidR="009F0928" w:rsidRDefault="009F0928">
      <w:pPr>
        <w:spacing w:line="288" w:lineRule="auto"/>
        <w:rPr>
          <w:rFonts w:ascii="Times New Roman" w:hAnsi="Times New Roman"/>
          <w:sz w:val="20"/>
          <w:szCs w:val="20"/>
        </w:rPr>
      </w:pPr>
    </w:p>
    <w:p w14:paraId="0BC97A21" w14:textId="77777777" w:rsidR="009F0928" w:rsidRDefault="009F0928">
      <w:pPr>
        <w:rPr>
          <w:rFonts w:ascii="Times New Roman" w:hAnsi="Times New Roman"/>
          <w:sz w:val="20"/>
          <w:szCs w:val="20"/>
        </w:rPr>
      </w:pPr>
    </w:p>
    <w:p w14:paraId="0BC97A22" w14:textId="77777777" w:rsidR="009F0928" w:rsidRDefault="009F0928">
      <w:pPr>
        <w:spacing w:line="288" w:lineRule="auto"/>
        <w:ind w:firstLine="600"/>
        <w:jc w:val="both"/>
        <w:rPr>
          <w:rFonts w:ascii="Times New Roman" w:hAnsi="Times New Roman"/>
          <w:sz w:val="20"/>
          <w:szCs w:val="20"/>
        </w:rPr>
      </w:pPr>
    </w:p>
    <w:p w14:paraId="0BC97A23"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At any given time, we may be engaged in discussions or negotiations with respect to one or more of these types of transactions and any of these transactions could be material to our </w:t>
      </w:r>
      <w:r>
        <w:rPr>
          <w:rFonts w:ascii="Arial" w:eastAsia="宋体" w:hAnsi="Arial" w:cs="Arial"/>
          <w:sz w:val="20"/>
          <w:szCs w:val="20"/>
        </w:rPr>
        <w:t>financial condition and results of operations. In addition, it may take us longer than expected to fully realize the anticipated benefits of these transactions, and those benefits may ultimately be smaller than anticipated or may not be realized at all, wh</w:t>
      </w:r>
      <w:r>
        <w:rPr>
          <w:rFonts w:ascii="Arial" w:eastAsia="宋体" w:hAnsi="Arial" w:cs="Arial"/>
          <w:sz w:val="20"/>
          <w:szCs w:val="20"/>
        </w:rPr>
        <w:t>ich could adversely affect our business and operating results. Any acquisitions or dispositions may also require us to issue additional equity securities, spend our cash, or incur debt (and increased interest expense), liabilities, and amortization expense</w:t>
      </w:r>
      <w:r>
        <w:rPr>
          <w:rFonts w:ascii="Arial" w:eastAsia="宋体" w:hAnsi="Arial" w:cs="Arial"/>
          <w:sz w:val="20"/>
          <w:szCs w:val="20"/>
        </w:rPr>
        <w:t>s related to intangible assets or write-offs of goodwill, which could adversely affect our results of operations and dilute the economic and voting rights of our stockholders.</w:t>
      </w:r>
    </w:p>
    <w:p w14:paraId="0BC97A24" w14:textId="77777777" w:rsidR="009F0928" w:rsidRDefault="002112BD">
      <w:pPr>
        <w:spacing w:line="288" w:lineRule="auto"/>
        <w:ind w:firstLine="960"/>
        <w:jc w:val="both"/>
        <w:rPr>
          <w:rFonts w:ascii="Times New Roman" w:hAnsi="Times New Roman"/>
          <w:sz w:val="20"/>
          <w:szCs w:val="20"/>
        </w:rPr>
      </w:pPr>
      <w:r>
        <w:rPr>
          <w:rFonts w:ascii="Arial" w:eastAsia="宋体" w:hAnsi="Arial" w:cs="Arial"/>
          <w:sz w:val="20"/>
          <w:szCs w:val="20"/>
        </w:rPr>
        <w:t>    </w:t>
      </w:r>
    </w:p>
    <w:p w14:paraId="0BC97A25"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have made certain investments, including through joint ventures, in whic</w:t>
      </w:r>
      <w:r>
        <w:rPr>
          <w:rFonts w:ascii="Arial" w:eastAsia="宋体" w:hAnsi="Arial" w:cs="Arial"/>
          <w:sz w:val="20"/>
          <w:szCs w:val="20"/>
        </w:rPr>
        <w:t>h we have a minority equity interest and/or lack management and operational control. The controlling joint venture partner in a joint venture may have business interests, strategies, or goals that are inconsistent with ours, and business decisions or other</w:t>
      </w:r>
      <w:r>
        <w:rPr>
          <w:rFonts w:ascii="Arial" w:eastAsia="宋体" w:hAnsi="Arial" w:cs="Arial"/>
          <w:sz w:val="20"/>
          <w:szCs w:val="20"/>
        </w:rPr>
        <w:t xml:space="preserve"> actions or omissions of the controlling joint venture partner or the joint venture company may result in harm to our reputation or adversely affect the value of our investment in the joint venture. Our strategic investments may also expose us to additiona</w:t>
      </w:r>
      <w:r>
        <w:rPr>
          <w:rFonts w:ascii="Arial" w:eastAsia="宋体" w:hAnsi="Arial" w:cs="Arial"/>
          <w:sz w:val="20"/>
          <w:szCs w:val="20"/>
        </w:rPr>
        <w:t>l risks. Any circumstances, which may be out of our control, that adversely affect the value of our investments, or cost resulting from regulatory action or lawsuits in connection with our investments, could harm our business or negatively impact our finan</w:t>
      </w:r>
      <w:r>
        <w:rPr>
          <w:rFonts w:ascii="Arial" w:eastAsia="宋体" w:hAnsi="Arial" w:cs="Arial"/>
          <w:sz w:val="20"/>
          <w:szCs w:val="20"/>
        </w:rPr>
        <w:t>cial results.</w:t>
      </w:r>
    </w:p>
    <w:p w14:paraId="0BC97A26" w14:textId="77777777" w:rsidR="009F0928" w:rsidRDefault="009F0928">
      <w:pPr>
        <w:spacing w:line="288" w:lineRule="auto"/>
        <w:ind w:firstLine="600"/>
        <w:jc w:val="both"/>
        <w:rPr>
          <w:rFonts w:ascii="Times New Roman" w:hAnsi="Times New Roman"/>
          <w:sz w:val="20"/>
          <w:szCs w:val="20"/>
        </w:rPr>
      </w:pPr>
    </w:p>
    <w:p w14:paraId="0BC97A27"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entered into a warrant agreement in conjunction with a commercial agreement with Adyen that entitles us to acquire a fixed number of shares of the Adyen’s common stock subject to certain milestones being met. This warrant is accounted for</w:t>
      </w:r>
      <w:r>
        <w:rPr>
          <w:rFonts w:ascii="Arial" w:eastAsia="宋体" w:hAnsi="Arial" w:cs="Arial"/>
          <w:sz w:val="20"/>
          <w:szCs w:val="20"/>
        </w:rPr>
        <w:t xml:space="preserve"> as a derivative instrument under ASC Topic 815, </w:t>
      </w:r>
      <w:r>
        <w:rPr>
          <w:rFonts w:ascii="Arial" w:eastAsia="宋体" w:hAnsi="Arial" w:cs="Arial"/>
          <w:i/>
          <w:iCs/>
          <w:sz w:val="20"/>
          <w:szCs w:val="20"/>
        </w:rPr>
        <w:t>Derivatives and Hedging</w:t>
      </w:r>
      <w:r>
        <w:rPr>
          <w:rFonts w:ascii="Arial" w:eastAsia="宋体" w:hAnsi="Arial" w:cs="Arial"/>
          <w:sz w:val="20"/>
          <w:szCs w:val="20"/>
        </w:rPr>
        <w:t>. Changes in Adyen’s common stock price and equity volatility may have a significant impact on the value of this warrant. We report this warrant on a quarterly basis at fair value in o</w:t>
      </w:r>
      <w:r>
        <w:rPr>
          <w:rFonts w:ascii="Arial" w:eastAsia="宋体" w:hAnsi="Arial" w:cs="Arial"/>
          <w:sz w:val="20"/>
          <w:szCs w:val="20"/>
        </w:rPr>
        <w:t>ur consolidated balance sheets, and changes in the fair value of this warrant are recognized in our consolidated statement of income. Fluctuations in Adyen’s common stock or other changes in assumptions could result in material changes in the fair value th</w:t>
      </w:r>
      <w:r>
        <w:rPr>
          <w:rFonts w:ascii="Arial" w:eastAsia="宋体" w:hAnsi="Arial" w:cs="Arial"/>
          <w:sz w:val="20"/>
          <w:szCs w:val="20"/>
        </w:rPr>
        <w:t>at we report in our consolidated balance sheets and our consolidated statement of income, which could have a material impact on our financial results.</w:t>
      </w:r>
    </w:p>
    <w:p w14:paraId="0BC97A28" w14:textId="77777777" w:rsidR="009F0928" w:rsidRDefault="009F0928">
      <w:pPr>
        <w:spacing w:line="288" w:lineRule="auto"/>
        <w:jc w:val="both"/>
        <w:rPr>
          <w:rFonts w:ascii="Times New Roman" w:hAnsi="Times New Roman"/>
          <w:sz w:val="20"/>
          <w:szCs w:val="20"/>
        </w:rPr>
      </w:pPr>
    </w:p>
    <w:p w14:paraId="0BC97A29" w14:textId="77777777" w:rsidR="009F0928" w:rsidRDefault="002112BD">
      <w:pPr>
        <w:spacing w:line="288" w:lineRule="auto"/>
        <w:ind w:firstLine="580"/>
        <w:jc w:val="both"/>
        <w:rPr>
          <w:rFonts w:ascii="Times New Roman" w:hAnsi="Times New Roman"/>
          <w:sz w:val="20"/>
          <w:szCs w:val="20"/>
        </w:rPr>
      </w:pPr>
      <w:r>
        <w:rPr>
          <w:rFonts w:ascii="Arial" w:eastAsia="宋体" w:hAnsi="Arial" w:cs="Arial"/>
          <w:i/>
          <w:iCs/>
          <w:sz w:val="20"/>
          <w:szCs w:val="20"/>
        </w:rPr>
        <w:t>We are subject to risks and uncertainties related to the strategic review of our asset portfolio, as wel</w:t>
      </w:r>
      <w:r>
        <w:rPr>
          <w:rFonts w:ascii="Arial" w:eastAsia="宋体" w:hAnsi="Arial" w:cs="Arial"/>
          <w:i/>
          <w:iCs/>
          <w:sz w:val="20"/>
          <w:szCs w:val="20"/>
        </w:rPr>
        <w:t>l as the execution of our plan for operating efficiency.</w:t>
      </w:r>
    </w:p>
    <w:p w14:paraId="0BC97A2A" w14:textId="77777777" w:rsidR="009F0928" w:rsidRDefault="009F0928">
      <w:pPr>
        <w:spacing w:line="288" w:lineRule="auto"/>
        <w:ind w:firstLine="580"/>
        <w:jc w:val="both"/>
        <w:rPr>
          <w:rFonts w:ascii="Times New Roman" w:hAnsi="Times New Roman"/>
          <w:sz w:val="20"/>
          <w:szCs w:val="20"/>
        </w:rPr>
      </w:pPr>
    </w:p>
    <w:p w14:paraId="0BC97A2B" w14:textId="77777777" w:rsidR="009F0928" w:rsidRDefault="002112BD">
      <w:pPr>
        <w:spacing w:line="288" w:lineRule="auto"/>
        <w:ind w:firstLine="580"/>
        <w:jc w:val="both"/>
        <w:rPr>
          <w:rFonts w:ascii="Times New Roman" w:hAnsi="Times New Roman"/>
          <w:sz w:val="20"/>
          <w:szCs w:val="20"/>
        </w:rPr>
      </w:pPr>
      <w:r>
        <w:rPr>
          <w:rFonts w:ascii="Arial" w:eastAsia="宋体" w:hAnsi="Arial" w:cs="Arial"/>
          <w:sz w:val="20"/>
          <w:szCs w:val="20"/>
        </w:rPr>
        <w:t>In March 2019, we announced that we initiated, with the assistance of external financial advisors, a strategic review of our asset portfolio, including but not limited to StubHub and eBay Classified</w:t>
      </w:r>
      <w:r>
        <w:rPr>
          <w:rFonts w:ascii="Arial" w:eastAsia="宋体" w:hAnsi="Arial" w:cs="Arial"/>
          <w:sz w:val="20"/>
          <w:szCs w:val="20"/>
        </w:rPr>
        <w:t>s Group. In November 2019</w:t>
      </w:r>
      <w:r>
        <w:rPr>
          <w:rFonts w:ascii="Times New Roman" w:eastAsia="宋体" w:hAnsi="Times New Roman"/>
          <w:sz w:val="20"/>
          <w:szCs w:val="20"/>
        </w:rPr>
        <w:t>,</w:t>
      </w:r>
      <w:r>
        <w:rPr>
          <w:rFonts w:ascii="Arial" w:eastAsia="宋体" w:hAnsi="Arial" w:cs="Arial"/>
          <w:sz w:val="20"/>
          <w:szCs w:val="20"/>
        </w:rPr>
        <w:t xml:space="preserve"> as an outcome of our strategic review, we entered into an agreement to sell our StubHub business to viagogo. Our strategic review efforts continue, however, there can be no assurance that the strategic review will result in any f</w:t>
      </w:r>
      <w:r>
        <w:rPr>
          <w:rFonts w:ascii="Arial" w:eastAsia="宋体" w:hAnsi="Arial" w:cs="Arial"/>
          <w:sz w:val="20"/>
          <w:szCs w:val="20"/>
        </w:rPr>
        <w:t xml:space="preserve">urther sale, spin-off or other business combination involving our assets. We will incur expenses in connection with the review and our future results may be affected by the pursuit or consummation of any specific transaction or other strategic alternative </w:t>
      </w:r>
      <w:r>
        <w:rPr>
          <w:rFonts w:ascii="Arial" w:eastAsia="宋体" w:hAnsi="Arial" w:cs="Arial"/>
          <w:sz w:val="20"/>
          <w:szCs w:val="20"/>
        </w:rPr>
        <w:t xml:space="preserve">resulting from the strategic review. While this review is ongoing, we are exposed to certain risks and uncertainties, including retaining and attracting employees during the review process; the diversion of management’s time to the review; and exposure to </w:t>
      </w:r>
      <w:r>
        <w:rPr>
          <w:rFonts w:ascii="Arial" w:eastAsia="宋体" w:hAnsi="Arial" w:cs="Arial"/>
          <w:sz w:val="20"/>
          <w:szCs w:val="20"/>
        </w:rPr>
        <w:t xml:space="preserve">potential litigation in connection with the review process or any specific transaction or other strategic alternative resulting therefrom, all of which could disrupt and negatively affect our business. Speculation regarding any developments related to the </w:t>
      </w:r>
      <w:r>
        <w:rPr>
          <w:rFonts w:ascii="Arial" w:eastAsia="宋体" w:hAnsi="Arial" w:cs="Arial"/>
          <w:sz w:val="20"/>
          <w:szCs w:val="20"/>
        </w:rPr>
        <w:t>review of strategic alternatives and perceived uncertainties related to the future of the Company could cause our stock price to fluctuate significantly. There is no finite timetable for completion of the strategic review, and we can provide no assurance t</w:t>
      </w:r>
      <w:r>
        <w:rPr>
          <w:rFonts w:ascii="Arial" w:eastAsia="宋体" w:hAnsi="Arial" w:cs="Arial"/>
          <w:sz w:val="20"/>
          <w:szCs w:val="20"/>
        </w:rPr>
        <w:t>hat any transaction or other strategic alternative we pursue will have a positive impact on our results of operations or financial condition.</w:t>
      </w:r>
    </w:p>
    <w:p w14:paraId="0BC97A2C" w14:textId="77777777" w:rsidR="009F0928" w:rsidRDefault="009F0928">
      <w:pPr>
        <w:spacing w:line="288" w:lineRule="auto"/>
        <w:ind w:firstLine="580"/>
        <w:jc w:val="both"/>
        <w:rPr>
          <w:rFonts w:ascii="Times New Roman" w:hAnsi="Times New Roman"/>
          <w:sz w:val="20"/>
          <w:szCs w:val="20"/>
        </w:rPr>
      </w:pPr>
    </w:p>
    <w:p w14:paraId="0BC97A2D" w14:textId="77777777" w:rsidR="009F0928" w:rsidRDefault="002112BD">
      <w:pPr>
        <w:spacing w:line="288" w:lineRule="auto"/>
        <w:ind w:firstLine="600"/>
        <w:rPr>
          <w:rFonts w:ascii="Times New Roman" w:hAnsi="Times New Roman"/>
          <w:sz w:val="20"/>
          <w:szCs w:val="20"/>
        </w:rPr>
      </w:pPr>
      <w:r>
        <w:rPr>
          <w:rFonts w:ascii="Arial" w:eastAsia="宋体" w:hAnsi="Arial" w:cs="Arial"/>
          <w:sz w:val="20"/>
          <w:szCs w:val="20"/>
        </w:rPr>
        <w:t>In addition, we announced that our operating review has resulted in a three-year plan for operating efficiency, w</w:t>
      </w:r>
      <w:r>
        <w:rPr>
          <w:rFonts w:ascii="Arial" w:eastAsia="宋体" w:hAnsi="Arial" w:cs="Arial"/>
          <w:sz w:val="20"/>
          <w:szCs w:val="20"/>
        </w:rPr>
        <w:t>hich is expected to enhance our operating margins and create capacity for reinvestment initiatives. The execution of this plan is subject to various risks and uncertainties, and there can be no assurance that we will be able to achieve the anticipated resu</w:t>
      </w:r>
      <w:r>
        <w:rPr>
          <w:rFonts w:ascii="Arial" w:eastAsia="宋体" w:hAnsi="Arial" w:cs="Arial"/>
          <w:sz w:val="20"/>
          <w:szCs w:val="20"/>
        </w:rPr>
        <w:t>lts of this plan.</w:t>
      </w:r>
    </w:p>
    <w:p w14:paraId="0BC97A2E" w14:textId="77777777" w:rsidR="009F0928" w:rsidRDefault="009F0928">
      <w:pPr>
        <w:spacing w:line="288" w:lineRule="auto"/>
        <w:jc w:val="both"/>
        <w:rPr>
          <w:rFonts w:ascii="Times New Roman" w:hAnsi="Times New Roman"/>
          <w:sz w:val="20"/>
          <w:szCs w:val="20"/>
        </w:rPr>
      </w:pPr>
    </w:p>
    <w:p w14:paraId="0BC97A2F"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Our success largely depends on key personnel. Because competition for our key employees is intense, we may not be able to attract, retain, and develop the highly skilled employees we need to support our business. The loss of senior manag</w:t>
      </w:r>
      <w:r>
        <w:rPr>
          <w:rFonts w:ascii="Arial" w:eastAsia="宋体" w:hAnsi="Arial" w:cs="Arial"/>
          <w:i/>
          <w:iCs/>
          <w:sz w:val="20"/>
          <w:szCs w:val="20"/>
        </w:rPr>
        <w:t>ement or other key personnel could harm our business.</w:t>
      </w:r>
    </w:p>
    <w:p w14:paraId="0BC97A30" w14:textId="77777777" w:rsidR="009F0928" w:rsidRDefault="009F0928">
      <w:pPr>
        <w:spacing w:line="288" w:lineRule="auto"/>
        <w:ind w:firstLine="600"/>
        <w:jc w:val="both"/>
        <w:rPr>
          <w:rFonts w:ascii="Times New Roman" w:hAnsi="Times New Roman"/>
          <w:sz w:val="20"/>
          <w:szCs w:val="20"/>
        </w:rPr>
      </w:pPr>
    </w:p>
    <w:p w14:paraId="0BC97A31"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Our future performance depends substantially on the continued services of our senior management and other key personnel, including key engineering and product development personnel, and our ability to </w:t>
      </w:r>
      <w:r>
        <w:rPr>
          <w:rFonts w:ascii="Arial" w:eastAsia="宋体" w:hAnsi="Arial" w:cs="Arial"/>
          <w:sz w:val="20"/>
          <w:szCs w:val="20"/>
        </w:rPr>
        <w:t xml:space="preserve">attract, retain, and motivate key personnel. Competition for key personnel is intense, especially in the Silicon Valley where our corporate </w:t>
      </w:r>
    </w:p>
    <w:p w14:paraId="0BC97A32" w14:textId="77777777" w:rsidR="009F0928" w:rsidRDefault="009F0928">
      <w:pPr>
        <w:rPr>
          <w:rFonts w:ascii="Times New Roman" w:hAnsi="Times New Roman"/>
          <w:sz w:val="20"/>
          <w:szCs w:val="20"/>
        </w:rPr>
      </w:pPr>
    </w:p>
    <w:p w14:paraId="0BC97A33"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27</w:t>
      </w:r>
    </w:p>
    <w:p w14:paraId="0BC97A34" w14:textId="77777777" w:rsidR="009F0928" w:rsidRDefault="002112BD">
      <w:r>
        <w:rPr>
          <w:rFonts w:ascii="Times New Roman" w:hAnsi="Times New Roman"/>
          <w:sz w:val="18"/>
          <w:szCs w:val="18"/>
        </w:rPr>
        <w:pict w14:anchorId="0BC9B4D6">
          <v:rect id="_x0000_i1052" style="width:415.3pt;height:1.5pt" o:hralign="center" o:hrstd="t" o:hr="t" fillcolor="#a0a0a0" stroked="f"/>
        </w:pict>
      </w:r>
    </w:p>
    <w:p w14:paraId="0BC97A35" w14:textId="77777777" w:rsidR="009F0928" w:rsidRDefault="009F0928">
      <w:pPr>
        <w:spacing w:line="288" w:lineRule="auto"/>
        <w:rPr>
          <w:rFonts w:ascii="Times New Roman" w:hAnsi="Times New Roman"/>
          <w:sz w:val="20"/>
          <w:szCs w:val="20"/>
        </w:rPr>
      </w:pPr>
    </w:p>
    <w:p w14:paraId="0BC97A36" w14:textId="77777777" w:rsidR="009F0928" w:rsidRDefault="009F0928">
      <w:pPr>
        <w:rPr>
          <w:rFonts w:ascii="Times New Roman" w:hAnsi="Times New Roman"/>
          <w:sz w:val="20"/>
          <w:szCs w:val="20"/>
        </w:rPr>
      </w:pPr>
    </w:p>
    <w:p w14:paraId="0BC97A37"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xml:space="preserve">headquarters are located, and we may be unable to successfully attract, integrate or retain </w:t>
      </w:r>
      <w:r>
        <w:rPr>
          <w:rFonts w:ascii="Arial" w:eastAsia="宋体" w:hAnsi="Arial" w:cs="Arial"/>
          <w:sz w:val="20"/>
          <w:szCs w:val="20"/>
        </w:rPr>
        <w:t>sufficiently qualified key personnel. In making employment decisions, particularly in the Internet and high-technology industries, job candidates often consider the value of the equity awards they would receive in connection with their employment and fluct</w:t>
      </w:r>
      <w:r>
        <w:rPr>
          <w:rFonts w:ascii="Arial" w:eastAsia="宋体" w:hAnsi="Arial" w:cs="Arial"/>
          <w:sz w:val="20"/>
          <w:szCs w:val="20"/>
        </w:rPr>
        <w:t>uations in our stock price may make it more difficult to attract, retain and motivate employees. In addition, we do not have long-term employment agreements with any of our key personnel and do not maintain any “key person” life insurance policies. The los</w:t>
      </w:r>
      <w:r>
        <w:rPr>
          <w:rFonts w:ascii="Arial" w:eastAsia="宋体" w:hAnsi="Arial" w:cs="Arial"/>
          <w:sz w:val="20"/>
          <w:szCs w:val="20"/>
        </w:rPr>
        <w:t>s of the services of any of our senior management or other key personnel, or our inability to attract highly qualified senior management and other key personnel, could harm our business.</w:t>
      </w:r>
    </w:p>
    <w:p w14:paraId="0BC97A38" w14:textId="77777777" w:rsidR="009F0928" w:rsidRDefault="009F0928">
      <w:pPr>
        <w:spacing w:line="288" w:lineRule="auto"/>
        <w:ind w:firstLine="600"/>
        <w:jc w:val="both"/>
        <w:rPr>
          <w:rFonts w:ascii="Times New Roman" w:hAnsi="Times New Roman"/>
          <w:sz w:val="20"/>
          <w:szCs w:val="20"/>
        </w:rPr>
      </w:pPr>
    </w:p>
    <w:p w14:paraId="0BC97A39" w14:textId="77777777" w:rsidR="009F0928" w:rsidRDefault="002112BD">
      <w:pPr>
        <w:spacing w:line="288" w:lineRule="auto"/>
        <w:ind w:firstLine="600"/>
        <w:rPr>
          <w:rFonts w:ascii="Times New Roman" w:hAnsi="Times New Roman"/>
          <w:sz w:val="20"/>
          <w:szCs w:val="20"/>
        </w:rPr>
      </w:pPr>
      <w:r>
        <w:rPr>
          <w:rFonts w:ascii="Arial" w:eastAsia="宋体" w:hAnsi="Arial" w:cs="Arial"/>
          <w:sz w:val="20"/>
          <w:szCs w:val="20"/>
        </w:rPr>
        <w:t>On September 25, 2019, we announced the appointment of an interim Ch</w:t>
      </w:r>
      <w:r>
        <w:rPr>
          <w:rFonts w:ascii="Arial" w:eastAsia="宋体" w:hAnsi="Arial" w:cs="Arial"/>
          <w:sz w:val="20"/>
          <w:szCs w:val="20"/>
        </w:rPr>
        <w:t>ief Executive Officer. Our Board of Directors is actively undertaking a search for our next Chief Executive Officer. This search and any eventual transition to a Chief Executive Officer may result in disruptions to our business and uncertainty among invest</w:t>
      </w:r>
      <w:r>
        <w:rPr>
          <w:rFonts w:ascii="Arial" w:eastAsia="宋体" w:hAnsi="Arial" w:cs="Arial"/>
          <w:sz w:val="20"/>
          <w:szCs w:val="20"/>
        </w:rPr>
        <w:t>ors, employees and others concerning our future direction and performance. Any such disruptions and uncertainty, as well as a delay or failure in successfully identifying, attracting or retaining a permanent Chief Executive Officer, could have an adverse e</w:t>
      </w:r>
      <w:r>
        <w:rPr>
          <w:rFonts w:ascii="Arial" w:eastAsia="宋体" w:hAnsi="Arial" w:cs="Arial"/>
          <w:sz w:val="20"/>
          <w:szCs w:val="20"/>
        </w:rPr>
        <w:t>ffect on our business and financial results.</w:t>
      </w:r>
    </w:p>
    <w:p w14:paraId="0BC97A3A" w14:textId="77777777" w:rsidR="009F0928" w:rsidRDefault="009F0928">
      <w:pPr>
        <w:spacing w:line="288" w:lineRule="auto"/>
        <w:jc w:val="both"/>
        <w:rPr>
          <w:rFonts w:ascii="Times New Roman" w:hAnsi="Times New Roman"/>
          <w:sz w:val="20"/>
          <w:szCs w:val="20"/>
        </w:rPr>
      </w:pPr>
    </w:p>
    <w:p w14:paraId="0BC97A3B"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Problems with or price increases by third parties who provide services to us or to our sellers could harm our business.</w:t>
      </w:r>
    </w:p>
    <w:p w14:paraId="0BC97A3C" w14:textId="77777777" w:rsidR="009F0928" w:rsidRDefault="009F0928">
      <w:pPr>
        <w:spacing w:line="288" w:lineRule="auto"/>
        <w:ind w:firstLine="600"/>
        <w:jc w:val="both"/>
        <w:rPr>
          <w:rFonts w:ascii="Times New Roman" w:hAnsi="Times New Roman"/>
          <w:sz w:val="20"/>
          <w:szCs w:val="20"/>
        </w:rPr>
      </w:pPr>
    </w:p>
    <w:p w14:paraId="0BC97A3D"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A number of third parties provide services to us or to our sellers. Such services include</w:t>
      </w:r>
      <w:r>
        <w:rPr>
          <w:rFonts w:ascii="Arial" w:eastAsia="宋体" w:hAnsi="Arial" w:cs="Arial"/>
          <w:sz w:val="20"/>
          <w:szCs w:val="20"/>
        </w:rPr>
        <w:t xml:space="preserve"> seller tools that automate and manage listings, merchant tools that manage listings and interface with inventory management software, storefronts that help our sellers list items and shipping providers that deliver goods sold on our platform, among others</w:t>
      </w:r>
      <w:r>
        <w:rPr>
          <w:rFonts w:ascii="Arial" w:eastAsia="宋体" w:hAnsi="Arial" w:cs="Arial"/>
          <w:sz w:val="20"/>
          <w:szCs w:val="20"/>
        </w:rPr>
        <w:t>. Financial or regulatory issues, labor issues (e.g., strikes, lockouts, or work stoppages), or other problems that prevent these companies from providing services to us or our sellers could harm our business.</w:t>
      </w:r>
    </w:p>
    <w:p w14:paraId="0BC97A3E" w14:textId="77777777" w:rsidR="009F0928" w:rsidRDefault="009F0928">
      <w:pPr>
        <w:spacing w:line="288" w:lineRule="auto"/>
        <w:ind w:firstLine="600"/>
        <w:jc w:val="both"/>
        <w:rPr>
          <w:rFonts w:ascii="Times New Roman" w:hAnsi="Times New Roman"/>
          <w:sz w:val="20"/>
          <w:szCs w:val="20"/>
        </w:rPr>
      </w:pPr>
    </w:p>
    <w:p w14:paraId="0BC97A3F"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Price increases by, or service terminations, </w:t>
      </w:r>
      <w:r>
        <w:rPr>
          <w:rFonts w:ascii="Arial" w:eastAsia="宋体" w:hAnsi="Arial" w:cs="Arial"/>
          <w:sz w:val="20"/>
          <w:szCs w:val="20"/>
        </w:rPr>
        <w:t>disruptions or interruptions at, companies that provide services to us and our sellers and clients could also reduce the number of listings on our platforms or make it more difficult for our sellers to complete transactions, thereby harming our business. S</w:t>
      </w:r>
      <w:r>
        <w:rPr>
          <w:rFonts w:ascii="Arial" w:eastAsia="宋体" w:hAnsi="Arial" w:cs="Arial"/>
          <w:sz w:val="20"/>
          <w:szCs w:val="20"/>
        </w:rPr>
        <w:t>ome third parties who provide services to us or our sellers may have or gain market power and be able to increase their prices to us without competitive constraint. While we continue to work with global carriers to offer our sellers a variety of shipping o</w:t>
      </w:r>
      <w:r>
        <w:rPr>
          <w:rFonts w:ascii="Arial" w:eastAsia="宋体" w:hAnsi="Arial" w:cs="Arial"/>
          <w:sz w:val="20"/>
          <w:szCs w:val="20"/>
        </w:rPr>
        <w:t>ptions and to enhance their shipping experience, postal rate increases may reduce the competitiveness of certain sellers’ offerings, and postal service changes could require certain sellers to utilize alternatives which could be more expensive or inconveni</w:t>
      </w:r>
      <w:r>
        <w:rPr>
          <w:rFonts w:ascii="Arial" w:eastAsia="宋体" w:hAnsi="Arial" w:cs="Arial"/>
          <w:sz w:val="20"/>
          <w:szCs w:val="20"/>
        </w:rPr>
        <w:t xml:space="preserve">ent, which could in turn decrease the number of transactions on our sites, thereby harming our business. </w:t>
      </w:r>
    </w:p>
    <w:p w14:paraId="0BC97A40" w14:textId="77777777" w:rsidR="009F0928" w:rsidRDefault="009F0928">
      <w:pPr>
        <w:spacing w:line="288" w:lineRule="auto"/>
        <w:ind w:firstLine="600"/>
        <w:jc w:val="both"/>
        <w:rPr>
          <w:rFonts w:ascii="Times New Roman" w:hAnsi="Times New Roman"/>
          <w:sz w:val="20"/>
          <w:szCs w:val="20"/>
        </w:rPr>
      </w:pPr>
    </w:p>
    <w:p w14:paraId="0BC97A41"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We have outsourced certain functions to third-party providers, including some customer support and product development functions, which are critical </w:t>
      </w:r>
      <w:r>
        <w:rPr>
          <w:rFonts w:ascii="Arial" w:eastAsia="宋体" w:hAnsi="Arial" w:cs="Arial"/>
          <w:sz w:val="20"/>
          <w:szCs w:val="20"/>
        </w:rPr>
        <w:t>to our operations. If our service providers do not perform satisfactorily, our operations could be disrupted, which could result in user dissatisfaction and could harm our business.</w:t>
      </w:r>
    </w:p>
    <w:p w14:paraId="0BC97A42" w14:textId="77777777" w:rsidR="009F0928" w:rsidRDefault="009F0928">
      <w:pPr>
        <w:spacing w:line="288" w:lineRule="auto"/>
        <w:ind w:firstLine="600"/>
        <w:jc w:val="both"/>
        <w:rPr>
          <w:rFonts w:ascii="Times New Roman" w:hAnsi="Times New Roman"/>
          <w:sz w:val="20"/>
          <w:szCs w:val="20"/>
        </w:rPr>
      </w:pPr>
    </w:p>
    <w:p w14:paraId="0BC97A43"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There can be no assurance that third parties who provide services directl</w:t>
      </w:r>
      <w:r>
        <w:rPr>
          <w:rFonts w:ascii="Arial" w:eastAsia="宋体" w:hAnsi="Arial" w:cs="Arial"/>
          <w:sz w:val="20"/>
          <w:szCs w:val="20"/>
        </w:rPr>
        <w:t xml:space="preserve">y to us or our sellers will continue to do so on acceptable terms, or at all. If any third parties were to stop providing services to us or our sellers on acceptable terms, including as a result of bankruptcy, we may be unable to procure alternatives from </w:t>
      </w:r>
      <w:r>
        <w:rPr>
          <w:rFonts w:ascii="Arial" w:eastAsia="宋体" w:hAnsi="Arial" w:cs="Arial"/>
          <w:sz w:val="20"/>
          <w:szCs w:val="20"/>
        </w:rPr>
        <w:t xml:space="preserve">other third parties in a timely and efficient manner and on acceptable terms, or at all. </w:t>
      </w:r>
    </w:p>
    <w:p w14:paraId="0BC97A44" w14:textId="77777777" w:rsidR="009F0928" w:rsidRDefault="009F0928">
      <w:pPr>
        <w:spacing w:line="288" w:lineRule="auto"/>
        <w:ind w:firstLine="600"/>
        <w:jc w:val="both"/>
        <w:rPr>
          <w:rFonts w:ascii="Times New Roman" w:hAnsi="Times New Roman"/>
          <w:sz w:val="20"/>
          <w:szCs w:val="20"/>
        </w:rPr>
      </w:pPr>
    </w:p>
    <w:p w14:paraId="0BC97A45"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Our developer platforms, which are open to merchants and third-party developers, subject us to additional risks.</w:t>
      </w:r>
    </w:p>
    <w:p w14:paraId="0BC97A46" w14:textId="77777777" w:rsidR="009F0928" w:rsidRDefault="009F0928">
      <w:pPr>
        <w:spacing w:line="288" w:lineRule="auto"/>
        <w:ind w:firstLine="600"/>
        <w:jc w:val="both"/>
        <w:rPr>
          <w:rFonts w:ascii="Times New Roman" w:hAnsi="Times New Roman"/>
          <w:sz w:val="20"/>
          <w:szCs w:val="20"/>
        </w:rPr>
      </w:pPr>
    </w:p>
    <w:p w14:paraId="0BC97A47"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provide third-party developers with access to ap</w:t>
      </w:r>
      <w:r>
        <w:rPr>
          <w:rFonts w:ascii="Arial" w:eastAsia="宋体" w:hAnsi="Arial" w:cs="Arial"/>
          <w:sz w:val="20"/>
          <w:szCs w:val="20"/>
        </w:rPr>
        <w:t>plication programming interfaces, software development kits and other tools designed to allow them to produce applications for use, with a particular focus on mobile applications. There can be no assurance that merchants or third-party developers will deve</w:t>
      </w:r>
      <w:r>
        <w:rPr>
          <w:rFonts w:ascii="Arial" w:eastAsia="宋体" w:hAnsi="Arial" w:cs="Arial"/>
          <w:sz w:val="20"/>
          <w:szCs w:val="20"/>
        </w:rPr>
        <w:t>lop and maintain applications and services on our open platforms on a timely basis or at all, and a number of factors could cause such third-party developers to curtail or stop development for our platforms. In addition, our business is subject to many reg</w:t>
      </w:r>
      <w:r>
        <w:rPr>
          <w:rFonts w:ascii="Arial" w:eastAsia="宋体" w:hAnsi="Arial" w:cs="Arial"/>
          <w:sz w:val="20"/>
          <w:szCs w:val="20"/>
        </w:rPr>
        <w:t>ulatory restrictions. It is possible that merchants and third-party developers who utilize our development platforms or tools could violate these regulatory restrictions and we may be held responsible for such violations, which could harm our business.</w:t>
      </w:r>
    </w:p>
    <w:p w14:paraId="0BC97A48" w14:textId="77777777" w:rsidR="009F0928" w:rsidRDefault="009F0928">
      <w:pPr>
        <w:spacing w:line="288" w:lineRule="auto"/>
        <w:ind w:firstLine="600"/>
        <w:jc w:val="both"/>
        <w:rPr>
          <w:rFonts w:ascii="Times New Roman" w:hAnsi="Times New Roman"/>
          <w:sz w:val="20"/>
          <w:szCs w:val="20"/>
        </w:rPr>
      </w:pPr>
    </w:p>
    <w:p w14:paraId="0BC97A49" w14:textId="77777777" w:rsidR="009F0928" w:rsidRDefault="002112BD">
      <w:pPr>
        <w:spacing w:line="288" w:lineRule="auto"/>
        <w:ind w:firstLine="600"/>
        <w:rPr>
          <w:rFonts w:ascii="Times New Roman" w:hAnsi="Times New Roman"/>
          <w:sz w:val="20"/>
          <w:szCs w:val="20"/>
        </w:rPr>
      </w:pPr>
      <w:r>
        <w:rPr>
          <w:rFonts w:ascii="Arial" w:eastAsia="宋体" w:hAnsi="Arial" w:cs="Arial"/>
          <w:i/>
          <w:iCs/>
          <w:sz w:val="20"/>
          <w:szCs w:val="20"/>
        </w:rPr>
        <w:t>We</w:t>
      </w:r>
      <w:r>
        <w:rPr>
          <w:rFonts w:ascii="Arial" w:eastAsia="宋体" w:hAnsi="Arial" w:cs="Arial"/>
          <w:i/>
          <w:iCs/>
          <w:sz w:val="20"/>
          <w:szCs w:val="20"/>
        </w:rPr>
        <w:t xml:space="preserve"> cannot provide assurance that we will continue to pay dividends on our common stock. </w:t>
      </w:r>
    </w:p>
    <w:p w14:paraId="0BC97A4A" w14:textId="77777777" w:rsidR="009F0928" w:rsidRDefault="002112BD">
      <w:pPr>
        <w:spacing w:line="288" w:lineRule="auto"/>
        <w:rPr>
          <w:rFonts w:ascii="Times New Roman" w:hAnsi="Times New Roman"/>
          <w:sz w:val="20"/>
          <w:szCs w:val="20"/>
        </w:rPr>
      </w:pPr>
      <w:r>
        <w:rPr>
          <w:rFonts w:ascii="Arial" w:eastAsia="宋体" w:hAnsi="Arial" w:cs="Arial"/>
          <w:sz w:val="20"/>
          <w:szCs w:val="20"/>
        </w:rPr>
        <w:t> </w:t>
      </w:r>
    </w:p>
    <w:p w14:paraId="0BC97A4B" w14:textId="77777777" w:rsidR="009F0928" w:rsidRDefault="002112BD">
      <w:pPr>
        <w:spacing w:line="288" w:lineRule="auto"/>
        <w:ind w:firstLine="580"/>
        <w:jc w:val="both"/>
        <w:rPr>
          <w:rFonts w:ascii="Times New Roman" w:hAnsi="Times New Roman"/>
          <w:sz w:val="20"/>
          <w:szCs w:val="20"/>
        </w:rPr>
      </w:pPr>
      <w:r>
        <w:rPr>
          <w:rFonts w:ascii="Arial" w:eastAsia="宋体" w:hAnsi="Arial" w:cs="Arial"/>
          <w:sz w:val="20"/>
          <w:szCs w:val="20"/>
        </w:rPr>
        <w:t>In January 2019, we initiated a quarterly cash dividend on our common stock. The timing, declaration, amount and payment of any future dividends fall within the discretion of our Board of Directors and will depend on many factors, including our available c</w:t>
      </w:r>
      <w:r>
        <w:rPr>
          <w:rFonts w:ascii="Arial" w:eastAsia="宋体" w:hAnsi="Arial" w:cs="Arial"/>
          <w:sz w:val="20"/>
          <w:szCs w:val="20"/>
        </w:rPr>
        <w:t xml:space="preserve">ash, working capital, financial condition, results of operations, capital requirements, covenants in our debt instruments, applicable law and other considerations that our Board of Directors considers relevant. A </w:t>
      </w:r>
    </w:p>
    <w:p w14:paraId="0BC97A4C" w14:textId="77777777" w:rsidR="009F0928" w:rsidRDefault="009F0928">
      <w:pPr>
        <w:rPr>
          <w:rFonts w:ascii="Times New Roman" w:hAnsi="Times New Roman"/>
          <w:sz w:val="20"/>
          <w:szCs w:val="20"/>
        </w:rPr>
      </w:pPr>
    </w:p>
    <w:p w14:paraId="0BC97A4D"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28</w:t>
      </w:r>
    </w:p>
    <w:p w14:paraId="0BC97A4E" w14:textId="77777777" w:rsidR="009F0928" w:rsidRDefault="002112BD">
      <w:r>
        <w:rPr>
          <w:rFonts w:ascii="Times New Roman" w:hAnsi="Times New Roman"/>
          <w:sz w:val="18"/>
          <w:szCs w:val="18"/>
        </w:rPr>
        <w:pict w14:anchorId="0BC9B4D7">
          <v:rect id="_x0000_i1053" style="width:415.3pt;height:1.5pt" o:hralign="center" o:hrstd="t" o:hr="t" fillcolor="#a0a0a0" stroked="f"/>
        </w:pict>
      </w:r>
    </w:p>
    <w:p w14:paraId="0BC97A4F" w14:textId="77777777" w:rsidR="009F0928" w:rsidRDefault="009F0928">
      <w:pPr>
        <w:spacing w:line="288" w:lineRule="auto"/>
        <w:rPr>
          <w:rFonts w:ascii="Times New Roman" w:hAnsi="Times New Roman"/>
          <w:sz w:val="20"/>
          <w:szCs w:val="20"/>
        </w:rPr>
      </w:pPr>
    </w:p>
    <w:p w14:paraId="0BC97A50" w14:textId="77777777" w:rsidR="009F0928" w:rsidRDefault="009F0928">
      <w:pPr>
        <w:rPr>
          <w:rFonts w:ascii="Times New Roman" w:hAnsi="Times New Roman"/>
          <w:sz w:val="20"/>
          <w:szCs w:val="20"/>
        </w:rPr>
      </w:pPr>
    </w:p>
    <w:p w14:paraId="0BC97A51"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reduction in the amount of cash di</w:t>
      </w:r>
      <w:r>
        <w:rPr>
          <w:rFonts w:ascii="Arial" w:eastAsia="宋体" w:hAnsi="Arial" w:cs="Arial"/>
          <w:sz w:val="20"/>
          <w:szCs w:val="20"/>
        </w:rPr>
        <w:t xml:space="preserve">vidends on our common stock, the suspension of those dividends or a failure to meet market expectations regarding potential dividend increases could have a material adverse effect on the market price of our common stock. If we do not pay cash dividends on </w:t>
      </w:r>
      <w:r>
        <w:rPr>
          <w:rFonts w:ascii="Arial" w:eastAsia="宋体" w:hAnsi="Arial" w:cs="Arial"/>
          <w:sz w:val="20"/>
          <w:szCs w:val="20"/>
        </w:rPr>
        <w:t>our common stock in the future, realization of a gain on an investment in our common stock will depend entirely on the appreciation of the price of our common stock, which may not occur.</w:t>
      </w:r>
    </w:p>
    <w:p w14:paraId="0BC97A52"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w:t>
      </w:r>
    </w:p>
    <w:p w14:paraId="0BC97A53"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 xml:space="preserve">We could incur significant liability if the </w:t>
      </w:r>
      <w:r>
        <w:rPr>
          <w:rFonts w:ascii="Arial" w:eastAsia="宋体" w:hAnsi="Arial" w:cs="Arial"/>
          <w:i/>
          <w:iCs/>
          <w:sz w:val="20"/>
          <w:szCs w:val="20"/>
        </w:rPr>
        <w:t>Distribution is determined to be a taxable transaction.</w:t>
      </w:r>
    </w:p>
    <w:p w14:paraId="0BC97A54" w14:textId="77777777" w:rsidR="009F0928" w:rsidRDefault="009F0928">
      <w:pPr>
        <w:spacing w:line="288" w:lineRule="auto"/>
        <w:jc w:val="both"/>
        <w:rPr>
          <w:rFonts w:ascii="Times New Roman" w:hAnsi="Times New Roman"/>
          <w:sz w:val="20"/>
          <w:szCs w:val="20"/>
        </w:rPr>
      </w:pPr>
    </w:p>
    <w:p w14:paraId="0BC97A55"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have received an opinion from outside tax counsel to the effect that our distribution of 100% of the outstanding common stock of PayPal to our stockholders on July 17, 2015 (the “Distribution”) qu</w:t>
      </w:r>
      <w:r>
        <w:rPr>
          <w:rFonts w:ascii="Arial" w:eastAsia="宋体" w:hAnsi="Arial" w:cs="Arial"/>
          <w:sz w:val="20"/>
          <w:szCs w:val="20"/>
        </w:rPr>
        <w:t>alifies as a transaction that is described in Sections 355 and 368(a)(1)(D) of the Internal Revenue Code. The opinion relies on certain facts, assumptions, representations and undertakings from PayPal and us regarding the past and future conduct of the com</w:t>
      </w:r>
      <w:r>
        <w:rPr>
          <w:rFonts w:ascii="Arial" w:eastAsia="宋体" w:hAnsi="Arial" w:cs="Arial"/>
          <w:sz w:val="20"/>
          <w:szCs w:val="20"/>
        </w:rPr>
        <w:t>panies’ respective businesses and other matters. If any of these facts, assumptions, representations or undertakings are incorrect or not satisfied, our stockholders and we may not be able to rely on the opinion of tax counsel and could be subject to signi</w:t>
      </w:r>
      <w:r>
        <w:rPr>
          <w:rFonts w:ascii="Arial" w:eastAsia="宋体" w:hAnsi="Arial" w:cs="Arial"/>
          <w:sz w:val="20"/>
          <w:szCs w:val="20"/>
        </w:rPr>
        <w:t>ficant tax liabilities. Notwithstanding the opinion of tax counsel we have received, the IRS could determine on audit that the Distribution is taxable if it determines that any of these facts, assumptions, representations or undertakings are not correct or</w:t>
      </w:r>
      <w:r>
        <w:rPr>
          <w:rFonts w:ascii="Arial" w:eastAsia="宋体" w:hAnsi="Arial" w:cs="Arial"/>
          <w:sz w:val="20"/>
          <w:szCs w:val="20"/>
        </w:rPr>
        <w:t xml:space="preserve"> have been violated or if it disagrees with the conclusions in the opinion. If the Distribution is determined to be taxable for U.S. federal income tax purposes, our stockholders that are subject to U.S. federal income tax and we could incur significant U.</w:t>
      </w:r>
      <w:r>
        <w:rPr>
          <w:rFonts w:ascii="Arial" w:eastAsia="宋体" w:hAnsi="Arial" w:cs="Arial"/>
          <w:sz w:val="20"/>
          <w:szCs w:val="20"/>
        </w:rPr>
        <w:t>S. federal income tax liabilities.</w:t>
      </w:r>
    </w:p>
    <w:p w14:paraId="0BC97A56" w14:textId="77777777" w:rsidR="009F0928" w:rsidRDefault="009F0928">
      <w:pPr>
        <w:spacing w:line="288" w:lineRule="auto"/>
        <w:ind w:firstLine="660"/>
        <w:jc w:val="both"/>
        <w:rPr>
          <w:rFonts w:ascii="Times New Roman" w:hAnsi="Times New Roman"/>
          <w:sz w:val="20"/>
          <w:szCs w:val="20"/>
        </w:rPr>
      </w:pPr>
    </w:p>
    <w:p w14:paraId="0BC97A57"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i/>
          <w:iCs/>
          <w:sz w:val="20"/>
          <w:szCs w:val="20"/>
        </w:rPr>
        <w:t>We may be exposed to claims and liabilities as a result of the Distribution.</w:t>
      </w:r>
    </w:p>
    <w:p w14:paraId="0BC97A58" w14:textId="77777777" w:rsidR="009F0928" w:rsidRDefault="009F0928">
      <w:pPr>
        <w:spacing w:line="288" w:lineRule="auto"/>
        <w:jc w:val="both"/>
        <w:rPr>
          <w:rFonts w:ascii="Times New Roman" w:hAnsi="Times New Roman"/>
          <w:sz w:val="20"/>
          <w:szCs w:val="20"/>
        </w:rPr>
      </w:pPr>
    </w:p>
    <w:p w14:paraId="0BC97A59"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entered into a separation and distribution agreement and various other agreements with PayPal to govern the Distribution and the relationsh</w:t>
      </w:r>
      <w:r>
        <w:rPr>
          <w:rFonts w:ascii="Arial" w:eastAsia="宋体" w:hAnsi="Arial" w:cs="Arial"/>
          <w:sz w:val="20"/>
          <w:szCs w:val="20"/>
        </w:rPr>
        <w:t>ip of the two companies. These agreements provide for specific indemnity and liability obligations and could lead to disputes between us and PayPal. The indemnity rights we have against PayPal under the agreements may not be sufficient to protect us. In ad</w:t>
      </w:r>
      <w:r>
        <w:rPr>
          <w:rFonts w:ascii="Arial" w:eastAsia="宋体" w:hAnsi="Arial" w:cs="Arial"/>
          <w:sz w:val="20"/>
          <w:szCs w:val="20"/>
        </w:rPr>
        <w:t>dition, our indemnity obligations to PayPal may be significant and these risks could negatively affect our results of operations and financial condition.</w:t>
      </w:r>
    </w:p>
    <w:p w14:paraId="0BC97A5A" w14:textId="77777777" w:rsidR="009F0928" w:rsidRDefault="009F0928">
      <w:pPr>
        <w:spacing w:line="288" w:lineRule="auto"/>
        <w:ind w:firstLine="960"/>
        <w:jc w:val="both"/>
        <w:rPr>
          <w:rFonts w:ascii="Times New Roman" w:hAnsi="Times New Roman"/>
          <w:sz w:val="20"/>
          <w:szCs w:val="20"/>
        </w:rPr>
      </w:pPr>
    </w:p>
    <w:p w14:paraId="0BC97A5B" w14:textId="77777777" w:rsidR="009F0928" w:rsidRDefault="002112BD">
      <w:pPr>
        <w:spacing w:line="288" w:lineRule="auto"/>
        <w:ind w:hanging="1920"/>
        <w:rPr>
          <w:rFonts w:ascii="Times New Roman" w:hAnsi="Times New Roman"/>
          <w:sz w:val="20"/>
          <w:szCs w:val="20"/>
        </w:rPr>
      </w:pPr>
      <w:r>
        <w:rPr>
          <w:rFonts w:ascii="Arial" w:eastAsia="宋体" w:hAnsi="Arial" w:cs="Arial"/>
          <w:b/>
          <w:bCs/>
          <w:sz w:val="20"/>
          <w:szCs w:val="20"/>
        </w:rPr>
        <w:t xml:space="preserve">ITEM 1B: </w:t>
      </w:r>
      <w:r>
        <w:rPr>
          <w:rFonts w:ascii="Arial" w:eastAsia="宋体" w:hAnsi="Arial" w:cs="Arial"/>
          <w:b/>
          <w:bCs/>
          <w:i/>
          <w:iCs/>
          <w:sz w:val="20"/>
          <w:szCs w:val="20"/>
        </w:rPr>
        <w:t>UNRESOLVED STAFF COMMENTS</w:t>
      </w:r>
    </w:p>
    <w:p w14:paraId="0BC97A5C" w14:textId="77777777" w:rsidR="009F0928" w:rsidRDefault="009F0928">
      <w:pPr>
        <w:spacing w:line="288" w:lineRule="auto"/>
        <w:ind w:firstLine="720"/>
        <w:rPr>
          <w:rFonts w:ascii="Times New Roman" w:hAnsi="Times New Roman"/>
          <w:sz w:val="20"/>
          <w:szCs w:val="20"/>
        </w:rPr>
      </w:pPr>
    </w:p>
    <w:p w14:paraId="0BC97A5D" w14:textId="77777777" w:rsidR="009F0928" w:rsidRDefault="002112BD">
      <w:pPr>
        <w:spacing w:line="288" w:lineRule="auto"/>
        <w:ind w:firstLine="720"/>
        <w:rPr>
          <w:rFonts w:ascii="Times New Roman" w:hAnsi="Times New Roman"/>
          <w:sz w:val="20"/>
          <w:szCs w:val="20"/>
        </w:rPr>
      </w:pPr>
      <w:r>
        <w:rPr>
          <w:rFonts w:ascii="Arial" w:eastAsia="宋体" w:hAnsi="Arial" w:cs="Arial"/>
          <w:sz w:val="20"/>
          <w:szCs w:val="20"/>
        </w:rPr>
        <w:t xml:space="preserve">Not applicable. </w:t>
      </w:r>
    </w:p>
    <w:p w14:paraId="0BC97A5E" w14:textId="77777777" w:rsidR="009F0928" w:rsidRDefault="009F0928">
      <w:pPr>
        <w:rPr>
          <w:rFonts w:ascii="Times New Roman" w:hAnsi="Times New Roman"/>
          <w:sz w:val="20"/>
          <w:szCs w:val="20"/>
        </w:rPr>
      </w:pPr>
    </w:p>
    <w:p w14:paraId="0BC97A5F"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29</w:t>
      </w:r>
    </w:p>
    <w:p w14:paraId="0BC97A60" w14:textId="77777777" w:rsidR="009F0928" w:rsidRDefault="002112BD">
      <w:r>
        <w:rPr>
          <w:rFonts w:ascii="Times New Roman" w:hAnsi="Times New Roman"/>
          <w:sz w:val="18"/>
          <w:szCs w:val="18"/>
        </w:rPr>
        <w:pict w14:anchorId="0BC9B4D8">
          <v:rect id="_x0000_i1054" style="width:415.3pt;height:1.5pt" o:hralign="center" o:hrstd="t" o:hr="t" fillcolor="#a0a0a0" stroked="f"/>
        </w:pict>
      </w:r>
    </w:p>
    <w:p w14:paraId="0BC97A61" w14:textId="77777777" w:rsidR="009F0928" w:rsidRDefault="009F0928">
      <w:pPr>
        <w:spacing w:line="288" w:lineRule="auto"/>
        <w:rPr>
          <w:rFonts w:ascii="Times New Roman" w:hAnsi="Times New Roman"/>
          <w:sz w:val="20"/>
          <w:szCs w:val="20"/>
        </w:rPr>
      </w:pPr>
    </w:p>
    <w:p w14:paraId="0BC97A62" w14:textId="77777777" w:rsidR="009F0928" w:rsidRDefault="009F0928">
      <w:pPr>
        <w:rPr>
          <w:rFonts w:ascii="Times New Roman" w:hAnsi="Times New Roman"/>
          <w:sz w:val="20"/>
          <w:szCs w:val="20"/>
        </w:rPr>
      </w:pPr>
    </w:p>
    <w:p w14:paraId="0BC97A63" w14:textId="77777777" w:rsidR="009F0928" w:rsidRDefault="002112BD">
      <w:pPr>
        <w:spacing w:line="288" w:lineRule="auto"/>
        <w:ind w:hanging="1920"/>
        <w:rPr>
          <w:rFonts w:ascii="Times New Roman" w:hAnsi="Times New Roman"/>
          <w:sz w:val="20"/>
          <w:szCs w:val="20"/>
        </w:rPr>
      </w:pPr>
      <w:r>
        <w:rPr>
          <w:rFonts w:ascii="Arial" w:eastAsia="宋体" w:hAnsi="Arial" w:cs="Arial"/>
          <w:b/>
          <w:bCs/>
          <w:sz w:val="20"/>
          <w:szCs w:val="20"/>
        </w:rPr>
        <w:t xml:space="preserve">ITEM 2: </w:t>
      </w:r>
      <w:r>
        <w:rPr>
          <w:rFonts w:ascii="Arial" w:eastAsia="宋体" w:hAnsi="Arial" w:cs="Arial"/>
          <w:b/>
          <w:bCs/>
          <w:i/>
          <w:iCs/>
          <w:sz w:val="20"/>
          <w:szCs w:val="20"/>
        </w:rPr>
        <w:t>PROPERTIES</w:t>
      </w:r>
      <w:r>
        <w:rPr>
          <w:rFonts w:ascii="Arial" w:eastAsia="宋体" w:hAnsi="Arial" w:cs="Arial"/>
          <w:sz w:val="20"/>
          <w:szCs w:val="20"/>
        </w:rPr>
        <w:t>    </w:t>
      </w:r>
    </w:p>
    <w:p w14:paraId="0BC97A64" w14:textId="77777777" w:rsidR="009F0928" w:rsidRDefault="009F0928">
      <w:pPr>
        <w:spacing w:line="288" w:lineRule="auto"/>
        <w:ind w:firstLine="720"/>
        <w:rPr>
          <w:rFonts w:ascii="Times New Roman" w:hAnsi="Times New Roman"/>
          <w:sz w:val="20"/>
          <w:szCs w:val="20"/>
        </w:rPr>
      </w:pPr>
    </w:p>
    <w:p w14:paraId="0BC97A6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own and </w:t>
      </w:r>
      <w:r>
        <w:rPr>
          <w:rFonts w:ascii="Arial" w:eastAsia="宋体" w:hAnsi="Arial" w:cs="Arial"/>
          <w:sz w:val="20"/>
          <w:szCs w:val="20"/>
        </w:rPr>
        <w:t xml:space="preserve">lease various properties in the U.S. and 31 other countries around the world. We use the properties for executive and administrative offices, data centers, product development offices, fulfillment centers and customer service offices. Our headquarters are </w:t>
      </w:r>
      <w:r>
        <w:rPr>
          <w:rFonts w:ascii="Arial" w:eastAsia="宋体" w:hAnsi="Arial" w:cs="Arial"/>
          <w:sz w:val="20"/>
          <w:szCs w:val="20"/>
        </w:rPr>
        <w:t>located in San Jose, California and occupies approximately 0.5 million square feet. Our owned data centers are solely located in Utah. As of December 31, 2019, our owned and leased properties provided us with aggregate square footage as follows (in million</w:t>
      </w:r>
      <w:r>
        <w:rPr>
          <w:rFonts w:ascii="Arial" w:eastAsia="宋体" w:hAnsi="Arial" w:cs="Arial"/>
          <w:sz w:val="20"/>
          <w:szCs w:val="20"/>
        </w:rPr>
        <w:t>s):</w:t>
      </w:r>
    </w:p>
    <w:tbl>
      <w:tblPr>
        <w:tblW w:w="5000" w:type="pct"/>
        <w:jc w:val="center"/>
        <w:tblCellMar>
          <w:left w:w="0" w:type="dxa"/>
          <w:right w:w="0" w:type="dxa"/>
        </w:tblCellMar>
        <w:tblLook w:val="04A0" w:firstRow="1" w:lastRow="0" w:firstColumn="1" w:lastColumn="0" w:noHBand="0" w:noVBand="1"/>
      </w:tblPr>
      <w:tblGrid>
        <w:gridCol w:w="4887"/>
        <w:gridCol w:w="983"/>
        <w:gridCol w:w="69"/>
        <w:gridCol w:w="130"/>
        <w:gridCol w:w="983"/>
        <w:gridCol w:w="70"/>
        <w:gridCol w:w="130"/>
        <w:gridCol w:w="984"/>
        <w:gridCol w:w="70"/>
      </w:tblGrid>
      <w:tr w:rsidR="009F0928" w14:paraId="0BC97A67" w14:textId="77777777">
        <w:trPr>
          <w:jc w:val="center"/>
        </w:trPr>
        <w:tc>
          <w:tcPr>
            <w:tcW w:w="0" w:type="auto"/>
            <w:gridSpan w:val="9"/>
            <w:shd w:val="clear" w:color="auto" w:fill="auto"/>
            <w:vAlign w:val="center"/>
          </w:tcPr>
          <w:p w14:paraId="0BC97A66" w14:textId="77777777" w:rsidR="009F0928" w:rsidRDefault="009F0928">
            <w:pPr>
              <w:rPr>
                <w:rFonts w:ascii="Times New Roman" w:hAnsi="Times New Roman"/>
                <w:sz w:val="20"/>
                <w:szCs w:val="20"/>
              </w:rPr>
            </w:pPr>
          </w:p>
        </w:tc>
      </w:tr>
      <w:tr w:rsidR="009F0928" w14:paraId="0BC97A71" w14:textId="77777777">
        <w:trPr>
          <w:jc w:val="center"/>
        </w:trPr>
        <w:tc>
          <w:tcPr>
            <w:tcW w:w="2950" w:type="pct"/>
            <w:shd w:val="clear" w:color="auto" w:fill="auto"/>
            <w:vAlign w:val="center"/>
          </w:tcPr>
          <w:p w14:paraId="0BC97A68" w14:textId="77777777" w:rsidR="009F0928" w:rsidRDefault="009F0928">
            <w:pPr>
              <w:rPr>
                <w:rFonts w:ascii="Times New Roman" w:hAnsi="Times New Roman"/>
                <w:sz w:val="20"/>
                <w:szCs w:val="20"/>
              </w:rPr>
            </w:pPr>
          </w:p>
        </w:tc>
        <w:tc>
          <w:tcPr>
            <w:tcW w:w="600" w:type="pct"/>
            <w:shd w:val="clear" w:color="auto" w:fill="auto"/>
            <w:vAlign w:val="center"/>
          </w:tcPr>
          <w:p w14:paraId="0BC97A69" w14:textId="77777777" w:rsidR="009F0928" w:rsidRDefault="009F0928">
            <w:pPr>
              <w:rPr>
                <w:rFonts w:ascii="Times New Roman" w:hAnsi="Times New Roman"/>
                <w:sz w:val="20"/>
                <w:szCs w:val="20"/>
              </w:rPr>
            </w:pPr>
          </w:p>
        </w:tc>
        <w:tc>
          <w:tcPr>
            <w:tcW w:w="50" w:type="pct"/>
            <w:shd w:val="clear" w:color="auto" w:fill="auto"/>
            <w:vAlign w:val="center"/>
          </w:tcPr>
          <w:p w14:paraId="0BC97A6A" w14:textId="77777777" w:rsidR="009F0928" w:rsidRDefault="009F0928">
            <w:pPr>
              <w:rPr>
                <w:rFonts w:ascii="Times New Roman" w:hAnsi="Times New Roman"/>
                <w:sz w:val="20"/>
                <w:szCs w:val="20"/>
              </w:rPr>
            </w:pPr>
          </w:p>
        </w:tc>
        <w:tc>
          <w:tcPr>
            <w:tcW w:w="50" w:type="pct"/>
            <w:shd w:val="clear" w:color="auto" w:fill="auto"/>
            <w:vAlign w:val="center"/>
          </w:tcPr>
          <w:p w14:paraId="0BC97A6B" w14:textId="77777777" w:rsidR="009F0928" w:rsidRDefault="009F0928">
            <w:pPr>
              <w:rPr>
                <w:rFonts w:ascii="Times New Roman" w:hAnsi="Times New Roman"/>
                <w:sz w:val="20"/>
                <w:szCs w:val="20"/>
              </w:rPr>
            </w:pPr>
          </w:p>
        </w:tc>
        <w:tc>
          <w:tcPr>
            <w:tcW w:w="600" w:type="pct"/>
            <w:shd w:val="clear" w:color="auto" w:fill="auto"/>
            <w:vAlign w:val="center"/>
          </w:tcPr>
          <w:p w14:paraId="0BC97A6C" w14:textId="77777777" w:rsidR="009F0928" w:rsidRDefault="009F0928">
            <w:pPr>
              <w:rPr>
                <w:rFonts w:ascii="Times New Roman" w:hAnsi="Times New Roman"/>
                <w:sz w:val="20"/>
                <w:szCs w:val="20"/>
              </w:rPr>
            </w:pPr>
          </w:p>
        </w:tc>
        <w:tc>
          <w:tcPr>
            <w:tcW w:w="50" w:type="pct"/>
            <w:shd w:val="clear" w:color="auto" w:fill="auto"/>
            <w:vAlign w:val="center"/>
          </w:tcPr>
          <w:p w14:paraId="0BC97A6D" w14:textId="77777777" w:rsidR="009F0928" w:rsidRDefault="009F0928">
            <w:pPr>
              <w:rPr>
                <w:rFonts w:ascii="Times New Roman" w:hAnsi="Times New Roman"/>
                <w:sz w:val="20"/>
                <w:szCs w:val="20"/>
              </w:rPr>
            </w:pPr>
          </w:p>
        </w:tc>
        <w:tc>
          <w:tcPr>
            <w:tcW w:w="50" w:type="pct"/>
            <w:shd w:val="clear" w:color="auto" w:fill="auto"/>
            <w:vAlign w:val="center"/>
          </w:tcPr>
          <w:p w14:paraId="0BC97A6E" w14:textId="77777777" w:rsidR="009F0928" w:rsidRDefault="009F0928">
            <w:pPr>
              <w:rPr>
                <w:rFonts w:ascii="Times New Roman" w:hAnsi="Times New Roman"/>
                <w:sz w:val="20"/>
                <w:szCs w:val="20"/>
              </w:rPr>
            </w:pPr>
          </w:p>
        </w:tc>
        <w:tc>
          <w:tcPr>
            <w:tcW w:w="600" w:type="pct"/>
            <w:shd w:val="clear" w:color="auto" w:fill="auto"/>
            <w:vAlign w:val="center"/>
          </w:tcPr>
          <w:p w14:paraId="0BC97A6F" w14:textId="77777777" w:rsidR="009F0928" w:rsidRDefault="009F0928">
            <w:pPr>
              <w:rPr>
                <w:rFonts w:ascii="Times New Roman" w:hAnsi="Times New Roman"/>
                <w:sz w:val="20"/>
                <w:szCs w:val="20"/>
              </w:rPr>
            </w:pPr>
          </w:p>
        </w:tc>
        <w:tc>
          <w:tcPr>
            <w:tcW w:w="50" w:type="pct"/>
            <w:shd w:val="clear" w:color="auto" w:fill="auto"/>
            <w:vAlign w:val="center"/>
          </w:tcPr>
          <w:p w14:paraId="0BC97A70" w14:textId="77777777" w:rsidR="009F0928" w:rsidRDefault="009F0928">
            <w:pPr>
              <w:rPr>
                <w:rFonts w:ascii="Times New Roman" w:hAnsi="Times New Roman"/>
                <w:sz w:val="20"/>
                <w:szCs w:val="20"/>
              </w:rPr>
            </w:pPr>
          </w:p>
        </w:tc>
      </w:tr>
      <w:tr w:rsidR="009F0928" w14:paraId="0BC97A78" w14:textId="77777777">
        <w:trPr>
          <w:jc w:val="center"/>
        </w:trPr>
        <w:tc>
          <w:tcPr>
            <w:tcW w:w="0" w:type="auto"/>
            <w:shd w:val="clear" w:color="auto" w:fill="auto"/>
            <w:tcMar>
              <w:top w:w="40" w:type="dxa"/>
              <w:left w:w="40" w:type="dxa"/>
              <w:bottom w:w="40" w:type="dxa"/>
              <w:right w:w="40" w:type="dxa"/>
            </w:tcMar>
            <w:vAlign w:val="bottom"/>
          </w:tcPr>
          <w:p w14:paraId="0BC97A7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7A7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United States</w:t>
            </w:r>
          </w:p>
        </w:tc>
        <w:tc>
          <w:tcPr>
            <w:tcW w:w="0" w:type="auto"/>
            <w:shd w:val="clear" w:color="auto" w:fill="auto"/>
            <w:tcMar>
              <w:top w:w="40" w:type="dxa"/>
              <w:left w:w="40" w:type="dxa"/>
              <w:bottom w:w="40" w:type="dxa"/>
              <w:right w:w="40" w:type="dxa"/>
            </w:tcMar>
            <w:vAlign w:val="bottom"/>
          </w:tcPr>
          <w:p w14:paraId="0BC97A7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7A75"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Other Countries</w:t>
            </w:r>
          </w:p>
        </w:tc>
        <w:tc>
          <w:tcPr>
            <w:tcW w:w="0" w:type="auto"/>
            <w:shd w:val="clear" w:color="auto" w:fill="auto"/>
            <w:tcMar>
              <w:top w:w="40" w:type="dxa"/>
              <w:left w:w="40" w:type="dxa"/>
              <w:bottom w:w="40" w:type="dxa"/>
              <w:right w:w="40" w:type="dxa"/>
            </w:tcMar>
            <w:vAlign w:val="bottom"/>
          </w:tcPr>
          <w:p w14:paraId="0BC97A7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7A7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Total</w:t>
            </w:r>
          </w:p>
        </w:tc>
      </w:tr>
      <w:tr w:rsidR="009F0928" w14:paraId="0BC97A82" w14:textId="77777777">
        <w:trPr>
          <w:jc w:val="center"/>
        </w:trPr>
        <w:tc>
          <w:tcPr>
            <w:tcW w:w="0" w:type="auto"/>
            <w:shd w:val="clear" w:color="auto" w:fill="E2E2E2"/>
            <w:tcMar>
              <w:top w:w="40" w:type="dxa"/>
              <w:left w:w="40" w:type="dxa"/>
              <w:bottom w:w="40" w:type="dxa"/>
              <w:right w:w="40" w:type="dxa"/>
            </w:tcMar>
            <w:vAlign w:val="bottom"/>
          </w:tcPr>
          <w:p w14:paraId="0BC97A79" w14:textId="77777777" w:rsidR="009F0928" w:rsidRDefault="002112BD">
            <w:pPr>
              <w:textAlignment w:val="bottom"/>
              <w:rPr>
                <w:rFonts w:ascii="Times New Roman" w:hAnsi="Times New Roman"/>
                <w:sz w:val="20"/>
                <w:szCs w:val="20"/>
              </w:rPr>
            </w:pPr>
            <w:r>
              <w:rPr>
                <w:rFonts w:ascii="Arial" w:eastAsia="宋体" w:hAnsi="Arial" w:cs="Arial"/>
                <w:sz w:val="20"/>
                <w:szCs w:val="20"/>
              </w:rPr>
              <w:t>Owned facilities</w:t>
            </w:r>
          </w:p>
        </w:tc>
        <w:tc>
          <w:tcPr>
            <w:tcW w:w="0" w:type="auto"/>
            <w:shd w:val="clear" w:color="auto" w:fill="E2E2E2"/>
            <w:tcMar>
              <w:top w:w="40" w:type="dxa"/>
              <w:left w:w="40" w:type="dxa"/>
              <w:bottom w:w="40" w:type="dxa"/>
            </w:tcMar>
            <w:vAlign w:val="bottom"/>
          </w:tcPr>
          <w:p w14:paraId="0BC97A7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1.3</w:t>
            </w:r>
          </w:p>
        </w:tc>
        <w:tc>
          <w:tcPr>
            <w:tcW w:w="0" w:type="auto"/>
            <w:shd w:val="clear" w:color="auto" w:fill="E2E2E2"/>
            <w:vAlign w:val="bottom"/>
          </w:tcPr>
          <w:p w14:paraId="0BC97A7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A7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A7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vAlign w:val="bottom"/>
          </w:tcPr>
          <w:p w14:paraId="0BC97A7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A7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7A8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1.3</w:t>
            </w:r>
          </w:p>
        </w:tc>
        <w:tc>
          <w:tcPr>
            <w:tcW w:w="0" w:type="auto"/>
            <w:tcBorders>
              <w:top w:val="single" w:sz="8" w:space="0" w:color="000000"/>
            </w:tcBorders>
            <w:shd w:val="clear" w:color="auto" w:fill="E2E2E2"/>
            <w:vAlign w:val="bottom"/>
          </w:tcPr>
          <w:p w14:paraId="0BC97A81" w14:textId="77777777" w:rsidR="009F0928" w:rsidRDefault="009F0928">
            <w:pPr>
              <w:textAlignment w:val="bottom"/>
              <w:rPr>
                <w:rFonts w:ascii="Times New Roman" w:hAnsi="Times New Roman"/>
                <w:sz w:val="20"/>
                <w:szCs w:val="20"/>
              </w:rPr>
            </w:pPr>
          </w:p>
        </w:tc>
      </w:tr>
      <w:tr w:rsidR="009F0928" w14:paraId="0BC97A8C" w14:textId="77777777">
        <w:trPr>
          <w:jc w:val="center"/>
        </w:trPr>
        <w:tc>
          <w:tcPr>
            <w:tcW w:w="0" w:type="auto"/>
            <w:shd w:val="clear" w:color="auto" w:fill="auto"/>
            <w:tcMar>
              <w:top w:w="40" w:type="dxa"/>
              <w:left w:w="40" w:type="dxa"/>
              <w:bottom w:w="40" w:type="dxa"/>
              <w:right w:w="40" w:type="dxa"/>
            </w:tcMar>
            <w:vAlign w:val="bottom"/>
          </w:tcPr>
          <w:p w14:paraId="0BC97A83" w14:textId="77777777" w:rsidR="009F0928" w:rsidRDefault="002112BD">
            <w:pPr>
              <w:textAlignment w:val="bottom"/>
              <w:rPr>
                <w:rFonts w:ascii="Times New Roman" w:hAnsi="Times New Roman"/>
                <w:sz w:val="20"/>
                <w:szCs w:val="20"/>
              </w:rPr>
            </w:pPr>
            <w:r>
              <w:rPr>
                <w:rFonts w:ascii="Arial" w:eastAsia="宋体" w:hAnsi="Arial" w:cs="Arial"/>
                <w:sz w:val="20"/>
                <w:szCs w:val="20"/>
              </w:rPr>
              <w:t>Leased facilities</w:t>
            </w:r>
          </w:p>
        </w:tc>
        <w:tc>
          <w:tcPr>
            <w:tcW w:w="0" w:type="auto"/>
            <w:shd w:val="clear" w:color="auto" w:fill="auto"/>
            <w:tcMar>
              <w:top w:w="40" w:type="dxa"/>
              <w:left w:w="40" w:type="dxa"/>
              <w:bottom w:w="40" w:type="dxa"/>
            </w:tcMar>
            <w:vAlign w:val="bottom"/>
          </w:tcPr>
          <w:p w14:paraId="0BC97A8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0.8</w:t>
            </w:r>
          </w:p>
        </w:tc>
        <w:tc>
          <w:tcPr>
            <w:tcW w:w="0" w:type="auto"/>
            <w:shd w:val="clear" w:color="auto" w:fill="auto"/>
            <w:vAlign w:val="bottom"/>
          </w:tcPr>
          <w:p w14:paraId="0BC97A8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A8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A8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3.9</w:t>
            </w:r>
          </w:p>
        </w:tc>
        <w:tc>
          <w:tcPr>
            <w:tcW w:w="0" w:type="auto"/>
            <w:shd w:val="clear" w:color="auto" w:fill="auto"/>
            <w:vAlign w:val="bottom"/>
          </w:tcPr>
          <w:p w14:paraId="0BC97A8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A8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0BC97A8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4.7</w:t>
            </w:r>
          </w:p>
        </w:tc>
        <w:tc>
          <w:tcPr>
            <w:tcW w:w="0" w:type="auto"/>
            <w:tcBorders>
              <w:bottom w:val="single" w:sz="8" w:space="0" w:color="000000"/>
            </w:tcBorders>
            <w:shd w:val="clear" w:color="auto" w:fill="auto"/>
            <w:vAlign w:val="bottom"/>
          </w:tcPr>
          <w:p w14:paraId="0BC97A8B" w14:textId="77777777" w:rsidR="009F0928" w:rsidRDefault="009F0928">
            <w:pPr>
              <w:textAlignment w:val="bottom"/>
              <w:rPr>
                <w:rFonts w:ascii="Times New Roman" w:hAnsi="Times New Roman"/>
                <w:sz w:val="20"/>
                <w:szCs w:val="20"/>
              </w:rPr>
            </w:pPr>
          </w:p>
        </w:tc>
      </w:tr>
      <w:tr w:rsidR="009F0928" w14:paraId="0BC97A96" w14:textId="77777777">
        <w:trPr>
          <w:jc w:val="center"/>
        </w:trPr>
        <w:tc>
          <w:tcPr>
            <w:tcW w:w="0" w:type="auto"/>
            <w:shd w:val="clear" w:color="auto" w:fill="E2E2E2"/>
            <w:tcMar>
              <w:top w:w="40" w:type="dxa"/>
              <w:left w:w="40" w:type="dxa"/>
              <w:bottom w:w="40" w:type="dxa"/>
              <w:right w:w="40" w:type="dxa"/>
            </w:tcMar>
            <w:vAlign w:val="bottom"/>
          </w:tcPr>
          <w:p w14:paraId="0BC97A8D" w14:textId="77777777" w:rsidR="009F0928" w:rsidRDefault="002112BD">
            <w:pPr>
              <w:textAlignment w:val="bottom"/>
              <w:rPr>
                <w:rFonts w:ascii="Times New Roman" w:hAnsi="Times New Roman"/>
                <w:sz w:val="20"/>
                <w:szCs w:val="20"/>
              </w:rPr>
            </w:pPr>
            <w:r>
              <w:rPr>
                <w:rFonts w:ascii="Arial" w:eastAsia="宋体" w:hAnsi="Arial" w:cs="Arial"/>
                <w:sz w:val="20"/>
                <w:szCs w:val="20"/>
              </w:rPr>
              <w:t>Total facilities</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7A8E"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2.1</w:t>
            </w:r>
          </w:p>
        </w:tc>
        <w:tc>
          <w:tcPr>
            <w:tcW w:w="0" w:type="auto"/>
            <w:tcBorders>
              <w:top w:val="single" w:sz="8" w:space="0" w:color="000000"/>
              <w:bottom w:val="double" w:sz="6" w:space="0" w:color="000000"/>
            </w:tcBorders>
            <w:shd w:val="clear" w:color="auto" w:fill="E2E2E2"/>
            <w:vAlign w:val="bottom"/>
          </w:tcPr>
          <w:p w14:paraId="0BC97A8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A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7A9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3.9</w:t>
            </w:r>
          </w:p>
        </w:tc>
        <w:tc>
          <w:tcPr>
            <w:tcW w:w="0" w:type="auto"/>
            <w:tcBorders>
              <w:top w:val="single" w:sz="8" w:space="0" w:color="000000"/>
              <w:bottom w:val="double" w:sz="6" w:space="0" w:color="000000"/>
            </w:tcBorders>
            <w:shd w:val="clear" w:color="auto" w:fill="E2E2E2"/>
            <w:vAlign w:val="bottom"/>
          </w:tcPr>
          <w:p w14:paraId="0BC97A9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A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7A9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6.0</w:t>
            </w:r>
          </w:p>
        </w:tc>
        <w:tc>
          <w:tcPr>
            <w:tcW w:w="0" w:type="auto"/>
            <w:tcBorders>
              <w:top w:val="single" w:sz="8" w:space="0" w:color="000000"/>
              <w:bottom w:val="double" w:sz="6" w:space="0" w:color="000000"/>
            </w:tcBorders>
            <w:shd w:val="clear" w:color="auto" w:fill="E2E2E2"/>
            <w:vAlign w:val="bottom"/>
          </w:tcPr>
          <w:p w14:paraId="0BC97A95" w14:textId="77777777" w:rsidR="009F0928" w:rsidRDefault="009F0928">
            <w:pPr>
              <w:textAlignment w:val="bottom"/>
              <w:rPr>
                <w:rFonts w:ascii="Times New Roman" w:hAnsi="Times New Roman"/>
                <w:sz w:val="20"/>
                <w:szCs w:val="20"/>
              </w:rPr>
            </w:pPr>
          </w:p>
        </w:tc>
      </w:tr>
    </w:tbl>
    <w:p w14:paraId="0BC97A97" w14:textId="77777777" w:rsidR="009F0928" w:rsidRDefault="009F0928">
      <w:pPr>
        <w:spacing w:line="288" w:lineRule="auto"/>
        <w:rPr>
          <w:rFonts w:ascii="Times New Roman" w:hAnsi="Times New Roman"/>
          <w:sz w:val="20"/>
          <w:szCs w:val="20"/>
        </w:rPr>
      </w:pPr>
    </w:p>
    <w:p w14:paraId="0BC97A98" w14:textId="77777777" w:rsidR="009F0928" w:rsidRDefault="002112BD">
      <w:pPr>
        <w:spacing w:line="288" w:lineRule="auto"/>
        <w:ind w:firstLine="720"/>
        <w:rPr>
          <w:rFonts w:ascii="Times New Roman" w:hAnsi="Times New Roman"/>
          <w:sz w:val="20"/>
          <w:szCs w:val="20"/>
        </w:rPr>
      </w:pPr>
      <w:r>
        <w:rPr>
          <w:rFonts w:ascii="Arial" w:eastAsia="宋体" w:hAnsi="Arial" w:cs="Arial"/>
          <w:sz w:val="20"/>
          <w:szCs w:val="20"/>
        </w:rPr>
        <w:t>From time to time we consider various alternatives related to our long-term facilities needs. While we believe that our existing facilities, which are used by all of our reportable segments, are adequate to meet our immediate needs, it may become necessary</w:t>
      </w:r>
      <w:r>
        <w:rPr>
          <w:rFonts w:ascii="Arial" w:eastAsia="宋体" w:hAnsi="Arial" w:cs="Arial"/>
          <w:sz w:val="20"/>
          <w:szCs w:val="20"/>
        </w:rPr>
        <w:t xml:space="preserve"> to develop and improve land that we own or lease or acquire additional or alternative space to accommodate any future growth. </w:t>
      </w:r>
    </w:p>
    <w:p w14:paraId="0BC97A99" w14:textId="77777777" w:rsidR="009F0928" w:rsidRDefault="009F0928">
      <w:pPr>
        <w:spacing w:line="288" w:lineRule="auto"/>
        <w:rPr>
          <w:rFonts w:ascii="Times New Roman" w:hAnsi="Times New Roman"/>
          <w:sz w:val="20"/>
          <w:szCs w:val="20"/>
        </w:rPr>
      </w:pPr>
    </w:p>
    <w:p w14:paraId="0BC97A9A" w14:textId="77777777" w:rsidR="009F0928" w:rsidRDefault="009F0928">
      <w:pPr>
        <w:rPr>
          <w:rFonts w:ascii="Times New Roman" w:hAnsi="Times New Roman"/>
          <w:sz w:val="20"/>
          <w:szCs w:val="20"/>
        </w:rPr>
      </w:pPr>
    </w:p>
    <w:p w14:paraId="0BC97A9B"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30</w:t>
      </w:r>
    </w:p>
    <w:p w14:paraId="0BC97A9C" w14:textId="77777777" w:rsidR="009F0928" w:rsidRDefault="002112BD">
      <w:r>
        <w:rPr>
          <w:rFonts w:ascii="Times New Roman" w:hAnsi="Times New Roman"/>
          <w:sz w:val="18"/>
          <w:szCs w:val="18"/>
        </w:rPr>
        <w:pict w14:anchorId="0BC9B4D9">
          <v:rect id="_x0000_i1055" style="width:415.3pt;height:1.5pt" o:hralign="center" o:hrstd="t" o:hr="t" fillcolor="#a0a0a0" stroked="f"/>
        </w:pict>
      </w:r>
    </w:p>
    <w:p w14:paraId="0BC97A9D" w14:textId="77777777" w:rsidR="009F0928" w:rsidRDefault="009F0928">
      <w:pPr>
        <w:spacing w:line="288" w:lineRule="auto"/>
        <w:rPr>
          <w:rFonts w:ascii="Times New Roman" w:hAnsi="Times New Roman"/>
          <w:sz w:val="20"/>
          <w:szCs w:val="20"/>
        </w:rPr>
      </w:pPr>
    </w:p>
    <w:p w14:paraId="0BC97A9E" w14:textId="77777777" w:rsidR="009F0928" w:rsidRDefault="009F0928">
      <w:pPr>
        <w:rPr>
          <w:rFonts w:ascii="Times New Roman" w:hAnsi="Times New Roman"/>
          <w:sz w:val="20"/>
          <w:szCs w:val="20"/>
        </w:rPr>
      </w:pPr>
    </w:p>
    <w:p w14:paraId="0BC97A9F" w14:textId="77777777" w:rsidR="009F0928" w:rsidRDefault="002112BD">
      <w:pPr>
        <w:spacing w:line="288" w:lineRule="auto"/>
        <w:ind w:hanging="1920"/>
        <w:jc w:val="both"/>
        <w:rPr>
          <w:rFonts w:ascii="Times New Roman" w:hAnsi="Times New Roman"/>
          <w:sz w:val="20"/>
          <w:szCs w:val="20"/>
        </w:rPr>
      </w:pPr>
      <w:r>
        <w:rPr>
          <w:rFonts w:ascii="Arial" w:eastAsia="宋体" w:hAnsi="Arial" w:cs="Arial"/>
          <w:b/>
          <w:bCs/>
          <w:sz w:val="20"/>
          <w:szCs w:val="20"/>
        </w:rPr>
        <w:t xml:space="preserve">ITEM 3: </w:t>
      </w:r>
      <w:r>
        <w:rPr>
          <w:rFonts w:ascii="Arial" w:eastAsia="宋体" w:hAnsi="Arial" w:cs="Arial"/>
          <w:b/>
          <w:bCs/>
          <w:i/>
          <w:iCs/>
          <w:sz w:val="20"/>
          <w:szCs w:val="20"/>
        </w:rPr>
        <w:t>LEGAL PROCEEDINGS</w:t>
      </w:r>
      <w:r>
        <w:rPr>
          <w:rFonts w:ascii="Arial" w:eastAsia="宋体" w:hAnsi="Arial" w:cs="Arial"/>
          <w:b/>
          <w:bCs/>
          <w:sz w:val="20"/>
          <w:szCs w:val="20"/>
        </w:rPr>
        <w:t>    </w:t>
      </w:r>
    </w:p>
    <w:p w14:paraId="0BC97AA0" w14:textId="77777777" w:rsidR="009F0928" w:rsidRDefault="009F0928">
      <w:pPr>
        <w:spacing w:line="288" w:lineRule="auto"/>
        <w:ind w:firstLine="720"/>
        <w:jc w:val="both"/>
        <w:rPr>
          <w:rFonts w:ascii="Times New Roman" w:hAnsi="Times New Roman"/>
          <w:sz w:val="20"/>
          <w:szCs w:val="20"/>
        </w:rPr>
      </w:pPr>
    </w:p>
    <w:p w14:paraId="0BC97AA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Overview</w:t>
      </w:r>
    </w:p>
    <w:p w14:paraId="0BC97AA2" w14:textId="77777777" w:rsidR="009F0928" w:rsidRDefault="009F0928">
      <w:pPr>
        <w:spacing w:line="288" w:lineRule="auto"/>
        <w:ind w:firstLine="720"/>
        <w:jc w:val="both"/>
        <w:rPr>
          <w:rFonts w:ascii="Times New Roman" w:hAnsi="Times New Roman"/>
          <w:sz w:val="20"/>
          <w:szCs w:val="20"/>
        </w:rPr>
      </w:pPr>
    </w:p>
    <w:p w14:paraId="0BC97AA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are involved in legal and regulatory proceedings on an ongoing basis. </w:t>
      </w:r>
      <w:r>
        <w:rPr>
          <w:rFonts w:ascii="Arial" w:eastAsia="宋体" w:hAnsi="Arial" w:cs="Arial"/>
          <w:sz w:val="20"/>
          <w:szCs w:val="20"/>
        </w:rPr>
        <w:t>Many of these proceedings are in early stages and may seek an indeterminate amount of damages. If we believe that a loss arising from such matters is probable and can be reasonably estimated, we accrue the estimated liability in our financial statements. I</w:t>
      </w:r>
      <w:r>
        <w:rPr>
          <w:rFonts w:ascii="Arial" w:eastAsia="宋体" w:hAnsi="Arial" w:cs="Arial"/>
          <w:sz w:val="20"/>
          <w:szCs w:val="20"/>
        </w:rPr>
        <w:t>f only a range of estimated losses can be determined, we accrue an amount within the range that, in our judgment, reflects the most likely outcome; if none of the estimates within that range is a better estimate than any other amount, we accrue the low end</w:t>
      </w:r>
      <w:r>
        <w:rPr>
          <w:rFonts w:ascii="Arial" w:eastAsia="宋体" w:hAnsi="Arial" w:cs="Arial"/>
          <w:sz w:val="20"/>
          <w:szCs w:val="20"/>
        </w:rPr>
        <w:t xml:space="preserve"> of the range. For those proceedings in which an unfavorable outcome is reasonably possible but not probable, we have disclosed an estimate of the reasonably possible loss or range of losses or we have concluded that an estimate of the reasonably possible </w:t>
      </w:r>
      <w:r>
        <w:rPr>
          <w:rFonts w:ascii="Arial" w:eastAsia="宋体" w:hAnsi="Arial" w:cs="Arial"/>
          <w:sz w:val="20"/>
          <w:szCs w:val="20"/>
        </w:rPr>
        <w:t>loss or range of losses arising directly from the proceeding (i.e., monetary damages or amounts paid in judgment or settlement) is not material. If we cannot estimate the probable or reasonably possible loss or range of losses arising from a proceeding, we</w:t>
      </w:r>
      <w:r>
        <w:rPr>
          <w:rFonts w:ascii="Arial" w:eastAsia="宋体" w:hAnsi="Arial" w:cs="Arial"/>
          <w:sz w:val="20"/>
          <w:szCs w:val="20"/>
        </w:rPr>
        <w:t xml:space="preserve"> have disclosed that fact. In assessing the materiality of a proceeding, we evaluate, among other factors, the amount of monetary damages claimed, as well as the potential impact of non-monetary remedies sought by plaintiffs (e.g., injunctive relief) that </w:t>
      </w:r>
      <w:r>
        <w:rPr>
          <w:rFonts w:ascii="Arial" w:eastAsia="宋体" w:hAnsi="Arial" w:cs="Arial"/>
          <w:sz w:val="20"/>
          <w:szCs w:val="20"/>
        </w:rPr>
        <w:t>may require us to change our business practices in a manner that could have a material adverse impact on our business. With respect to the matters disclosed in this Item 3, we are unable to estimate the possible loss or range of losses that could potential</w:t>
      </w:r>
      <w:r>
        <w:rPr>
          <w:rFonts w:ascii="Arial" w:eastAsia="宋体" w:hAnsi="Arial" w:cs="Arial"/>
          <w:sz w:val="20"/>
          <w:szCs w:val="20"/>
        </w:rPr>
        <w:t>ly result from the application of such non-monetary remedies.</w:t>
      </w:r>
    </w:p>
    <w:p w14:paraId="0BC97AA4" w14:textId="77777777" w:rsidR="009F0928" w:rsidRDefault="009F0928">
      <w:pPr>
        <w:spacing w:line="288" w:lineRule="auto"/>
        <w:ind w:firstLine="720"/>
        <w:jc w:val="both"/>
        <w:rPr>
          <w:rFonts w:ascii="Times New Roman" w:hAnsi="Times New Roman"/>
          <w:sz w:val="20"/>
          <w:szCs w:val="20"/>
        </w:rPr>
      </w:pPr>
    </w:p>
    <w:p w14:paraId="0BC97AA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Amounts accrued for legal and regulatory proceedings for which we believe a loss is probable were not material for the year ended December 31, 2019. Except as otherwise noted for the proceeding</w:t>
      </w:r>
      <w:r>
        <w:rPr>
          <w:rFonts w:ascii="Arial" w:eastAsia="宋体" w:hAnsi="Arial" w:cs="Arial"/>
          <w:sz w:val="20"/>
          <w:szCs w:val="20"/>
        </w:rPr>
        <w:t>s described in this Item 3, we have concluded, based on currently available information, that reasonably possible losses arising directly from the proceedings (i.e., monetary damages or amounts paid in judgment or settlement) in excess of our recorded accr</w:t>
      </w:r>
      <w:r>
        <w:rPr>
          <w:rFonts w:ascii="Arial" w:eastAsia="宋体" w:hAnsi="Arial" w:cs="Arial"/>
          <w:sz w:val="20"/>
          <w:szCs w:val="20"/>
        </w:rPr>
        <w:t>uals are also not material. However, legal and regulatory proceedings are inherently unpredictable and subject to significant uncertainties. If one or more matters were resolved against us in a reporting period for amounts in excess of management’s expecta</w:t>
      </w:r>
      <w:r>
        <w:rPr>
          <w:rFonts w:ascii="Arial" w:eastAsia="宋体" w:hAnsi="Arial" w:cs="Arial"/>
          <w:sz w:val="20"/>
          <w:szCs w:val="20"/>
        </w:rPr>
        <w:t>tions, the impact on our operating results or financial condition for that reporting period could be material. Legal fees are expensed as incurred.</w:t>
      </w:r>
    </w:p>
    <w:p w14:paraId="0BC97AA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General Matters</w:t>
      </w:r>
    </w:p>
    <w:p w14:paraId="0BC97AA7" w14:textId="77777777" w:rsidR="009F0928" w:rsidRDefault="009F0928">
      <w:pPr>
        <w:spacing w:line="288" w:lineRule="auto"/>
        <w:ind w:firstLine="720"/>
        <w:jc w:val="both"/>
        <w:rPr>
          <w:rFonts w:ascii="Times New Roman" w:hAnsi="Times New Roman"/>
          <w:sz w:val="20"/>
          <w:szCs w:val="20"/>
        </w:rPr>
      </w:pPr>
    </w:p>
    <w:p w14:paraId="0BC97AA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Third parties have from time to time claimed, and others may claim in the future, that we h</w:t>
      </w:r>
      <w:r>
        <w:rPr>
          <w:rFonts w:ascii="Arial" w:eastAsia="宋体" w:hAnsi="Arial" w:cs="Arial"/>
          <w:sz w:val="20"/>
          <w:szCs w:val="20"/>
        </w:rPr>
        <w:t>ave infringed their intellectual property rights. We are subject to patent disputes, and expect that we could be subject to additional patent infringement claims involving various aspects of our business as our products and services continue to expand in s</w:t>
      </w:r>
      <w:r>
        <w:rPr>
          <w:rFonts w:ascii="Arial" w:eastAsia="宋体" w:hAnsi="Arial" w:cs="Arial"/>
          <w:sz w:val="20"/>
          <w:szCs w:val="20"/>
        </w:rPr>
        <w:t xml:space="preserve">cope and complexity. Such claims may be brought directly or indirectly against us and/or against our customers (who may be entitled to contractual indemnification under their contracts with us), and we are subject to increased exposure to such claims as a </w:t>
      </w:r>
      <w:r>
        <w:rPr>
          <w:rFonts w:ascii="Arial" w:eastAsia="宋体" w:hAnsi="Arial" w:cs="Arial"/>
          <w:sz w:val="20"/>
          <w:szCs w:val="20"/>
        </w:rPr>
        <w:t>result of our acquisitions and divestitures and in cases where we are entering new lines of business. We have in the past been forced to litigate such claims. We may also become more vulnerable to third-party claims as laws such as the Digital Millennium C</w:t>
      </w:r>
      <w:r>
        <w:rPr>
          <w:rFonts w:ascii="Arial" w:eastAsia="宋体" w:hAnsi="Arial" w:cs="Arial"/>
          <w:sz w:val="20"/>
          <w:szCs w:val="20"/>
        </w:rPr>
        <w:t>opyright Act, the Lanham Act and the Communications Decency Act are interpreted by the courts, and as we expand the scope of our business (both in terms of the range of products and services that we offer and our geographical operations) and become subject</w:t>
      </w:r>
      <w:r>
        <w:rPr>
          <w:rFonts w:ascii="Arial" w:eastAsia="宋体" w:hAnsi="Arial" w:cs="Arial"/>
          <w:sz w:val="20"/>
          <w:szCs w:val="20"/>
        </w:rPr>
        <w:t xml:space="preserve"> to laws in jurisdictions where the underlying laws with respect to the potential liability of online intermediaries like ourselves are either unclear or less favorable. We believe that additional lawsuits alleging that we have violated patent, copyright o</w:t>
      </w:r>
      <w:r>
        <w:rPr>
          <w:rFonts w:ascii="Arial" w:eastAsia="宋体" w:hAnsi="Arial" w:cs="Arial"/>
          <w:sz w:val="20"/>
          <w:szCs w:val="20"/>
        </w:rPr>
        <w:t>r trademark laws will be filed against us. Intellectual property claims, whether meritorious or not, are time consuming and costly to defend and resolve, could require expensive changes in our methods of doing business or could require us to enter into cos</w:t>
      </w:r>
      <w:r>
        <w:rPr>
          <w:rFonts w:ascii="Arial" w:eastAsia="宋体" w:hAnsi="Arial" w:cs="Arial"/>
          <w:sz w:val="20"/>
          <w:szCs w:val="20"/>
        </w:rPr>
        <w:t>tly royalty or licensing agreements on unfavorable terms.</w:t>
      </w:r>
    </w:p>
    <w:p w14:paraId="0BC97AA9" w14:textId="77777777" w:rsidR="009F0928" w:rsidRDefault="009F0928">
      <w:pPr>
        <w:spacing w:line="288" w:lineRule="auto"/>
        <w:ind w:firstLine="640"/>
        <w:jc w:val="both"/>
        <w:rPr>
          <w:rFonts w:ascii="Times New Roman" w:hAnsi="Times New Roman"/>
          <w:sz w:val="20"/>
          <w:szCs w:val="20"/>
        </w:rPr>
      </w:pPr>
    </w:p>
    <w:p w14:paraId="0BC97AAA"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From time to time, we are involved in other disputes or regulatory inquiries that arise in the ordinary course of business, including suits by our users (individually or as class actions) alleging,</w:t>
      </w:r>
      <w:r>
        <w:rPr>
          <w:rFonts w:ascii="Arial" w:eastAsia="宋体" w:hAnsi="Arial" w:cs="Arial"/>
          <w:sz w:val="20"/>
          <w:szCs w:val="20"/>
        </w:rPr>
        <w:t xml:space="preserve"> among other things, improper disclosure of our prices, rules or policies, that our practices, prices, rules, policies or customer/user agreements violate applicable law or that we have acted unfairly and/or not acted in conformity with such practices, pri</w:t>
      </w:r>
      <w:r>
        <w:rPr>
          <w:rFonts w:ascii="Arial" w:eastAsia="宋体" w:hAnsi="Arial" w:cs="Arial"/>
          <w:sz w:val="20"/>
          <w:szCs w:val="20"/>
        </w:rPr>
        <w:t xml:space="preserve">ces, rules, policies or agreements. Further, the number and significance of these disputes and inquiries are increasing as the political and regulatory landscape changes and, as we have grown larger, our businesses have expanded in scope (both in terms of </w:t>
      </w:r>
      <w:r>
        <w:rPr>
          <w:rFonts w:ascii="Arial" w:eastAsia="宋体" w:hAnsi="Arial" w:cs="Arial"/>
          <w:sz w:val="20"/>
          <w:szCs w:val="20"/>
        </w:rPr>
        <w:t>the range of products and services that we offer and our geographical operations) and our products and services have increased in complexity. Any claims or regulatory actions against us, whether meritorious or not, could be time consuming, result in costly</w:t>
      </w:r>
      <w:r>
        <w:rPr>
          <w:rFonts w:ascii="Arial" w:eastAsia="宋体" w:hAnsi="Arial" w:cs="Arial"/>
          <w:sz w:val="20"/>
          <w:szCs w:val="20"/>
        </w:rPr>
        <w:t xml:space="preserve"> litigation, damage awards (including statutory damages for certain causes of action in certain jurisdictions), injunctive relief or increased costs of doing business through adverse judgment or settlement, require us to change our business practices in ex</w:t>
      </w:r>
      <w:r>
        <w:rPr>
          <w:rFonts w:ascii="Arial" w:eastAsia="宋体" w:hAnsi="Arial" w:cs="Arial"/>
          <w:sz w:val="20"/>
          <w:szCs w:val="20"/>
        </w:rPr>
        <w:t>pensive ways, require significant amounts of management time, result in the diversion of significant operational resources or otherwise harm our business.</w:t>
      </w:r>
    </w:p>
    <w:p w14:paraId="0BC97AAB" w14:textId="77777777" w:rsidR="009F0928" w:rsidRDefault="009F0928">
      <w:pPr>
        <w:rPr>
          <w:rFonts w:ascii="Times New Roman" w:hAnsi="Times New Roman"/>
          <w:sz w:val="20"/>
          <w:szCs w:val="20"/>
        </w:rPr>
      </w:pPr>
    </w:p>
    <w:p w14:paraId="0BC97AAC"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31</w:t>
      </w:r>
    </w:p>
    <w:p w14:paraId="0BC97AAD" w14:textId="77777777" w:rsidR="009F0928" w:rsidRDefault="002112BD">
      <w:r>
        <w:rPr>
          <w:rFonts w:ascii="Times New Roman" w:hAnsi="Times New Roman"/>
          <w:sz w:val="18"/>
          <w:szCs w:val="18"/>
        </w:rPr>
        <w:pict w14:anchorId="0BC9B4DA">
          <v:rect id="_x0000_i1056" style="width:415.3pt;height:1.5pt" o:hralign="center" o:hrstd="t" o:hr="t" fillcolor="#a0a0a0" stroked="f"/>
        </w:pict>
      </w:r>
    </w:p>
    <w:p w14:paraId="0BC97AAE" w14:textId="77777777" w:rsidR="009F0928" w:rsidRDefault="009F0928">
      <w:pPr>
        <w:spacing w:line="288" w:lineRule="auto"/>
        <w:rPr>
          <w:rFonts w:ascii="Times New Roman" w:hAnsi="Times New Roman"/>
          <w:sz w:val="20"/>
          <w:szCs w:val="20"/>
        </w:rPr>
      </w:pPr>
    </w:p>
    <w:p w14:paraId="0BC97AAF" w14:textId="77777777" w:rsidR="009F0928" w:rsidRDefault="009F0928">
      <w:pPr>
        <w:rPr>
          <w:rFonts w:ascii="Times New Roman" w:hAnsi="Times New Roman"/>
          <w:sz w:val="20"/>
          <w:szCs w:val="20"/>
        </w:rPr>
      </w:pPr>
    </w:p>
    <w:p w14:paraId="0BC97AB0" w14:textId="77777777" w:rsidR="009F0928" w:rsidRDefault="009F0928">
      <w:pPr>
        <w:spacing w:line="288" w:lineRule="auto"/>
        <w:ind w:firstLine="720"/>
        <w:jc w:val="both"/>
        <w:rPr>
          <w:rFonts w:ascii="Times New Roman" w:hAnsi="Times New Roman"/>
          <w:sz w:val="20"/>
          <w:szCs w:val="20"/>
        </w:rPr>
      </w:pPr>
    </w:p>
    <w:p w14:paraId="0BC97AB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Indemnification Provisions</w:t>
      </w:r>
    </w:p>
    <w:p w14:paraId="0BC97AB2" w14:textId="77777777" w:rsidR="009F0928" w:rsidRDefault="009F0928">
      <w:pPr>
        <w:spacing w:line="288" w:lineRule="auto"/>
        <w:jc w:val="both"/>
        <w:rPr>
          <w:rFonts w:ascii="Times New Roman" w:hAnsi="Times New Roman"/>
          <w:sz w:val="20"/>
          <w:szCs w:val="20"/>
        </w:rPr>
      </w:pPr>
    </w:p>
    <w:p w14:paraId="0BC97AB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entered into a separation and distribution agreement and </w:t>
      </w:r>
      <w:r>
        <w:rPr>
          <w:rFonts w:ascii="Arial" w:eastAsia="宋体" w:hAnsi="Arial" w:cs="Arial"/>
          <w:sz w:val="20"/>
          <w:szCs w:val="20"/>
        </w:rPr>
        <w:t>various other agreements with PayPal to govern the separation and relationship of the two companies. These agreements provide for specific indemnity and liability obligations and could lead to disputes between us and PayPal, which may be significant. In ad</w:t>
      </w:r>
      <w:r>
        <w:rPr>
          <w:rFonts w:ascii="Arial" w:eastAsia="宋体" w:hAnsi="Arial" w:cs="Arial"/>
          <w:sz w:val="20"/>
          <w:szCs w:val="20"/>
        </w:rPr>
        <w:t>dition, the indemnity rights we have against PayPal under the agreements may not be sufficient to protect us and our indemnity obligations to PayPal may be significant.</w:t>
      </w:r>
    </w:p>
    <w:p w14:paraId="0BC97AB4" w14:textId="77777777" w:rsidR="009F0928" w:rsidRDefault="009F0928">
      <w:pPr>
        <w:spacing w:line="288" w:lineRule="auto"/>
        <w:ind w:firstLine="720"/>
        <w:jc w:val="both"/>
        <w:rPr>
          <w:rFonts w:ascii="Times New Roman" w:hAnsi="Times New Roman"/>
          <w:sz w:val="20"/>
          <w:szCs w:val="20"/>
        </w:rPr>
      </w:pPr>
    </w:p>
    <w:p w14:paraId="0BC97AB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addition, we have entered into indemnification agreements with each of our director</w:t>
      </w:r>
      <w:r>
        <w:rPr>
          <w:rFonts w:ascii="Arial" w:eastAsia="宋体" w:hAnsi="Arial" w:cs="Arial"/>
          <w:sz w:val="20"/>
          <w:szCs w:val="20"/>
        </w:rPr>
        <w:t>s, executive officers and certain other officers. These agreements require us to indemnify such individuals, to the fullest extent permitted by Delaware law, for certain liabilities to which they may become subject as a result of their affiliation with us.</w:t>
      </w:r>
      <w:r>
        <w:rPr>
          <w:rFonts w:ascii="Arial" w:eastAsia="宋体" w:hAnsi="Arial" w:cs="Arial"/>
          <w:sz w:val="20"/>
          <w:szCs w:val="20"/>
        </w:rPr>
        <w:t xml:space="preserve"> </w:t>
      </w:r>
    </w:p>
    <w:p w14:paraId="0BC97AB6" w14:textId="77777777" w:rsidR="009F0928" w:rsidRDefault="009F0928">
      <w:pPr>
        <w:spacing w:line="288" w:lineRule="auto"/>
        <w:ind w:firstLine="720"/>
        <w:jc w:val="both"/>
        <w:rPr>
          <w:rFonts w:ascii="Times New Roman" w:hAnsi="Times New Roman"/>
          <w:sz w:val="20"/>
          <w:szCs w:val="20"/>
        </w:rPr>
      </w:pPr>
    </w:p>
    <w:p w14:paraId="0BC97AB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the ordinary course of business, we have included limited indemnification provisions in certain of our agreements with parties with which we have commercial relations, including our standard marketing, promotions and application-programming-interface</w:t>
      </w:r>
      <w:r>
        <w:rPr>
          <w:rFonts w:ascii="Arial" w:eastAsia="宋体" w:hAnsi="Arial" w:cs="Arial"/>
          <w:sz w:val="20"/>
          <w:szCs w:val="20"/>
        </w:rPr>
        <w:t xml:space="preserve"> license agreements. Under these contracts, we generally indemnify, hold harmless and agree to reimburse the indemnified party for losses suffered or incurred by the indemnified party in connection with claims by a third party with respect to our domain na</w:t>
      </w:r>
      <w:r>
        <w:rPr>
          <w:rFonts w:ascii="Arial" w:eastAsia="宋体" w:hAnsi="Arial" w:cs="Arial"/>
          <w:sz w:val="20"/>
          <w:szCs w:val="20"/>
        </w:rPr>
        <w:t>mes, trademarks, logos and other branding elements to the extent that such marks are applicable to our performance under the subject agreement. In certain cases, we have agreed to provide indemnification for intellectual property infringement. It is not po</w:t>
      </w:r>
      <w:r>
        <w:rPr>
          <w:rFonts w:ascii="Arial" w:eastAsia="宋体" w:hAnsi="Arial" w:cs="Arial"/>
          <w:sz w:val="20"/>
          <w:szCs w:val="20"/>
        </w:rPr>
        <w:t xml:space="preserve">ssible to determine the maximum potential loss under these indemnification provisions due to our limited history of prior indemnification claims and the unique facts and circumstances involved in each particular provision. </w:t>
      </w:r>
    </w:p>
    <w:p w14:paraId="0BC97AB8" w14:textId="77777777" w:rsidR="009F0928" w:rsidRDefault="009F0928">
      <w:pPr>
        <w:spacing w:line="288" w:lineRule="auto"/>
        <w:ind w:firstLine="720"/>
        <w:jc w:val="both"/>
        <w:rPr>
          <w:rFonts w:ascii="Times New Roman" w:hAnsi="Times New Roman"/>
          <w:sz w:val="20"/>
          <w:szCs w:val="20"/>
        </w:rPr>
      </w:pPr>
    </w:p>
    <w:p w14:paraId="0BC97AB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To date, losses recorded in our</w:t>
      </w:r>
      <w:r>
        <w:rPr>
          <w:rFonts w:ascii="Arial" w:eastAsia="宋体" w:hAnsi="Arial" w:cs="Arial"/>
          <w:sz w:val="20"/>
          <w:szCs w:val="20"/>
        </w:rPr>
        <w:t xml:space="preserve"> consolidated statement of income in connection with our indemnification provisions have not been significant, either individually or collectively.</w:t>
      </w:r>
    </w:p>
    <w:p w14:paraId="0BC97ABA" w14:textId="77777777" w:rsidR="009F0928" w:rsidRDefault="009F0928">
      <w:pPr>
        <w:spacing w:line="288" w:lineRule="auto"/>
        <w:jc w:val="both"/>
        <w:rPr>
          <w:rFonts w:ascii="Times New Roman" w:hAnsi="Times New Roman"/>
          <w:sz w:val="20"/>
          <w:szCs w:val="20"/>
        </w:rPr>
      </w:pPr>
    </w:p>
    <w:p w14:paraId="0BC97ABB" w14:textId="77777777" w:rsidR="009F0928" w:rsidRDefault="002112BD">
      <w:pPr>
        <w:spacing w:line="288" w:lineRule="auto"/>
        <w:rPr>
          <w:rFonts w:ascii="Times New Roman" w:hAnsi="Times New Roman"/>
          <w:sz w:val="20"/>
          <w:szCs w:val="20"/>
        </w:rPr>
      </w:pPr>
      <w:r>
        <w:rPr>
          <w:rFonts w:ascii="Arial" w:eastAsia="宋体" w:hAnsi="Arial" w:cs="Arial"/>
          <w:b/>
          <w:bCs/>
          <w:sz w:val="20"/>
          <w:szCs w:val="20"/>
        </w:rPr>
        <w:t xml:space="preserve">ITEM 4: </w:t>
      </w:r>
      <w:r>
        <w:rPr>
          <w:rFonts w:ascii="Arial" w:eastAsia="宋体" w:hAnsi="Arial" w:cs="Arial"/>
          <w:b/>
          <w:bCs/>
          <w:i/>
          <w:iCs/>
          <w:sz w:val="20"/>
          <w:szCs w:val="20"/>
        </w:rPr>
        <w:t>MINE SAFETY DISCLOSURES</w:t>
      </w:r>
    </w:p>
    <w:p w14:paraId="0BC97ABC" w14:textId="77777777" w:rsidR="009F0928" w:rsidRDefault="009F0928">
      <w:pPr>
        <w:spacing w:line="288" w:lineRule="auto"/>
        <w:rPr>
          <w:rFonts w:ascii="Times New Roman" w:hAnsi="Times New Roman"/>
          <w:sz w:val="20"/>
          <w:szCs w:val="20"/>
        </w:rPr>
      </w:pPr>
    </w:p>
    <w:p w14:paraId="0BC97ABD" w14:textId="77777777" w:rsidR="009F0928" w:rsidRDefault="002112BD">
      <w:pPr>
        <w:spacing w:line="288" w:lineRule="auto"/>
        <w:ind w:hanging="1200"/>
        <w:rPr>
          <w:rFonts w:ascii="Times New Roman" w:hAnsi="Times New Roman"/>
          <w:sz w:val="20"/>
          <w:szCs w:val="20"/>
        </w:rPr>
      </w:pPr>
      <w:r>
        <w:rPr>
          <w:rFonts w:ascii="Arial" w:eastAsia="宋体" w:hAnsi="Arial" w:cs="Arial"/>
          <w:sz w:val="20"/>
          <w:szCs w:val="20"/>
        </w:rPr>
        <w:t>Not applicable.</w:t>
      </w:r>
    </w:p>
    <w:p w14:paraId="0BC97ABE" w14:textId="77777777" w:rsidR="009F0928" w:rsidRDefault="009F0928">
      <w:pPr>
        <w:rPr>
          <w:rFonts w:ascii="Times New Roman" w:hAnsi="Times New Roman"/>
          <w:sz w:val="20"/>
          <w:szCs w:val="20"/>
        </w:rPr>
      </w:pPr>
    </w:p>
    <w:p w14:paraId="0BC97ABF"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32</w:t>
      </w:r>
    </w:p>
    <w:p w14:paraId="0BC97AC0" w14:textId="77777777" w:rsidR="009F0928" w:rsidRDefault="002112BD">
      <w:r>
        <w:rPr>
          <w:rFonts w:ascii="Times New Roman" w:hAnsi="Times New Roman"/>
          <w:sz w:val="18"/>
          <w:szCs w:val="18"/>
        </w:rPr>
        <w:pict w14:anchorId="0BC9B4DB">
          <v:rect id="_x0000_i1057" style="width:415.3pt;height:1.5pt" o:hralign="center" o:hrstd="t" o:hr="t" fillcolor="#a0a0a0" stroked="f"/>
        </w:pict>
      </w:r>
    </w:p>
    <w:p w14:paraId="0BC97AC1" w14:textId="77777777" w:rsidR="009F0928" w:rsidRDefault="009F0928">
      <w:pPr>
        <w:spacing w:line="288" w:lineRule="auto"/>
        <w:rPr>
          <w:rFonts w:ascii="Times New Roman" w:hAnsi="Times New Roman"/>
          <w:sz w:val="20"/>
          <w:szCs w:val="20"/>
        </w:rPr>
      </w:pPr>
    </w:p>
    <w:p w14:paraId="0BC97AC2" w14:textId="77777777" w:rsidR="009F0928" w:rsidRDefault="009F0928">
      <w:pPr>
        <w:rPr>
          <w:rFonts w:ascii="Times New Roman" w:hAnsi="Times New Roman"/>
          <w:sz w:val="20"/>
          <w:szCs w:val="20"/>
        </w:rPr>
      </w:pPr>
    </w:p>
    <w:p w14:paraId="0BC97AC3"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PART II </w:t>
      </w:r>
    </w:p>
    <w:p w14:paraId="0BC97AC4" w14:textId="77777777" w:rsidR="009F0928" w:rsidRDefault="009F0928">
      <w:pPr>
        <w:spacing w:line="288" w:lineRule="auto"/>
        <w:rPr>
          <w:rFonts w:ascii="Times New Roman" w:hAnsi="Times New Roman"/>
          <w:sz w:val="20"/>
          <w:szCs w:val="20"/>
        </w:rPr>
      </w:pPr>
    </w:p>
    <w:p w14:paraId="0BC97AC5" w14:textId="77777777" w:rsidR="009F0928" w:rsidRDefault="002112BD">
      <w:pPr>
        <w:spacing w:line="288" w:lineRule="auto"/>
        <w:ind w:hanging="1080"/>
        <w:jc w:val="both"/>
        <w:rPr>
          <w:rFonts w:ascii="Times New Roman" w:hAnsi="Times New Roman"/>
          <w:sz w:val="20"/>
          <w:szCs w:val="20"/>
        </w:rPr>
      </w:pPr>
      <w:r>
        <w:rPr>
          <w:rFonts w:ascii="Arial" w:eastAsia="宋体" w:hAnsi="Arial" w:cs="Arial"/>
          <w:b/>
          <w:bCs/>
          <w:sz w:val="20"/>
          <w:szCs w:val="20"/>
        </w:rPr>
        <w:t xml:space="preserve">ITEM 5: </w:t>
      </w:r>
      <w:r>
        <w:rPr>
          <w:rFonts w:ascii="Arial" w:eastAsia="宋体" w:hAnsi="Arial" w:cs="Arial"/>
          <w:b/>
          <w:bCs/>
          <w:i/>
          <w:iCs/>
          <w:sz w:val="20"/>
          <w:szCs w:val="20"/>
        </w:rPr>
        <w:t xml:space="preserve">MARKET FOR </w:t>
      </w:r>
      <w:r>
        <w:rPr>
          <w:rFonts w:ascii="Arial" w:eastAsia="宋体" w:hAnsi="Arial" w:cs="Arial"/>
          <w:b/>
          <w:bCs/>
          <w:i/>
          <w:iCs/>
          <w:sz w:val="20"/>
          <w:szCs w:val="20"/>
        </w:rPr>
        <w:t>REGISTRANT’S COMMON EQUITY, RELATED STOCKHOLDER MATTERS AND ISSUER PURCHASES OF EQUITY SECURITIES</w:t>
      </w:r>
      <w:r>
        <w:rPr>
          <w:rFonts w:ascii="Arial" w:eastAsia="宋体" w:hAnsi="Arial" w:cs="Arial"/>
          <w:b/>
          <w:bCs/>
          <w:sz w:val="20"/>
          <w:szCs w:val="20"/>
        </w:rPr>
        <w:t>    </w:t>
      </w:r>
      <w:r>
        <w:rPr>
          <w:rFonts w:ascii="Arial" w:eastAsia="宋体" w:hAnsi="Arial" w:cs="Arial"/>
          <w:b/>
          <w:bCs/>
          <w:sz w:val="18"/>
          <w:szCs w:val="18"/>
        </w:rPr>
        <w:t>    </w:t>
      </w:r>
    </w:p>
    <w:p w14:paraId="0BC97AC6" w14:textId="77777777" w:rsidR="009F0928" w:rsidRDefault="009F0928">
      <w:pPr>
        <w:spacing w:line="288" w:lineRule="auto"/>
        <w:jc w:val="both"/>
        <w:rPr>
          <w:rFonts w:ascii="Times New Roman" w:hAnsi="Times New Roman"/>
          <w:sz w:val="20"/>
          <w:szCs w:val="20"/>
        </w:rPr>
      </w:pPr>
    </w:p>
    <w:p w14:paraId="0BC97AC7"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Common Stock </w:t>
      </w:r>
    </w:p>
    <w:p w14:paraId="0BC97AC8" w14:textId="77777777" w:rsidR="009F0928" w:rsidRDefault="009F0928">
      <w:pPr>
        <w:spacing w:line="288" w:lineRule="auto"/>
        <w:ind w:firstLine="720"/>
        <w:jc w:val="both"/>
        <w:rPr>
          <w:rFonts w:ascii="Times New Roman" w:hAnsi="Times New Roman"/>
          <w:sz w:val="20"/>
          <w:szCs w:val="20"/>
        </w:rPr>
      </w:pPr>
    </w:p>
    <w:p w14:paraId="0BC97AC9"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Our common stock has been traded on The Nasdaq Global Select Market under the symbol “EBAY” since September 24, 1998. As of January 27, 2020, there were approximately 3,524 holders of record of our common stock, although we believe that there are a signifi</w:t>
      </w:r>
      <w:r>
        <w:rPr>
          <w:rFonts w:ascii="Arial" w:eastAsia="宋体" w:hAnsi="Arial" w:cs="Arial"/>
          <w:sz w:val="20"/>
          <w:szCs w:val="20"/>
        </w:rPr>
        <w:t xml:space="preserve">cantly larger number of beneficial owners of our common stock. </w:t>
      </w:r>
    </w:p>
    <w:p w14:paraId="0BC97ACA" w14:textId="77777777" w:rsidR="009F0928" w:rsidRDefault="009F0928">
      <w:pPr>
        <w:spacing w:line="288" w:lineRule="auto"/>
        <w:jc w:val="both"/>
        <w:rPr>
          <w:rFonts w:ascii="Times New Roman" w:hAnsi="Times New Roman"/>
          <w:sz w:val="20"/>
          <w:szCs w:val="20"/>
        </w:rPr>
      </w:pPr>
    </w:p>
    <w:p w14:paraId="0BC97ACB"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Dividend Policy </w:t>
      </w:r>
    </w:p>
    <w:p w14:paraId="0BC97ACC" w14:textId="77777777" w:rsidR="009F0928" w:rsidRDefault="009F0928">
      <w:pPr>
        <w:spacing w:line="288" w:lineRule="auto"/>
        <w:ind w:firstLine="720"/>
        <w:jc w:val="both"/>
        <w:rPr>
          <w:rFonts w:ascii="Times New Roman" w:hAnsi="Times New Roman"/>
          <w:sz w:val="20"/>
          <w:szCs w:val="20"/>
        </w:rPr>
      </w:pPr>
    </w:p>
    <w:p w14:paraId="0BC97ACD"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During 2019, the company paid a total of $473 million in cash dividends. In January 2020, we declared a quarterly cash dividend of $0.16 per share of common stock to be paid</w:t>
      </w:r>
      <w:r>
        <w:rPr>
          <w:rFonts w:ascii="Arial" w:eastAsia="宋体" w:hAnsi="Arial" w:cs="Arial"/>
          <w:sz w:val="20"/>
          <w:szCs w:val="20"/>
        </w:rPr>
        <w:t xml:space="preserve"> on March 20, 2020 to stockholders of record as of March 2, 2020. The timing, declaration, amount and payment of any future cash dividends are at the discretion of the Board of Directors and will depend on many factors, including our available cash, workin</w:t>
      </w:r>
      <w:r>
        <w:rPr>
          <w:rFonts w:ascii="Arial" w:eastAsia="宋体" w:hAnsi="Arial" w:cs="Arial"/>
          <w:sz w:val="20"/>
          <w:szCs w:val="20"/>
        </w:rPr>
        <w:t>g capital, financial condition, results of operations, capital requirements, covenants in our credit agreement, applicable law and other business considerations that our Board of Directors considers relevant. See “We cannot provide assurance that we will c</w:t>
      </w:r>
      <w:r>
        <w:rPr>
          <w:rFonts w:ascii="Arial" w:eastAsia="宋体" w:hAnsi="Arial" w:cs="Arial"/>
          <w:sz w:val="20"/>
          <w:szCs w:val="20"/>
        </w:rPr>
        <w:t>ontinue to pay dividends on our common stock” under “Item 1A. Risk Factors.”</w:t>
      </w:r>
    </w:p>
    <w:p w14:paraId="0BC97ACE" w14:textId="77777777" w:rsidR="009F0928" w:rsidRDefault="009F0928">
      <w:pPr>
        <w:spacing w:line="288" w:lineRule="auto"/>
        <w:ind w:firstLine="720"/>
        <w:jc w:val="both"/>
        <w:rPr>
          <w:rFonts w:ascii="Times New Roman" w:hAnsi="Times New Roman"/>
          <w:sz w:val="20"/>
          <w:szCs w:val="20"/>
        </w:rPr>
      </w:pPr>
    </w:p>
    <w:p w14:paraId="0BC97ACF"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Performance Measurement Comparison </w:t>
      </w:r>
    </w:p>
    <w:p w14:paraId="0BC97AD0" w14:textId="77777777" w:rsidR="009F0928" w:rsidRDefault="009F0928">
      <w:pPr>
        <w:spacing w:line="288" w:lineRule="auto"/>
        <w:jc w:val="both"/>
        <w:rPr>
          <w:rFonts w:ascii="Times New Roman" w:hAnsi="Times New Roman"/>
          <w:sz w:val="20"/>
          <w:szCs w:val="20"/>
        </w:rPr>
      </w:pPr>
    </w:p>
    <w:p w14:paraId="0BC97AD1"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The graph below shows the cumulative total stockholder return of an investment of $100 (and the reinvestment of any dividends thereafter) on </w:t>
      </w:r>
      <w:r>
        <w:rPr>
          <w:rFonts w:ascii="Arial" w:eastAsia="宋体" w:hAnsi="Arial" w:cs="Arial"/>
          <w:sz w:val="20"/>
          <w:szCs w:val="20"/>
        </w:rPr>
        <w:t>December 31, 2014 (the last trading day for the year ended December 31, 2014) in (i) our common stock, (ii) the Nasdaq Composite Index, (iii) the S&amp;P 500 Index and (iv) the S&amp;P 500 Information Technology Index. For the purpose of this graph, the distributi</w:t>
      </w:r>
      <w:r>
        <w:rPr>
          <w:rFonts w:ascii="Arial" w:eastAsia="宋体" w:hAnsi="Arial" w:cs="Arial"/>
          <w:sz w:val="20"/>
          <w:szCs w:val="20"/>
        </w:rPr>
        <w:t xml:space="preserve">on of 100% of the outstanding common stock of PayPal Holdings, Inc. (“PayPal”) to our stockholders, pursuant to which PayPal became an independent company, is treated as a non-taxable cash dividend of $41.46, an amount equal to the opening price of PayPal </w:t>
      </w:r>
      <w:r>
        <w:rPr>
          <w:rFonts w:ascii="Arial" w:eastAsia="宋体" w:hAnsi="Arial" w:cs="Arial"/>
          <w:sz w:val="20"/>
          <w:szCs w:val="20"/>
        </w:rPr>
        <w:t>common stock on July 20, 2015 which was deemed reinvested in eBay common stock at the opening price on July 20, 2015.</w:t>
      </w:r>
    </w:p>
    <w:p w14:paraId="0BC97AD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w:t>
      </w:r>
    </w:p>
    <w:p w14:paraId="0BC97AD3"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Our stock price performance shown in the graph below is not indicative of future stock price performance. The graph and related informat</w:t>
      </w:r>
      <w:r>
        <w:rPr>
          <w:rFonts w:ascii="Arial" w:eastAsia="宋体" w:hAnsi="Arial" w:cs="Arial"/>
          <w:sz w:val="20"/>
          <w:szCs w:val="20"/>
        </w:rPr>
        <w:t xml:space="preserve">ion shall not be deemed “soliciting material” or be deemed to be “filed” with the SEC, nor shall such information be incorporated by reference into any past or future filing with the SEC, except to the extent that such filing specifically states that such </w:t>
      </w:r>
      <w:r>
        <w:rPr>
          <w:rFonts w:ascii="Arial" w:eastAsia="宋体" w:hAnsi="Arial" w:cs="Arial"/>
          <w:sz w:val="20"/>
          <w:szCs w:val="20"/>
        </w:rPr>
        <w:t>graph and related information are incorporated by reference into such filing.</w:t>
      </w:r>
    </w:p>
    <w:p w14:paraId="0BC97AD4" w14:textId="77777777" w:rsidR="009F0928" w:rsidRDefault="009F0928">
      <w:pPr>
        <w:spacing w:line="288" w:lineRule="auto"/>
        <w:ind w:firstLine="720"/>
        <w:jc w:val="both"/>
        <w:rPr>
          <w:rFonts w:ascii="Times New Roman" w:hAnsi="Times New Roman"/>
          <w:sz w:val="20"/>
          <w:szCs w:val="20"/>
        </w:rPr>
      </w:pPr>
    </w:p>
    <w:p w14:paraId="0BC97AD5" w14:textId="77777777" w:rsidR="009F0928" w:rsidRDefault="002112BD">
      <w:pPr>
        <w:spacing w:line="288" w:lineRule="auto"/>
        <w:jc w:val="both"/>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/Ebay/./Inline XBRL Viewer14_files/chart-c3e56a49b5db570b949.jpg"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0BC9B4DC" wp14:editId="0BC9B4DD">
            <wp:extent cx="304800" cy="304800"/>
            <wp:effectExtent l="0" t="0" r="0" b="0"/>
            <wp:docPr id="34" name="图片 6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8"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0BC97AD6" w14:textId="77777777" w:rsidR="009F0928" w:rsidRDefault="009F0928">
      <w:pPr>
        <w:rPr>
          <w:rFonts w:ascii="Times New Roman" w:hAnsi="Times New Roman"/>
          <w:sz w:val="20"/>
          <w:szCs w:val="20"/>
        </w:rPr>
      </w:pPr>
    </w:p>
    <w:p w14:paraId="0BC97AD7"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33</w:t>
      </w:r>
    </w:p>
    <w:p w14:paraId="0BC97AD8" w14:textId="77777777" w:rsidR="009F0928" w:rsidRDefault="002112BD">
      <w:r>
        <w:rPr>
          <w:rFonts w:ascii="Times New Roman" w:hAnsi="Times New Roman"/>
          <w:sz w:val="18"/>
          <w:szCs w:val="18"/>
        </w:rPr>
        <w:pict w14:anchorId="0BC9B4DE">
          <v:rect id="_x0000_i1058" style="width:415.3pt;height:1.5pt" o:hralign="center" o:hrstd="t" o:hr="t" fillcolor="#a0a0a0" stroked="f"/>
        </w:pict>
      </w:r>
    </w:p>
    <w:p w14:paraId="0BC97AD9" w14:textId="77777777" w:rsidR="009F0928" w:rsidRDefault="009F0928">
      <w:pPr>
        <w:spacing w:line="288" w:lineRule="auto"/>
        <w:rPr>
          <w:rFonts w:ascii="Times New Roman" w:hAnsi="Times New Roman"/>
          <w:sz w:val="20"/>
          <w:szCs w:val="20"/>
        </w:rPr>
      </w:pPr>
    </w:p>
    <w:p w14:paraId="0BC97ADA" w14:textId="77777777" w:rsidR="009F0928" w:rsidRDefault="009F0928">
      <w:pPr>
        <w:rPr>
          <w:rFonts w:ascii="Times New Roman" w:hAnsi="Times New Roman"/>
          <w:sz w:val="20"/>
          <w:szCs w:val="20"/>
        </w:rPr>
      </w:pPr>
    </w:p>
    <w:p w14:paraId="0BC97ADB" w14:textId="77777777" w:rsidR="009F0928" w:rsidRDefault="009F0928">
      <w:pPr>
        <w:spacing w:line="288" w:lineRule="auto"/>
        <w:jc w:val="both"/>
        <w:rPr>
          <w:rFonts w:ascii="Times New Roman" w:hAnsi="Times New Roman"/>
          <w:sz w:val="20"/>
          <w:szCs w:val="20"/>
        </w:rPr>
      </w:pPr>
    </w:p>
    <w:p w14:paraId="0BC97ADC" w14:textId="77777777" w:rsidR="009F0928" w:rsidRDefault="009F0928">
      <w:pPr>
        <w:spacing w:line="288" w:lineRule="auto"/>
        <w:ind w:firstLine="720"/>
        <w:jc w:val="both"/>
        <w:rPr>
          <w:rFonts w:ascii="Times New Roman" w:hAnsi="Times New Roman"/>
          <w:sz w:val="20"/>
          <w:szCs w:val="20"/>
        </w:rPr>
      </w:pPr>
    </w:p>
    <w:p w14:paraId="0BC97ADD"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Purchases of Equity Securities by the Issuer and Affiliated Purchasers</w:t>
      </w:r>
    </w:p>
    <w:p w14:paraId="0BC97ADE" w14:textId="77777777" w:rsidR="009F0928" w:rsidRDefault="009F0928">
      <w:pPr>
        <w:spacing w:line="288" w:lineRule="auto"/>
        <w:jc w:val="both"/>
        <w:rPr>
          <w:rFonts w:ascii="Times New Roman" w:hAnsi="Times New Roman"/>
          <w:sz w:val="20"/>
          <w:szCs w:val="20"/>
        </w:rPr>
      </w:pPr>
    </w:p>
    <w:p w14:paraId="0BC97ADF" w14:textId="77777777" w:rsidR="009F0928" w:rsidRDefault="002112BD">
      <w:pPr>
        <w:spacing w:line="288" w:lineRule="auto"/>
        <w:ind w:firstLine="720"/>
        <w:rPr>
          <w:rFonts w:ascii="Times New Roman" w:hAnsi="Times New Roman"/>
          <w:sz w:val="20"/>
          <w:szCs w:val="20"/>
        </w:rPr>
      </w:pPr>
      <w:r>
        <w:rPr>
          <w:rFonts w:ascii="Arial" w:eastAsia="宋体" w:hAnsi="Arial" w:cs="Arial"/>
          <w:sz w:val="20"/>
          <w:szCs w:val="20"/>
        </w:rPr>
        <w:t>Stock repurchase activity during the three months ended December 31, 2019 was as follows:</w:t>
      </w:r>
    </w:p>
    <w:tbl>
      <w:tblPr>
        <w:tblW w:w="5000" w:type="pct"/>
        <w:tblCellMar>
          <w:left w:w="0" w:type="dxa"/>
          <w:right w:w="0" w:type="dxa"/>
        </w:tblCellMar>
        <w:tblLook w:val="04A0" w:firstRow="1" w:lastRow="0" w:firstColumn="1" w:lastColumn="0" w:noHBand="0" w:noVBand="1"/>
      </w:tblPr>
      <w:tblGrid>
        <w:gridCol w:w="2873"/>
        <w:gridCol w:w="130"/>
        <w:gridCol w:w="1129"/>
        <w:gridCol w:w="49"/>
        <w:gridCol w:w="130"/>
        <w:gridCol w:w="142"/>
        <w:gridCol w:w="1046"/>
        <w:gridCol w:w="49"/>
        <w:gridCol w:w="130"/>
        <w:gridCol w:w="1129"/>
        <w:gridCol w:w="64"/>
        <w:gridCol w:w="130"/>
        <w:gridCol w:w="141"/>
        <w:gridCol w:w="1152"/>
        <w:gridCol w:w="12"/>
      </w:tblGrid>
      <w:tr w:rsidR="009F0928" w14:paraId="0BC97AE1" w14:textId="77777777">
        <w:tc>
          <w:tcPr>
            <w:tcW w:w="0" w:type="auto"/>
            <w:gridSpan w:val="15"/>
            <w:shd w:val="clear" w:color="auto" w:fill="auto"/>
            <w:vAlign w:val="center"/>
          </w:tcPr>
          <w:p w14:paraId="0BC97AE0" w14:textId="77777777" w:rsidR="009F0928" w:rsidRDefault="009F0928">
            <w:pPr>
              <w:rPr>
                <w:rFonts w:ascii="Times New Roman" w:hAnsi="Times New Roman"/>
                <w:sz w:val="20"/>
                <w:szCs w:val="20"/>
              </w:rPr>
            </w:pPr>
          </w:p>
        </w:tc>
      </w:tr>
      <w:tr w:rsidR="009F0928" w14:paraId="0BC97AF1" w14:textId="77777777">
        <w:tc>
          <w:tcPr>
            <w:tcW w:w="1750" w:type="pct"/>
            <w:shd w:val="clear" w:color="auto" w:fill="auto"/>
            <w:vAlign w:val="center"/>
          </w:tcPr>
          <w:p w14:paraId="0BC97AE2" w14:textId="77777777" w:rsidR="009F0928" w:rsidRDefault="009F0928">
            <w:pPr>
              <w:rPr>
                <w:rFonts w:ascii="Times New Roman" w:hAnsi="Times New Roman"/>
                <w:sz w:val="20"/>
                <w:szCs w:val="20"/>
              </w:rPr>
            </w:pPr>
          </w:p>
        </w:tc>
        <w:tc>
          <w:tcPr>
            <w:tcW w:w="50" w:type="pct"/>
            <w:shd w:val="clear" w:color="auto" w:fill="auto"/>
            <w:vAlign w:val="center"/>
          </w:tcPr>
          <w:p w14:paraId="0BC97AE3" w14:textId="77777777" w:rsidR="009F0928" w:rsidRDefault="009F0928">
            <w:pPr>
              <w:rPr>
                <w:rFonts w:ascii="Times New Roman" w:hAnsi="Times New Roman"/>
                <w:sz w:val="20"/>
                <w:szCs w:val="20"/>
              </w:rPr>
            </w:pPr>
          </w:p>
        </w:tc>
        <w:tc>
          <w:tcPr>
            <w:tcW w:w="700" w:type="pct"/>
            <w:shd w:val="clear" w:color="auto" w:fill="auto"/>
            <w:vAlign w:val="center"/>
          </w:tcPr>
          <w:p w14:paraId="0BC97AE4" w14:textId="77777777" w:rsidR="009F0928" w:rsidRDefault="009F0928">
            <w:pPr>
              <w:rPr>
                <w:rFonts w:ascii="Times New Roman" w:hAnsi="Times New Roman"/>
                <w:sz w:val="20"/>
                <w:szCs w:val="20"/>
              </w:rPr>
            </w:pPr>
          </w:p>
        </w:tc>
        <w:tc>
          <w:tcPr>
            <w:tcW w:w="50" w:type="pct"/>
            <w:shd w:val="clear" w:color="auto" w:fill="auto"/>
            <w:vAlign w:val="center"/>
          </w:tcPr>
          <w:p w14:paraId="0BC97AE5" w14:textId="77777777" w:rsidR="009F0928" w:rsidRDefault="009F0928">
            <w:pPr>
              <w:rPr>
                <w:rFonts w:ascii="Times New Roman" w:hAnsi="Times New Roman"/>
                <w:sz w:val="20"/>
                <w:szCs w:val="20"/>
              </w:rPr>
            </w:pPr>
          </w:p>
        </w:tc>
        <w:tc>
          <w:tcPr>
            <w:tcW w:w="50" w:type="pct"/>
            <w:shd w:val="clear" w:color="auto" w:fill="auto"/>
            <w:vAlign w:val="center"/>
          </w:tcPr>
          <w:p w14:paraId="0BC97AE6" w14:textId="77777777" w:rsidR="009F0928" w:rsidRDefault="009F0928">
            <w:pPr>
              <w:rPr>
                <w:rFonts w:ascii="Times New Roman" w:hAnsi="Times New Roman"/>
                <w:sz w:val="20"/>
                <w:szCs w:val="20"/>
              </w:rPr>
            </w:pPr>
          </w:p>
        </w:tc>
        <w:tc>
          <w:tcPr>
            <w:tcW w:w="50" w:type="pct"/>
            <w:shd w:val="clear" w:color="auto" w:fill="auto"/>
            <w:vAlign w:val="center"/>
          </w:tcPr>
          <w:p w14:paraId="0BC97AE7" w14:textId="77777777" w:rsidR="009F0928" w:rsidRDefault="009F0928">
            <w:pPr>
              <w:rPr>
                <w:rFonts w:ascii="Times New Roman" w:hAnsi="Times New Roman"/>
                <w:sz w:val="20"/>
                <w:szCs w:val="20"/>
              </w:rPr>
            </w:pPr>
          </w:p>
        </w:tc>
        <w:tc>
          <w:tcPr>
            <w:tcW w:w="650" w:type="pct"/>
            <w:shd w:val="clear" w:color="auto" w:fill="auto"/>
            <w:vAlign w:val="center"/>
          </w:tcPr>
          <w:p w14:paraId="0BC97AE8" w14:textId="77777777" w:rsidR="009F0928" w:rsidRDefault="009F0928">
            <w:pPr>
              <w:rPr>
                <w:rFonts w:ascii="Times New Roman" w:hAnsi="Times New Roman"/>
                <w:sz w:val="20"/>
                <w:szCs w:val="20"/>
              </w:rPr>
            </w:pPr>
          </w:p>
        </w:tc>
        <w:tc>
          <w:tcPr>
            <w:tcW w:w="50" w:type="pct"/>
            <w:shd w:val="clear" w:color="auto" w:fill="auto"/>
            <w:vAlign w:val="center"/>
          </w:tcPr>
          <w:p w14:paraId="0BC97AE9" w14:textId="77777777" w:rsidR="009F0928" w:rsidRDefault="009F0928">
            <w:pPr>
              <w:rPr>
                <w:rFonts w:ascii="Times New Roman" w:hAnsi="Times New Roman"/>
                <w:sz w:val="20"/>
                <w:szCs w:val="20"/>
              </w:rPr>
            </w:pPr>
          </w:p>
        </w:tc>
        <w:tc>
          <w:tcPr>
            <w:tcW w:w="50" w:type="pct"/>
            <w:shd w:val="clear" w:color="auto" w:fill="auto"/>
            <w:vAlign w:val="center"/>
          </w:tcPr>
          <w:p w14:paraId="0BC97AEA" w14:textId="77777777" w:rsidR="009F0928" w:rsidRDefault="009F0928">
            <w:pPr>
              <w:rPr>
                <w:rFonts w:ascii="Times New Roman" w:hAnsi="Times New Roman"/>
                <w:sz w:val="20"/>
                <w:szCs w:val="20"/>
              </w:rPr>
            </w:pPr>
          </w:p>
        </w:tc>
        <w:tc>
          <w:tcPr>
            <w:tcW w:w="700" w:type="pct"/>
            <w:shd w:val="clear" w:color="auto" w:fill="auto"/>
            <w:vAlign w:val="center"/>
          </w:tcPr>
          <w:p w14:paraId="0BC97AEB" w14:textId="77777777" w:rsidR="009F0928" w:rsidRDefault="009F0928">
            <w:pPr>
              <w:rPr>
                <w:rFonts w:ascii="Times New Roman" w:hAnsi="Times New Roman"/>
                <w:sz w:val="20"/>
                <w:szCs w:val="20"/>
              </w:rPr>
            </w:pPr>
          </w:p>
        </w:tc>
        <w:tc>
          <w:tcPr>
            <w:tcW w:w="50" w:type="pct"/>
            <w:shd w:val="clear" w:color="auto" w:fill="auto"/>
            <w:vAlign w:val="center"/>
          </w:tcPr>
          <w:p w14:paraId="0BC97AEC" w14:textId="77777777" w:rsidR="009F0928" w:rsidRDefault="009F0928">
            <w:pPr>
              <w:rPr>
                <w:rFonts w:ascii="Times New Roman" w:hAnsi="Times New Roman"/>
                <w:sz w:val="20"/>
                <w:szCs w:val="20"/>
              </w:rPr>
            </w:pPr>
          </w:p>
        </w:tc>
        <w:tc>
          <w:tcPr>
            <w:tcW w:w="50" w:type="pct"/>
            <w:shd w:val="clear" w:color="auto" w:fill="auto"/>
            <w:vAlign w:val="center"/>
          </w:tcPr>
          <w:p w14:paraId="0BC97AED" w14:textId="77777777" w:rsidR="009F0928" w:rsidRDefault="009F0928">
            <w:pPr>
              <w:rPr>
                <w:rFonts w:ascii="Times New Roman" w:hAnsi="Times New Roman"/>
                <w:sz w:val="20"/>
                <w:szCs w:val="20"/>
              </w:rPr>
            </w:pPr>
          </w:p>
        </w:tc>
        <w:tc>
          <w:tcPr>
            <w:tcW w:w="50" w:type="pct"/>
            <w:shd w:val="clear" w:color="auto" w:fill="auto"/>
            <w:vAlign w:val="center"/>
          </w:tcPr>
          <w:p w14:paraId="0BC97AEE" w14:textId="77777777" w:rsidR="009F0928" w:rsidRDefault="009F0928">
            <w:pPr>
              <w:rPr>
                <w:rFonts w:ascii="Times New Roman" w:hAnsi="Times New Roman"/>
                <w:sz w:val="20"/>
                <w:szCs w:val="20"/>
              </w:rPr>
            </w:pPr>
          </w:p>
        </w:tc>
        <w:tc>
          <w:tcPr>
            <w:tcW w:w="700" w:type="pct"/>
            <w:shd w:val="clear" w:color="auto" w:fill="auto"/>
            <w:vAlign w:val="center"/>
          </w:tcPr>
          <w:p w14:paraId="0BC97AEF" w14:textId="77777777" w:rsidR="009F0928" w:rsidRDefault="009F0928">
            <w:pPr>
              <w:rPr>
                <w:rFonts w:ascii="Times New Roman" w:hAnsi="Times New Roman"/>
                <w:sz w:val="20"/>
                <w:szCs w:val="20"/>
              </w:rPr>
            </w:pPr>
          </w:p>
        </w:tc>
        <w:tc>
          <w:tcPr>
            <w:tcW w:w="50" w:type="pct"/>
            <w:shd w:val="clear" w:color="auto" w:fill="auto"/>
            <w:vAlign w:val="center"/>
          </w:tcPr>
          <w:p w14:paraId="0BC97AF0" w14:textId="77777777" w:rsidR="009F0928" w:rsidRDefault="009F0928">
            <w:pPr>
              <w:rPr>
                <w:rFonts w:ascii="Times New Roman" w:hAnsi="Times New Roman"/>
                <w:sz w:val="20"/>
                <w:szCs w:val="20"/>
              </w:rPr>
            </w:pPr>
          </w:p>
        </w:tc>
      </w:tr>
      <w:tr w:rsidR="009F0928" w14:paraId="0BC97AFB"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BC97AF2" w14:textId="77777777" w:rsidR="009F0928" w:rsidRDefault="002112BD">
            <w:pPr>
              <w:textAlignment w:val="bottom"/>
              <w:rPr>
                <w:rFonts w:ascii="Times New Roman" w:hAnsi="Times New Roman"/>
                <w:sz w:val="16"/>
                <w:szCs w:val="16"/>
              </w:rPr>
            </w:pPr>
            <w:r>
              <w:rPr>
                <w:rFonts w:ascii="Arial" w:eastAsia="宋体" w:hAnsi="Arial" w:cs="Arial"/>
                <w:b/>
                <w:bCs/>
                <w:sz w:val="16"/>
                <w:szCs w:val="16"/>
              </w:rPr>
              <w:t>Period Ended</w:t>
            </w:r>
          </w:p>
        </w:tc>
        <w:tc>
          <w:tcPr>
            <w:tcW w:w="0" w:type="auto"/>
            <w:shd w:val="clear" w:color="auto" w:fill="auto"/>
            <w:tcMar>
              <w:top w:w="40" w:type="dxa"/>
              <w:left w:w="40" w:type="dxa"/>
              <w:bottom w:w="40" w:type="dxa"/>
              <w:right w:w="40" w:type="dxa"/>
            </w:tcMar>
            <w:vAlign w:val="bottom"/>
          </w:tcPr>
          <w:p w14:paraId="0BC97AF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7AF4"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Total Number of</w:t>
            </w:r>
            <w:r>
              <w:rPr>
                <w:rFonts w:ascii="Arial" w:eastAsia="宋体" w:hAnsi="Arial" w:cs="Arial"/>
                <w:b/>
                <w:bCs/>
                <w:sz w:val="16"/>
                <w:szCs w:val="16"/>
              </w:rPr>
              <w:br/>
              <w:t>Shares</w:t>
            </w:r>
            <w:r>
              <w:rPr>
                <w:rFonts w:ascii="Arial" w:eastAsia="宋体" w:hAnsi="Arial" w:cs="Arial"/>
                <w:b/>
                <w:bCs/>
                <w:sz w:val="16"/>
                <w:szCs w:val="16"/>
              </w:rPr>
              <w:br/>
              <w:t>Purchased</w:t>
            </w:r>
          </w:p>
        </w:tc>
        <w:tc>
          <w:tcPr>
            <w:tcW w:w="0" w:type="auto"/>
            <w:shd w:val="clear" w:color="auto" w:fill="auto"/>
            <w:tcMar>
              <w:top w:w="40" w:type="dxa"/>
              <w:left w:w="40" w:type="dxa"/>
              <w:bottom w:w="40" w:type="dxa"/>
              <w:right w:w="40" w:type="dxa"/>
            </w:tcMar>
            <w:vAlign w:val="bottom"/>
          </w:tcPr>
          <w:p w14:paraId="0BC97AF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7AF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Average Price Paid</w:t>
            </w:r>
            <w:r>
              <w:rPr>
                <w:rFonts w:ascii="Arial" w:eastAsia="宋体" w:hAnsi="Arial" w:cs="Arial"/>
                <w:b/>
                <w:bCs/>
                <w:sz w:val="16"/>
                <w:szCs w:val="16"/>
              </w:rPr>
              <w:br/>
            </w:r>
            <w:r>
              <w:rPr>
                <w:rFonts w:ascii="Arial" w:eastAsia="宋体" w:hAnsi="Arial" w:cs="Arial"/>
                <w:b/>
                <w:bCs/>
                <w:sz w:val="16"/>
                <w:szCs w:val="16"/>
              </w:rPr>
              <w:t xml:space="preserve">per Share </w:t>
            </w:r>
            <w:r>
              <w:rPr>
                <w:rFonts w:ascii="Arial" w:eastAsia="宋体" w:hAnsi="Arial" w:cs="Arial"/>
                <w:b/>
                <w:bCs/>
                <w:sz w:val="10"/>
                <w:szCs w:val="10"/>
              </w:rPr>
              <w:t>(2)</w:t>
            </w:r>
          </w:p>
        </w:tc>
        <w:tc>
          <w:tcPr>
            <w:tcW w:w="0" w:type="auto"/>
            <w:shd w:val="clear" w:color="auto" w:fill="auto"/>
            <w:tcMar>
              <w:top w:w="40" w:type="dxa"/>
              <w:left w:w="40" w:type="dxa"/>
              <w:bottom w:w="40" w:type="dxa"/>
              <w:right w:w="40" w:type="dxa"/>
            </w:tcMar>
            <w:vAlign w:val="bottom"/>
          </w:tcPr>
          <w:p w14:paraId="0BC97AF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7AF8"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Total Number of</w:t>
            </w:r>
            <w:r>
              <w:rPr>
                <w:rFonts w:ascii="Arial" w:eastAsia="宋体" w:hAnsi="Arial" w:cs="Arial"/>
                <w:b/>
                <w:bCs/>
                <w:sz w:val="16"/>
                <w:szCs w:val="16"/>
              </w:rPr>
              <w:br/>
              <w:t>Shares Purchased</w:t>
            </w:r>
            <w:r>
              <w:rPr>
                <w:rFonts w:ascii="Arial" w:eastAsia="宋体" w:hAnsi="Arial" w:cs="Arial"/>
                <w:b/>
                <w:bCs/>
                <w:sz w:val="16"/>
                <w:szCs w:val="16"/>
              </w:rPr>
              <w:br/>
              <w:t>as Part of Publicly</w:t>
            </w:r>
            <w:r>
              <w:rPr>
                <w:rFonts w:ascii="Arial" w:eastAsia="宋体" w:hAnsi="Arial" w:cs="Arial"/>
                <w:b/>
                <w:bCs/>
                <w:sz w:val="16"/>
                <w:szCs w:val="16"/>
              </w:rPr>
              <w:br/>
              <w:t>Announced</w:t>
            </w:r>
            <w:r>
              <w:rPr>
                <w:rFonts w:ascii="Arial" w:eastAsia="宋体" w:hAnsi="Arial" w:cs="Arial"/>
                <w:b/>
                <w:bCs/>
                <w:sz w:val="16"/>
                <w:szCs w:val="16"/>
              </w:rPr>
              <w:br/>
              <w:t>Programs</w:t>
            </w:r>
          </w:p>
        </w:tc>
        <w:tc>
          <w:tcPr>
            <w:tcW w:w="0" w:type="auto"/>
            <w:shd w:val="clear" w:color="auto" w:fill="auto"/>
            <w:tcMar>
              <w:top w:w="40" w:type="dxa"/>
              <w:left w:w="40" w:type="dxa"/>
              <w:bottom w:w="40" w:type="dxa"/>
              <w:right w:w="40" w:type="dxa"/>
            </w:tcMar>
            <w:vAlign w:val="bottom"/>
          </w:tcPr>
          <w:p w14:paraId="0BC97A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7AFA"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Maximum Dollar</w:t>
            </w:r>
            <w:r>
              <w:rPr>
                <w:rFonts w:ascii="Arial" w:eastAsia="宋体" w:hAnsi="Arial" w:cs="Arial"/>
                <w:b/>
                <w:bCs/>
                <w:sz w:val="16"/>
                <w:szCs w:val="16"/>
              </w:rPr>
              <w:br/>
              <w:t>Value that May Yet</w:t>
            </w:r>
            <w:r>
              <w:rPr>
                <w:rFonts w:ascii="Arial" w:eastAsia="宋体" w:hAnsi="Arial" w:cs="Arial"/>
                <w:b/>
                <w:bCs/>
                <w:sz w:val="16"/>
                <w:szCs w:val="16"/>
              </w:rPr>
              <w:br/>
              <w:t>be Purchased Under</w:t>
            </w:r>
            <w:r>
              <w:rPr>
                <w:rFonts w:ascii="Arial" w:eastAsia="宋体" w:hAnsi="Arial" w:cs="Arial"/>
                <w:b/>
                <w:bCs/>
                <w:sz w:val="16"/>
                <w:szCs w:val="16"/>
              </w:rPr>
              <w:br/>
              <w:t xml:space="preserve">the Programs </w:t>
            </w:r>
            <w:r>
              <w:rPr>
                <w:rFonts w:ascii="Arial" w:eastAsia="宋体" w:hAnsi="Arial" w:cs="Arial"/>
                <w:b/>
                <w:bCs/>
                <w:sz w:val="10"/>
                <w:szCs w:val="10"/>
              </w:rPr>
              <w:t>(1)</w:t>
            </w:r>
          </w:p>
        </w:tc>
      </w:tr>
      <w:tr w:rsidR="009F0928" w14:paraId="0BC97B0B" w14:textId="77777777">
        <w:tc>
          <w:tcPr>
            <w:tcW w:w="0" w:type="auto"/>
            <w:shd w:val="clear" w:color="auto" w:fill="E2E2E2"/>
            <w:tcMar>
              <w:top w:w="40" w:type="dxa"/>
              <w:left w:w="40" w:type="dxa"/>
              <w:bottom w:w="40" w:type="dxa"/>
              <w:right w:w="40" w:type="dxa"/>
            </w:tcMar>
            <w:vAlign w:val="bottom"/>
          </w:tcPr>
          <w:p w14:paraId="0BC97AFC" w14:textId="77777777" w:rsidR="009F0928" w:rsidRDefault="002112BD">
            <w:pPr>
              <w:textAlignment w:val="bottom"/>
              <w:rPr>
                <w:rFonts w:ascii="Times New Roman" w:hAnsi="Times New Roman"/>
                <w:sz w:val="18"/>
                <w:szCs w:val="18"/>
              </w:rPr>
            </w:pPr>
            <w:r>
              <w:rPr>
                <w:rFonts w:ascii="Arial" w:eastAsia="宋体" w:hAnsi="Arial" w:cs="Arial"/>
                <w:sz w:val="18"/>
                <w:szCs w:val="18"/>
              </w:rPr>
              <w:t>October 31, 2019</w:t>
            </w:r>
          </w:p>
        </w:tc>
        <w:tc>
          <w:tcPr>
            <w:tcW w:w="0" w:type="auto"/>
            <w:shd w:val="clear" w:color="auto" w:fill="E2E2E2"/>
            <w:tcMar>
              <w:top w:w="40" w:type="dxa"/>
              <w:left w:w="40" w:type="dxa"/>
              <w:bottom w:w="40" w:type="dxa"/>
              <w:right w:w="40" w:type="dxa"/>
            </w:tcMar>
            <w:vAlign w:val="bottom"/>
          </w:tcPr>
          <w:p w14:paraId="0BC97AF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7AF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9,212,301</w:t>
            </w:r>
          </w:p>
        </w:tc>
        <w:tc>
          <w:tcPr>
            <w:tcW w:w="0" w:type="auto"/>
            <w:tcBorders>
              <w:top w:val="single" w:sz="8" w:space="0" w:color="000000"/>
            </w:tcBorders>
            <w:shd w:val="clear" w:color="auto" w:fill="E2E2E2"/>
            <w:vAlign w:val="bottom"/>
          </w:tcPr>
          <w:p w14:paraId="0BC97AF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B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7B0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tcMar>
              <w:top w:w="40" w:type="dxa"/>
              <w:bottom w:w="40" w:type="dxa"/>
            </w:tcMar>
            <w:vAlign w:val="bottom"/>
          </w:tcPr>
          <w:p w14:paraId="0BC97B0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37.77</w:t>
            </w:r>
          </w:p>
        </w:tc>
        <w:tc>
          <w:tcPr>
            <w:tcW w:w="0" w:type="auto"/>
            <w:tcBorders>
              <w:top w:val="single" w:sz="8" w:space="0" w:color="000000"/>
            </w:tcBorders>
            <w:shd w:val="clear" w:color="auto" w:fill="E2E2E2"/>
            <w:vAlign w:val="bottom"/>
          </w:tcPr>
          <w:p w14:paraId="0BC97B0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B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7B0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9,212,301</w:t>
            </w:r>
          </w:p>
        </w:tc>
        <w:tc>
          <w:tcPr>
            <w:tcW w:w="0" w:type="auto"/>
            <w:tcBorders>
              <w:top w:val="single" w:sz="8" w:space="0" w:color="000000"/>
            </w:tcBorders>
            <w:shd w:val="clear" w:color="auto" w:fill="E2E2E2"/>
            <w:vAlign w:val="bottom"/>
          </w:tcPr>
          <w:p w14:paraId="0BC97B0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B0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B0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7B0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2,803,012,054</w:t>
            </w:r>
          </w:p>
        </w:tc>
        <w:tc>
          <w:tcPr>
            <w:tcW w:w="0" w:type="auto"/>
            <w:shd w:val="clear" w:color="auto" w:fill="E2E2E2"/>
            <w:vAlign w:val="bottom"/>
          </w:tcPr>
          <w:p w14:paraId="0BC97B0A" w14:textId="77777777" w:rsidR="009F0928" w:rsidRDefault="009F0928">
            <w:pPr>
              <w:textAlignment w:val="bottom"/>
              <w:rPr>
                <w:rFonts w:ascii="Times New Roman" w:hAnsi="Times New Roman"/>
                <w:sz w:val="20"/>
                <w:szCs w:val="20"/>
              </w:rPr>
            </w:pPr>
          </w:p>
        </w:tc>
      </w:tr>
      <w:tr w:rsidR="009F0928" w14:paraId="0BC97B1B" w14:textId="77777777">
        <w:tc>
          <w:tcPr>
            <w:tcW w:w="0" w:type="auto"/>
            <w:shd w:val="clear" w:color="auto" w:fill="auto"/>
            <w:tcMar>
              <w:top w:w="40" w:type="dxa"/>
              <w:left w:w="40" w:type="dxa"/>
              <w:bottom w:w="40" w:type="dxa"/>
              <w:right w:w="40" w:type="dxa"/>
            </w:tcMar>
            <w:vAlign w:val="bottom"/>
          </w:tcPr>
          <w:p w14:paraId="0BC97B0C" w14:textId="77777777" w:rsidR="009F0928" w:rsidRDefault="002112BD">
            <w:pPr>
              <w:textAlignment w:val="bottom"/>
              <w:rPr>
                <w:rFonts w:ascii="Times New Roman" w:hAnsi="Times New Roman"/>
                <w:sz w:val="18"/>
                <w:szCs w:val="18"/>
              </w:rPr>
            </w:pPr>
            <w:r>
              <w:rPr>
                <w:rFonts w:ascii="Arial" w:eastAsia="宋体" w:hAnsi="Arial" w:cs="Arial"/>
                <w:sz w:val="18"/>
                <w:szCs w:val="18"/>
              </w:rPr>
              <w:t>November 30, 2019</w:t>
            </w:r>
          </w:p>
        </w:tc>
        <w:tc>
          <w:tcPr>
            <w:tcW w:w="0" w:type="auto"/>
            <w:shd w:val="clear" w:color="auto" w:fill="auto"/>
            <w:tcMar>
              <w:top w:w="40" w:type="dxa"/>
              <w:left w:w="40" w:type="dxa"/>
              <w:bottom w:w="40" w:type="dxa"/>
              <w:right w:w="40" w:type="dxa"/>
            </w:tcMar>
            <w:vAlign w:val="bottom"/>
          </w:tcPr>
          <w:p w14:paraId="0BC97B0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B0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8,942,446</w:t>
            </w:r>
          </w:p>
        </w:tc>
        <w:tc>
          <w:tcPr>
            <w:tcW w:w="0" w:type="auto"/>
            <w:shd w:val="clear" w:color="auto" w:fill="auto"/>
            <w:vAlign w:val="bottom"/>
          </w:tcPr>
          <w:p w14:paraId="0BC97B0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B1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7B1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35.29</w:t>
            </w:r>
          </w:p>
        </w:tc>
        <w:tc>
          <w:tcPr>
            <w:tcW w:w="0" w:type="auto"/>
            <w:shd w:val="clear" w:color="auto" w:fill="auto"/>
            <w:vAlign w:val="bottom"/>
          </w:tcPr>
          <w:p w14:paraId="0BC97B1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1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B1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8,942,446</w:t>
            </w:r>
          </w:p>
        </w:tc>
        <w:tc>
          <w:tcPr>
            <w:tcW w:w="0" w:type="auto"/>
            <w:shd w:val="clear" w:color="auto" w:fill="auto"/>
            <w:vAlign w:val="bottom"/>
          </w:tcPr>
          <w:p w14:paraId="0BC97B1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1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B1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7B1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2,487,397,753</w:t>
            </w:r>
          </w:p>
        </w:tc>
        <w:tc>
          <w:tcPr>
            <w:tcW w:w="0" w:type="auto"/>
            <w:shd w:val="clear" w:color="auto" w:fill="auto"/>
            <w:vAlign w:val="bottom"/>
          </w:tcPr>
          <w:p w14:paraId="0BC97B1A" w14:textId="77777777" w:rsidR="009F0928" w:rsidRDefault="009F0928">
            <w:pPr>
              <w:textAlignment w:val="bottom"/>
              <w:rPr>
                <w:rFonts w:ascii="Times New Roman" w:hAnsi="Times New Roman"/>
                <w:sz w:val="20"/>
                <w:szCs w:val="20"/>
              </w:rPr>
            </w:pPr>
          </w:p>
        </w:tc>
      </w:tr>
      <w:tr w:rsidR="009F0928" w14:paraId="0BC97B2B" w14:textId="77777777">
        <w:tc>
          <w:tcPr>
            <w:tcW w:w="0" w:type="auto"/>
            <w:shd w:val="clear" w:color="auto" w:fill="E2E2E2"/>
            <w:tcMar>
              <w:top w:w="40" w:type="dxa"/>
              <w:left w:w="40" w:type="dxa"/>
              <w:bottom w:w="40" w:type="dxa"/>
              <w:right w:w="40" w:type="dxa"/>
            </w:tcMar>
            <w:vAlign w:val="bottom"/>
          </w:tcPr>
          <w:p w14:paraId="0BC97B1C" w14:textId="77777777" w:rsidR="009F0928" w:rsidRDefault="002112BD">
            <w:pPr>
              <w:textAlignment w:val="bottom"/>
              <w:rPr>
                <w:rFonts w:ascii="Times New Roman" w:hAnsi="Times New Roman"/>
                <w:sz w:val="18"/>
                <w:szCs w:val="18"/>
              </w:rPr>
            </w:pPr>
            <w:r>
              <w:rPr>
                <w:rFonts w:ascii="Arial" w:eastAsia="宋体" w:hAnsi="Arial" w:cs="Arial"/>
                <w:sz w:val="18"/>
                <w:szCs w:val="18"/>
              </w:rPr>
              <w:t>December 31, 2019</w:t>
            </w:r>
          </w:p>
        </w:tc>
        <w:tc>
          <w:tcPr>
            <w:tcW w:w="0" w:type="auto"/>
            <w:shd w:val="clear" w:color="auto" w:fill="E2E2E2"/>
            <w:tcMar>
              <w:top w:w="40" w:type="dxa"/>
              <w:left w:w="40" w:type="dxa"/>
              <w:bottom w:w="40" w:type="dxa"/>
              <w:right w:w="40" w:type="dxa"/>
            </w:tcMar>
            <w:vAlign w:val="bottom"/>
          </w:tcPr>
          <w:p w14:paraId="0BC97B1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E2E2E2"/>
            <w:tcMar>
              <w:top w:w="40" w:type="dxa"/>
              <w:left w:w="40" w:type="dxa"/>
              <w:bottom w:w="40" w:type="dxa"/>
            </w:tcMar>
            <w:vAlign w:val="bottom"/>
          </w:tcPr>
          <w:p w14:paraId="0BC97B1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9,475,674</w:t>
            </w:r>
          </w:p>
        </w:tc>
        <w:tc>
          <w:tcPr>
            <w:tcW w:w="0" w:type="auto"/>
            <w:tcBorders>
              <w:bottom w:val="single" w:sz="8" w:space="0" w:color="000000"/>
            </w:tcBorders>
            <w:shd w:val="clear" w:color="auto" w:fill="E2E2E2"/>
            <w:vAlign w:val="bottom"/>
          </w:tcPr>
          <w:p w14:paraId="0BC97B1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B2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B2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7B2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35.50</w:t>
            </w:r>
          </w:p>
        </w:tc>
        <w:tc>
          <w:tcPr>
            <w:tcW w:w="0" w:type="auto"/>
            <w:shd w:val="clear" w:color="auto" w:fill="E2E2E2"/>
            <w:vAlign w:val="bottom"/>
          </w:tcPr>
          <w:p w14:paraId="0BC97B2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B2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E2E2E2"/>
            <w:tcMar>
              <w:top w:w="40" w:type="dxa"/>
              <w:left w:w="40" w:type="dxa"/>
              <w:bottom w:w="40" w:type="dxa"/>
            </w:tcMar>
            <w:vAlign w:val="bottom"/>
          </w:tcPr>
          <w:p w14:paraId="0BC97B2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9,475,674</w:t>
            </w:r>
          </w:p>
        </w:tc>
        <w:tc>
          <w:tcPr>
            <w:tcW w:w="0" w:type="auto"/>
            <w:tcBorders>
              <w:bottom w:val="single" w:sz="8" w:space="0" w:color="000000"/>
            </w:tcBorders>
            <w:shd w:val="clear" w:color="auto" w:fill="E2E2E2"/>
            <w:vAlign w:val="bottom"/>
          </w:tcPr>
          <w:p w14:paraId="0BC97B2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B2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B2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7B2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2,150,987,394</w:t>
            </w:r>
          </w:p>
        </w:tc>
        <w:tc>
          <w:tcPr>
            <w:tcW w:w="0" w:type="auto"/>
            <w:shd w:val="clear" w:color="auto" w:fill="E2E2E2"/>
            <w:vAlign w:val="bottom"/>
          </w:tcPr>
          <w:p w14:paraId="0BC97B2A" w14:textId="77777777" w:rsidR="009F0928" w:rsidRDefault="009F0928">
            <w:pPr>
              <w:textAlignment w:val="bottom"/>
              <w:rPr>
                <w:rFonts w:ascii="Times New Roman" w:hAnsi="Times New Roman"/>
                <w:sz w:val="20"/>
                <w:szCs w:val="20"/>
              </w:rPr>
            </w:pPr>
          </w:p>
        </w:tc>
      </w:tr>
      <w:tr w:rsidR="009F0928" w14:paraId="0BC97B37" w14:textId="77777777">
        <w:tc>
          <w:tcPr>
            <w:tcW w:w="0" w:type="auto"/>
            <w:shd w:val="clear" w:color="auto" w:fill="auto"/>
            <w:tcMar>
              <w:top w:w="40" w:type="dxa"/>
              <w:left w:w="40" w:type="dxa"/>
              <w:bottom w:w="40" w:type="dxa"/>
              <w:right w:w="40" w:type="dxa"/>
            </w:tcMar>
            <w:vAlign w:val="bottom"/>
          </w:tcPr>
          <w:p w14:paraId="0BC97B2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B2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7B2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27,630,421</w:t>
            </w:r>
          </w:p>
        </w:tc>
        <w:tc>
          <w:tcPr>
            <w:tcW w:w="0" w:type="auto"/>
            <w:tcBorders>
              <w:top w:val="single" w:sz="8" w:space="0" w:color="000000"/>
              <w:bottom w:val="double" w:sz="6" w:space="0" w:color="000000"/>
            </w:tcBorders>
            <w:shd w:val="clear" w:color="auto" w:fill="auto"/>
            <w:vAlign w:val="bottom"/>
          </w:tcPr>
          <w:p w14:paraId="0BC97B2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3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B3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B3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7B3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27,630,421</w:t>
            </w:r>
          </w:p>
        </w:tc>
        <w:tc>
          <w:tcPr>
            <w:tcW w:w="0" w:type="auto"/>
            <w:tcBorders>
              <w:top w:val="single" w:sz="8" w:space="0" w:color="000000"/>
              <w:bottom w:val="double" w:sz="6" w:space="0" w:color="000000"/>
            </w:tcBorders>
            <w:shd w:val="clear" w:color="auto" w:fill="auto"/>
            <w:vAlign w:val="bottom"/>
          </w:tcPr>
          <w:p w14:paraId="0BC97B3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3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B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7B38" w14:textId="77777777" w:rsidR="009F0928" w:rsidRDefault="009F0928">
      <w:pPr>
        <w:rPr>
          <w:vanish/>
        </w:rPr>
      </w:pPr>
    </w:p>
    <w:tbl>
      <w:tblPr>
        <w:tblW w:w="2400" w:type="dxa"/>
        <w:tblCellMar>
          <w:left w:w="0" w:type="dxa"/>
          <w:right w:w="0" w:type="dxa"/>
        </w:tblCellMar>
        <w:tblLook w:val="04A0" w:firstRow="1" w:lastRow="0" w:firstColumn="1" w:lastColumn="0" w:noHBand="0" w:noVBand="1"/>
      </w:tblPr>
      <w:tblGrid>
        <w:gridCol w:w="2400"/>
      </w:tblGrid>
      <w:tr w:rsidR="009F0928" w14:paraId="0BC97B3A" w14:textId="77777777">
        <w:tc>
          <w:tcPr>
            <w:tcW w:w="0" w:type="auto"/>
            <w:shd w:val="clear" w:color="auto" w:fill="auto"/>
            <w:vAlign w:val="center"/>
          </w:tcPr>
          <w:p w14:paraId="0BC97B39" w14:textId="77777777" w:rsidR="009F0928" w:rsidRDefault="009F0928">
            <w:pPr>
              <w:rPr>
                <w:rFonts w:ascii="Times New Roman" w:hAnsi="Times New Roman"/>
                <w:sz w:val="20"/>
                <w:szCs w:val="20"/>
              </w:rPr>
            </w:pPr>
          </w:p>
        </w:tc>
      </w:tr>
      <w:tr w:rsidR="009F0928" w14:paraId="0BC97B3C" w14:textId="77777777">
        <w:tc>
          <w:tcPr>
            <w:tcW w:w="2400" w:type="dxa"/>
            <w:shd w:val="clear" w:color="auto" w:fill="auto"/>
            <w:vAlign w:val="center"/>
          </w:tcPr>
          <w:p w14:paraId="0BC97B3B" w14:textId="77777777" w:rsidR="009F0928" w:rsidRDefault="009F0928">
            <w:pPr>
              <w:rPr>
                <w:rFonts w:ascii="Times New Roman" w:hAnsi="Times New Roman"/>
                <w:sz w:val="20"/>
                <w:szCs w:val="20"/>
              </w:rPr>
            </w:pPr>
          </w:p>
        </w:tc>
      </w:tr>
      <w:tr w:rsidR="009F0928" w14:paraId="0BC97B3E"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0BC97B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7B3F" w14:textId="77777777" w:rsidR="009F0928" w:rsidRDefault="009F0928">
      <w:pPr>
        <w:rPr>
          <w:vanish/>
        </w:rPr>
      </w:pPr>
    </w:p>
    <w:tbl>
      <w:tblPr>
        <w:tblW w:w="0" w:type="auto"/>
        <w:tblCellSpacing w:w="0" w:type="dxa"/>
        <w:tblCellMar>
          <w:top w:w="80" w:type="dxa"/>
          <w:left w:w="0" w:type="dxa"/>
          <w:bottom w:w="160" w:type="dxa"/>
          <w:right w:w="0" w:type="dxa"/>
        </w:tblCellMar>
        <w:tblLook w:val="04A0" w:firstRow="1" w:lastRow="0" w:firstColumn="1" w:lastColumn="0" w:noHBand="0" w:noVBand="1"/>
      </w:tblPr>
      <w:tblGrid>
        <w:gridCol w:w="480"/>
        <w:gridCol w:w="7826"/>
      </w:tblGrid>
      <w:tr w:rsidR="009F0928" w14:paraId="0BC97B42" w14:textId="77777777">
        <w:trPr>
          <w:tblCellSpacing w:w="0" w:type="dxa"/>
        </w:trPr>
        <w:tc>
          <w:tcPr>
            <w:tcW w:w="480" w:type="dxa"/>
            <w:shd w:val="clear" w:color="auto" w:fill="auto"/>
            <w:vAlign w:val="center"/>
          </w:tcPr>
          <w:p w14:paraId="0BC97B40" w14:textId="77777777" w:rsidR="009F0928" w:rsidRDefault="009F0928">
            <w:pPr>
              <w:rPr>
                <w:rFonts w:ascii="Times New Roman" w:hAnsi="Times New Roman"/>
                <w:sz w:val="20"/>
                <w:szCs w:val="20"/>
              </w:rPr>
            </w:pPr>
          </w:p>
        </w:tc>
        <w:tc>
          <w:tcPr>
            <w:tcW w:w="0" w:type="auto"/>
            <w:shd w:val="clear" w:color="auto" w:fill="auto"/>
            <w:vAlign w:val="center"/>
          </w:tcPr>
          <w:p w14:paraId="0BC97B41" w14:textId="77777777" w:rsidR="009F0928" w:rsidRDefault="009F0928">
            <w:pPr>
              <w:rPr>
                <w:rFonts w:ascii="Times New Roman" w:hAnsi="Times New Roman"/>
                <w:sz w:val="20"/>
                <w:szCs w:val="20"/>
              </w:rPr>
            </w:pPr>
          </w:p>
        </w:tc>
      </w:tr>
      <w:tr w:rsidR="009F0928" w14:paraId="0BC97B45" w14:textId="77777777">
        <w:trPr>
          <w:tblCellSpacing w:w="0" w:type="dxa"/>
        </w:trPr>
        <w:tc>
          <w:tcPr>
            <w:tcW w:w="0" w:type="auto"/>
            <w:shd w:val="clear" w:color="auto" w:fill="auto"/>
          </w:tcPr>
          <w:p w14:paraId="0BC97B43"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(1)</w:t>
            </w:r>
          </w:p>
        </w:tc>
        <w:tc>
          <w:tcPr>
            <w:tcW w:w="0" w:type="auto"/>
            <w:shd w:val="clear" w:color="auto" w:fill="auto"/>
          </w:tcPr>
          <w:p w14:paraId="0BC97B44"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 xml:space="preserve">In January 2018 our Board authorized a $6.0 billion stock </w:t>
            </w:r>
            <w:r>
              <w:rPr>
                <w:rFonts w:ascii="Arial" w:eastAsia="宋体" w:hAnsi="Arial" w:cs="Arial"/>
                <w:sz w:val="16"/>
                <w:szCs w:val="16"/>
              </w:rPr>
              <w:t>repurchase program and in January 2019 our Board authorized an additional $4.0 billion stock repurchase program. These stock repurchase programs have no expiration from the date of authorization.</w:t>
            </w:r>
          </w:p>
        </w:tc>
      </w:tr>
    </w:tbl>
    <w:p w14:paraId="0BC97B46" w14:textId="77777777" w:rsidR="009F0928" w:rsidRDefault="002112BD">
      <w:pPr>
        <w:spacing w:line="288" w:lineRule="auto"/>
        <w:jc w:val="both"/>
        <w:rPr>
          <w:rFonts w:ascii="Times New Roman" w:hAnsi="Times New Roman"/>
          <w:sz w:val="16"/>
          <w:szCs w:val="16"/>
        </w:rPr>
      </w:pPr>
      <w:r>
        <w:rPr>
          <w:rFonts w:ascii="Arial" w:eastAsia="宋体" w:hAnsi="Arial" w:cs="Arial"/>
          <w:sz w:val="16"/>
          <w:szCs w:val="16"/>
        </w:rPr>
        <w:t>Our stock repurchase programs are intended to programmatica</w:t>
      </w:r>
      <w:r>
        <w:rPr>
          <w:rFonts w:ascii="Arial" w:eastAsia="宋体" w:hAnsi="Arial" w:cs="Arial"/>
          <w:sz w:val="16"/>
          <w:szCs w:val="16"/>
        </w:rPr>
        <w:t>lly offset the impact of dilution from our equity compensation programs and, subject to market conditions and other factors, to make opportunistic and programmatic repurchases of our common stock to reduce our outstanding share count. Any share repurchases</w:t>
      </w:r>
      <w:r>
        <w:rPr>
          <w:rFonts w:ascii="Arial" w:eastAsia="宋体" w:hAnsi="Arial" w:cs="Arial"/>
          <w:sz w:val="16"/>
          <w:szCs w:val="16"/>
        </w:rPr>
        <w:t xml:space="preserve"> under our stock repurchase programs may be made through open market transactions, block trades, privately negotiated transactions (including accelerated share repurchase transactions) or other means at times and in such amounts as management deems appropr</w:t>
      </w:r>
      <w:r>
        <w:rPr>
          <w:rFonts w:ascii="Arial" w:eastAsia="宋体" w:hAnsi="Arial" w:cs="Arial"/>
          <w:sz w:val="16"/>
          <w:szCs w:val="16"/>
        </w:rPr>
        <w:t xml:space="preserve">iate and will be funded from our working capital or other financing alternatives. </w:t>
      </w:r>
    </w:p>
    <w:p w14:paraId="0BC97B47" w14:textId="77777777" w:rsidR="009F0928" w:rsidRDefault="002112BD">
      <w:pPr>
        <w:spacing w:line="288" w:lineRule="auto"/>
        <w:jc w:val="both"/>
        <w:rPr>
          <w:rFonts w:ascii="Times New Roman" w:hAnsi="Times New Roman"/>
          <w:sz w:val="16"/>
          <w:szCs w:val="16"/>
        </w:rPr>
      </w:pPr>
      <w:r>
        <w:rPr>
          <w:rFonts w:ascii="Arial" w:eastAsia="宋体" w:hAnsi="Arial" w:cs="Arial"/>
          <w:sz w:val="16"/>
          <w:szCs w:val="16"/>
        </w:rPr>
        <w:t>During the three months ended December 31, 2019, we repurchased approximately $1.0 billion of our common stock under our stock repurchase program. As of December 31, 2019, a</w:t>
      </w:r>
      <w:r>
        <w:rPr>
          <w:rFonts w:ascii="Arial" w:eastAsia="宋体" w:hAnsi="Arial" w:cs="Arial"/>
          <w:sz w:val="16"/>
          <w:szCs w:val="16"/>
        </w:rPr>
        <w:t xml:space="preserve"> total of approximately $2.2 billion remained available for future repurchases of our common stock under our stock repurchase program. During January 2020, our Board authorized an additional $5.0 billion stock repurchase program, with no expiration from th</w:t>
      </w:r>
      <w:r>
        <w:rPr>
          <w:rFonts w:ascii="Arial" w:eastAsia="宋体" w:hAnsi="Arial" w:cs="Arial"/>
          <w:sz w:val="16"/>
          <w:szCs w:val="16"/>
        </w:rPr>
        <w:t xml:space="preserve">e date of authorization. </w:t>
      </w:r>
    </w:p>
    <w:p w14:paraId="0BC97B48" w14:textId="77777777" w:rsidR="009F0928" w:rsidRDefault="002112BD">
      <w:pPr>
        <w:spacing w:line="288" w:lineRule="auto"/>
        <w:jc w:val="both"/>
        <w:rPr>
          <w:rFonts w:ascii="Times New Roman" w:hAnsi="Times New Roman"/>
          <w:sz w:val="16"/>
          <w:szCs w:val="16"/>
        </w:rPr>
      </w:pPr>
      <w:r>
        <w:rPr>
          <w:rFonts w:ascii="Arial" w:eastAsia="宋体" w:hAnsi="Arial" w:cs="Arial"/>
          <w:sz w:val="16"/>
          <w:szCs w:val="16"/>
        </w:rPr>
        <w:t>We expect, subject to market conditions and other uncertainties, to continue making opportunistic and programmatic repurchases of our common stock. However, our stock repurchase programs may be limited or terminated at any time wi</w:t>
      </w:r>
      <w:r>
        <w:rPr>
          <w:rFonts w:ascii="Arial" w:eastAsia="宋体" w:hAnsi="Arial" w:cs="Arial"/>
          <w:sz w:val="16"/>
          <w:szCs w:val="16"/>
        </w:rPr>
        <w:t>thout prior notice. The timing and actual number of shares repurchased will depend on a variety of factors, including corporate and regulatory requirements, price and other market conditions and management’s determination as to the appropriate use of our c</w:t>
      </w:r>
      <w:r>
        <w:rPr>
          <w:rFonts w:ascii="Arial" w:eastAsia="宋体" w:hAnsi="Arial" w:cs="Arial"/>
          <w:sz w:val="16"/>
          <w:szCs w:val="16"/>
        </w:rPr>
        <w:t>ash. </w:t>
      </w:r>
    </w:p>
    <w:tbl>
      <w:tblPr>
        <w:tblW w:w="0" w:type="auto"/>
        <w:tblCellSpacing w:w="0" w:type="dxa"/>
        <w:tblCellMar>
          <w:top w:w="80" w:type="dxa"/>
          <w:left w:w="0" w:type="dxa"/>
          <w:bottom w:w="160" w:type="dxa"/>
          <w:right w:w="0" w:type="dxa"/>
        </w:tblCellMar>
        <w:tblLook w:val="04A0" w:firstRow="1" w:lastRow="0" w:firstColumn="1" w:lastColumn="0" w:noHBand="0" w:noVBand="1"/>
      </w:tblPr>
      <w:tblGrid>
        <w:gridCol w:w="480"/>
        <w:gridCol w:w="2161"/>
      </w:tblGrid>
      <w:tr w:rsidR="009F0928" w14:paraId="0BC97B4B" w14:textId="77777777">
        <w:trPr>
          <w:tblCellSpacing w:w="0" w:type="dxa"/>
        </w:trPr>
        <w:tc>
          <w:tcPr>
            <w:tcW w:w="480" w:type="dxa"/>
            <w:shd w:val="clear" w:color="auto" w:fill="auto"/>
            <w:vAlign w:val="center"/>
          </w:tcPr>
          <w:p w14:paraId="0BC97B49" w14:textId="77777777" w:rsidR="009F0928" w:rsidRDefault="009F0928">
            <w:pPr>
              <w:rPr>
                <w:rFonts w:ascii="Times New Roman" w:hAnsi="Times New Roman"/>
                <w:sz w:val="20"/>
                <w:szCs w:val="20"/>
              </w:rPr>
            </w:pPr>
          </w:p>
        </w:tc>
        <w:tc>
          <w:tcPr>
            <w:tcW w:w="0" w:type="auto"/>
            <w:shd w:val="clear" w:color="auto" w:fill="auto"/>
            <w:vAlign w:val="center"/>
          </w:tcPr>
          <w:p w14:paraId="0BC97B4A" w14:textId="77777777" w:rsidR="009F0928" w:rsidRDefault="009F0928">
            <w:pPr>
              <w:rPr>
                <w:rFonts w:ascii="Times New Roman" w:hAnsi="Times New Roman"/>
                <w:sz w:val="20"/>
                <w:szCs w:val="20"/>
              </w:rPr>
            </w:pPr>
          </w:p>
        </w:tc>
      </w:tr>
      <w:tr w:rsidR="009F0928" w14:paraId="0BC97B4E" w14:textId="77777777">
        <w:trPr>
          <w:tblCellSpacing w:w="0" w:type="dxa"/>
        </w:trPr>
        <w:tc>
          <w:tcPr>
            <w:tcW w:w="0" w:type="auto"/>
            <w:shd w:val="clear" w:color="auto" w:fill="auto"/>
          </w:tcPr>
          <w:p w14:paraId="0BC97B4C"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(2)</w:t>
            </w:r>
          </w:p>
        </w:tc>
        <w:tc>
          <w:tcPr>
            <w:tcW w:w="0" w:type="auto"/>
            <w:shd w:val="clear" w:color="auto" w:fill="auto"/>
          </w:tcPr>
          <w:p w14:paraId="0BC97B4D"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Excludes broker commissions.</w:t>
            </w:r>
          </w:p>
        </w:tc>
      </w:tr>
    </w:tbl>
    <w:p w14:paraId="0BC97B4F" w14:textId="77777777" w:rsidR="009F0928" w:rsidRDefault="009F0928">
      <w:pPr>
        <w:rPr>
          <w:rFonts w:ascii="Times New Roman" w:hAnsi="Times New Roman"/>
          <w:sz w:val="20"/>
          <w:szCs w:val="20"/>
        </w:rPr>
      </w:pPr>
    </w:p>
    <w:p w14:paraId="0BC97B50"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34</w:t>
      </w:r>
    </w:p>
    <w:p w14:paraId="0BC97B51" w14:textId="77777777" w:rsidR="009F0928" w:rsidRDefault="002112BD">
      <w:r>
        <w:rPr>
          <w:rFonts w:ascii="Times New Roman" w:hAnsi="Times New Roman"/>
          <w:sz w:val="18"/>
          <w:szCs w:val="18"/>
        </w:rPr>
        <w:pict w14:anchorId="0BC9B4DF">
          <v:rect id="_x0000_i1059" style="width:415.3pt;height:1.5pt" o:hralign="center" o:hrstd="t" o:hr="t" fillcolor="#a0a0a0" stroked="f"/>
        </w:pict>
      </w:r>
    </w:p>
    <w:p w14:paraId="0BC97B52" w14:textId="77777777" w:rsidR="009F0928" w:rsidRDefault="009F0928">
      <w:pPr>
        <w:spacing w:line="288" w:lineRule="auto"/>
        <w:rPr>
          <w:rFonts w:ascii="Times New Roman" w:hAnsi="Times New Roman"/>
          <w:sz w:val="20"/>
          <w:szCs w:val="20"/>
        </w:rPr>
      </w:pPr>
    </w:p>
    <w:p w14:paraId="0BC97B53" w14:textId="77777777" w:rsidR="009F0928" w:rsidRDefault="009F0928">
      <w:pPr>
        <w:rPr>
          <w:rFonts w:ascii="Times New Roman" w:hAnsi="Times New Roman"/>
          <w:sz w:val="20"/>
          <w:szCs w:val="20"/>
        </w:rPr>
      </w:pPr>
    </w:p>
    <w:p w14:paraId="0BC97B54" w14:textId="77777777" w:rsidR="009F0928" w:rsidRDefault="002112BD">
      <w:pPr>
        <w:spacing w:line="288" w:lineRule="auto"/>
        <w:ind w:hanging="1920"/>
        <w:jc w:val="both"/>
        <w:rPr>
          <w:rFonts w:ascii="Times New Roman" w:hAnsi="Times New Roman"/>
          <w:sz w:val="20"/>
          <w:szCs w:val="20"/>
        </w:rPr>
      </w:pPr>
      <w:r>
        <w:rPr>
          <w:rFonts w:ascii="Arial" w:eastAsia="宋体" w:hAnsi="Arial" w:cs="Arial"/>
          <w:b/>
          <w:bCs/>
          <w:sz w:val="20"/>
          <w:szCs w:val="20"/>
        </w:rPr>
        <w:t xml:space="preserve">ITEM 6: </w:t>
      </w:r>
      <w:r>
        <w:rPr>
          <w:rFonts w:ascii="Arial" w:eastAsia="宋体" w:hAnsi="Arial" w:cs="Arial"/>
          <w:b/>
          <w:bCs/>
          <w:i/>
          <w:iCs/>
          <w:sz w:val="20"/>
          <w:szCs w:val="20"/>
        </w:rPr>
        <w:t>SELECTED FINANCIAL DATA</w:t>
      </w:r>
    </w:p>
    <w:p w14:paraId="0BC97B55" w14:textId="77777777" w:rsidR="009F0928" w:rsidRDefault="009F0928">
      <w:pPr>
        <w:spacing w:line="288" w:lineRule="auto"/>
        <w:ind w:firstLine="720"/>
        <w:jc w:val="both"/>
        <w:rPr>
          <w:rFonts w:ascii="Times New Roman" w:hAnsi="Times New Roman"/>
          <w:sz w:val="20"/>
          <w:szCs w:val="20"/>
        </w:rPr>
      </w:pPr>
    </w:p>
    <w:p w14:paraId="0BC97B5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selected consolidated financial data should be read in conjunction with the consolidated financial statements and notes thereto and “Management’s Discussion and Analysis of Financial Condition and Results of Operations” appearing elsewhere in</w:t>
      </w:r>
      <w:r>
        <w:rPr>
          <w:rFonts w:ascii="Arial" w:eastAsia="宋体" w:hAnsi="Arial" w:cs="Arial"/>
          <w:sz w:val="20"/>
          <w:szCs w:val="20"/>
        </w:rPr>
        <w:t xml:space="preserve"> this Annual Report on Form 10-K. The consolidated statement of income data for the years ended December 31, 2019, 2018, 2017 and 2016 are derived from our audited consolidated financial statements. The consolidated balance sheet data as of December 31, 20</w:t>
      </w:r>
      <w:r>
        <w:rPr>
          <w:rFonts w:ascii="Arial" w:eastAsia="宋体" w:hAnsi="Arial" w:cs="Arial"/>
          <w:sz w:val="20"/>
          <w:szCs w:val="20"/>
        </w:rPr>
        <w:t xml:space="preserve">19 and 2018 are derived from our audited consolidated financial statements. The consolidated balance sheet data as of December 31, 2017 and 2016 has been derived from our audited consolidated financial statements adjusted for the adoption of the ASC 606, </w:t>
      </w:r>
      <w:r>
        <w:rPr>
          <w:rFonts w:ascii="Arial" w:eastAsia="宋体" w:hAnsi="Arial" w:cs="Arial"/>
          <w:i/>
          <w:iCs/>
          <w:sz w:val="20"/>
          <w:szCs w:val="20"/>
        </w:rPr>
        <w:t>R</w:t>
      </w:r>
      <w:r>
        <w:rPr>
          <w:rFonts w:ascii="Arial" w:eastAsia="宋体" w:hAnsi="Arial" w:cs="Arial"/>
          <w:i/>
          <w:iCs/>
          <w:sz w:val="20"/>
          <w:szCs w:val="20"/>
        </w:rPr>
        <w:t>evenue from Contracts with Customers</w:t>
      </w:r>
      <w:r>
        <w:rPr>
          <w:rFonts w:ascii="Arial" w:eastAsia="宋体" w:hAnsi="Arial" w:cs="Arial"/>
          <w:sz w:val="20"/>
          <w:szCs w:val="20"/>
        </w:rPr>
        <w:t xml:space="preserve"> (ASC 606). The consolidated statement of income data and consolidated balance sheet data as of and for the year ended December 31, 2015 is derived from our audited consolidated financial statements, which have not been </w:t>
      </w:r>
      <w:r>
        <w:rPr>
          <w:rFonts w:ascii="Arial" w:eastAsia="宋体" w:hAnsi="Arial" w:cs="Arial"/>
          <w:sz w:val="20"/>
          <w:szCs w:val="20"/>
        </w:rPr>
        <w:t>adjusted for ASC 606.</w:t>
      </w:r>
    </w:p>
    <w:p w14:paraId="0BC97B57" w14:textId="77777777" w:rsidR="009F0928" w:rsidRDefault="009F0928">
      <w:pPr>
        <w:spacing w:line="288" w:lineRule="auto"/>
        <w:ind w:firstLine="720"/>
        <w:jc w:val="both"/>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3355"/>
        <w:gridCol w:w="141"/>
        <w:gridCol w:w="698"/>
        <w:gridCol w:w="33"/>
        <w:gridCol w:w="130"/>
        <w:gridCol w:w="141"/>
        <w:gridCol w:w="698"/>
        <w:gridCol w:w="33"/>
        <w:gridCol w:w="130"/>
        <w:gridCol w:w="141"/>
        <w:gridCol w:w="698"/>
        <w:gridCol w:w="100"/>
        <w:gridCol w:w="130"/>
        <w:gridCol w:w="141"/>
        <w:gridCol w:w="699"/>
        <w:gridCol w:w="34"/>
        <w:gridCol w:w="130"/>
        <w:gridCol w:w="141"/>
        <w:gridCol w:w="699"/>
        <w:gridCol w:w="34"/>
      </w:tblGrid>
      <w:tr w:rsidR="009F0928" w14:paraId="0BC97B59" w14:textId="77777777">
        <w:tc>
          <w:tcPr>
            <w:tcW w:w="0" w:type="auto"/>
            <w:gridSpan w:val="20"/>
            <w:shd w:val="clear" w:color="auto" w:fill="auto"/>
            <w:vAlign w:val="center"/>
          </w:tcPr>
          <w:p w14:paraId="0BC97B58" w14:textId="77777777" w:rsidR="009F0928" w:rsidRDefault="009F0928">
            <w:pPr>
              <w:rPr>
                <w:rFonts w:ascii="Times New Roman" w:hAnsi="Times New Roman"/>
                <w:sz w:val="20"/>
                <w:szCs w:val="20"/>
              </w:rPr>
            </w:pPr>
          </w:p>
        </w:tc>
      </w:tr>
      <w:tr w:rsidR="009F0928" w14:paraId="0BC97B6E" w14:textId="77777777">
        <w:tc>
          <w:tcPr>
            <w:tcW w:w="2050" w:type="pct"/>
            <w:shd w:val="clear" w:color="auto" w:fill="auto"/>
            <w:vAlign w:val="center"/>
          </w:tcPr>
          <w:p w14:paraId="0BC97B5A" w14:textId="77777777" w:rsidR="009F0928" w:rsidRDefault="009F0928">
            <w:pPr>
              <w:rPr>
                <w:rFonts w:ascii="Times New Roman" w:hAnsi="Times New Roman"/>
                <w:sz w:val="20"/>
                <w:szCs w:val="20"/>
              </w:rPr>
            </w:pPr>
          </w:p>
        </w:tc>
        <w:tc>
          <w:tcPr>
            <w:tcW w:w="50" w:type="pct"/>
            <w:shd w:val="clear" w:color="auto" w:fill="auto"/>
            <w:vAlign w:val="center"/>
          </w:tcPr>
          <w:p w14:paraId="0BC97B5B" w14:textId="77777777" w:rsidR="009F0928" w:rsidRDefault="009F0928">
            <w:pPr>
              <w:rPr>
                <w:rFonts w:ascii="Times New Roman" w:hAnsi="Times New Roman"/>
                <w:sz w:val="20"/>
                <w:szCs w:val="20"/>
              </w:rPr>
            </w:pPr>
          </w:p>
        </w:tc>
        <w:tc>
          <w:tcPr>
            <w:tcW w:w="450" w:type="pct"/>
            <w:shd w:val="clear" w:color="auto" w:fill="auto"/>
            <w:vAlign w:val="center"/>
          </w:tcPr>
          <w:p w14:paraId="0BC97B5C" w14:textId="77777777" w:rsidR="009F0928" w:rsidRDefault="009F0928">
            <w:pPr>
              <w:rPr>
                <w:rFonts w:ascii="Times New Roman" w:hAnsi="Times New Roman"/>
                <w:sz w:val="20"/>
                <w:szCs w:val="20"/>
              </w:rPr>
            </w:pPr>
          </w:p>
        </w:tc>
        <w:tc>
          <w:tcPr>
            <w:tcW w:w="50" w:type="pct"/>
            <w:shd w:val="clear" w:color="auto" w:fill="auto"/>
            <w:vAlign w:val="center"/>
          </w:tcPr>
          <w:p w14:paraId="0BC97B5D" w14:textId="77777777" w:rsidR="009F0928" w:rsidRDefault="009F0928">
            <w:pPr>
              <w:rPr>
                <w:rFonts w:ascii="Times New Roman" w:hAnsi="Times New Roman"/>
                <w:sz w:val="20"/>
                <w:szCs w:val="20"/>
              </w:rPr>
            </w:pPr>
          </w:p>
        </w:tc>
        <w:tc>
          <w:tcPr>
            <w:tcW w:w="50" w:type="pct"/>
            <w:shd w:val="clear" w:color="auto" w:fill="auto"/>
            <w:vAlign w:val="center"/>
          </w:tcPr>
          <w:p w14:paraId="0BC97B5E" w14:textId="77777777" w:rsidR="009F0928" w:rsidRDefault="009F0928">
            <w:pPr>
              <w:rPr>
                <w:rFonts w:ascii="Times New Roman" w:hAnsi="Times New Roman"/>
                <w:sz w:val="20"/>
                <w:szCs w:val="20"/>
              </w:rPr>
            </w:pPr>
          </w:p>
        </w:tc>
        <w:tc>
          <w:tcPr>
            <w:tcW w:w="50" w:type="pct"/>
            <w:shd w:val="clear" w:color="auto" w:fill="auto"/>
            <w:vAlign w:val="center"/>
          </w:tcPr>
          <w:p w14:paraId="0BC97B5F" w14:textId="77777777" w:rsidR="009F0928" w:rsidRDefault="009F0928">
            <w:pPr>
              <w:rPr>
                <w:rFonts w:ascii="Times New Roman" w:hAnsi="Times New Roman"/>
                <w:sz w:val="20"/>
                <w:szCs w:val="20"/>
              </w:rPr>
            </w:pPr>
          </w:p>
        </w:tc>
        <w:tc>
          <w:tcPr>
            <w:tcW w:w="450" w:type="pct"/>
            <w:shd w:val="clear" w:color="auto" w:fill="auto"/>
            <w:vAlign w:val="center"/>
          </w:tcPr>
          <w:p w14:paraId="0BC97B60" w14:textId="77777777" w:rsidR="009F0928" w:rsidRDefault="009F0928">
            <w:pPr>
              <w:rPr>
                <w:rFonts w:ascii="Times New Roman" w:hAnsi="Times New Roman"/>
                <w:sz w:val="20"/>
                <w:szCs w:val="20"/>
              </w:rPr>
            </w:pPr>
          </w:p>
        </w:tc>
        <w:tc>
          <w:tcPr>
            <w:tcW w:w="50" w:type="pct"/>
            <w:shd w:val="clear" w:color="auto" w:fill="auto"/>
            <w:vAlign w:val="center"/>
          </w:tcPr>
          <w:p w14:paraId="0BC97B61" w14:textId="77777777" w:rsidR="009F0928" w:rsidRDefault="009F0928">
            <w:pPr>
              <w:rPr>
                <w:rFonts w:ascii="Times New Roman" w:hAnsi="Times New Roman"/>
                <w:sz w:val="20"/>
                <w:szCs w:val="20"/>
              </w:rPr>
            </w:pPr>
          </w:p>
        </w:tc>
        <w:tc>
          <w:tcPr>
            <w:tcW w:w="50" w:type="pct"/>
            <w:shd w:val="clear" w:color="auto" w:fill="auto"/>
            <w:vAlign w:val="center"/>
          </w:tcPr>
          <w:p w14:paraId="0BC97B62" w14:textId="77777777" w:rsidR="009F0928" w:rsidRDefault="009F0928">
            <w:pPr>
              <w:rPr>
                <w:rFonts w:ascii="Times New Roman" w:hAnsi="Times New Roman"/>
                <w:sz w:val="20"/>
                <w:szCs w:val="20"/>
              </w:rPr>
            </w:pPr>
          </w:p>
        </w:tc>
        <w:tc>
          <w:tcPr>
            <w:tcW w:w="50" w:type="pct"/>
            <w:shd w:val="clear" w:color="auto" w:fill="auto"/>
            <w:vAlign w:val="center"/>
          </w:tcPr>
          <w:p w14:paraId="0BC97B63" w14:textId="77777777" w:rsidR="009F0928" w:rsidRDefault="009F0928">
            <w:pPr>
              <w:rPr>
                <w:rFonts w:ascii="Times New Roman" w:hAnsi="Times New Roman"/>
                <w:sz w:val="20"/>
                <w:szCs w:val="20"/>
              </w:rPr>
            </w:pPr>
          </w:p>
        </w:tc>
        <w:tc>
          <w:tcPr>
            <w:tcW w:w="450" w:type="pct"/>
            <w:shd w:val="clear" w:color="auto" w:fill="auto"/>
            <w:vAlign w:val="center"/>
          </w:tcPr>
          <w:p w14:paraId="0BC97B64" w14:textId="77777777" w:rsidR="009F0928" w:rsidRDefault="009F0928">
            <w:pPr>
              <w:rPr>
                <w:rFonts w:ascii="Times New Roman" w:hAnsi="Times New Roman"/>
                <w:sz w:val="20"/>
                <w:szCs w:val="20"/>
              </w:rPr>
            </w:pPr>
          </w:p>
        </w:tc>
        <w:tc>
          <w:tcPr>
            <w:tcW w:w="50" w:type="pct"/>
            <w:shd w:val="clear" w:color="auto" w:fill="auto"/>
            <w:vAlign w:val="center"/>
          </w:tcPr>
          <w:p w14:paraId="0BC97B65" w14:textId="77777777" w:rsidR="009F0928" w:rsidRDefault="009F0928">
            <w:pPr>
              <w:rPr>
                <w:rFonts w:ascii="Times New Roman" w:hAnsi="Times New Roman"/>
                <w:sz w:val="20"/>
                <w:szCs w:val="20"/>
              </w:rPr>
            </w:pPr>
          </w:p>
        </w:tc>
        <w:tc>
          <w:tcPr>
            <w:tcW w:w="50" w:type="pct"/>
            <w:shd w:val="clear" w:color="auto" w:fill="auto"/>
            <w:vAlign w:val="center"/>
          </w:tcPr>
          <w:p w14:paraId="0BC97B66" w14:textId="77777777" w:rsidR="009F0928" w:rsidRDefault="009F0928">
            <w:pPr>
              <w:rPr>
                <w:rFonts w:ascii="Times New Roman" w:hAnsi="Times New Roman"/>
                <w:sz w:val="20"/>
                <w:szCs w:val="20"/>
              </w:rPr>
            </w:pPr>
          </w:p>
        </w:tc>
        <w:tc>
          <w:tcPr>
            <w:tcW w:w="50" w:type="pct"/>
            <w:shd w:val="clear" w:color="auto" w:fill="auto"/>
            <w:vAlign w:val="center"/>
          </w:tcPr>
          <w:p w14:paraId="0BC97B67" w14:textId="77777777" w:rsidR="009F0928" w:rsidRDefault="009F0928">
            <w:pPr>
              <w:rPr>
                <w:rFonts w:ascii="Times New Roman" w:hAnsi="Times New Roman"/>
                <w:sz w:val="20"/>
                <w:szCs w:val="20"/>
              </w:rPr>
            </w:pPr>
          </w:p>
        </w:tc>
        <w:tc>
          <w:tcPr>
            <w:tcW w:w="450" w:type="pct"/>
            <w:shd w:val="clear" w:color="auto" w:fill="auto"/>
            <w:vAlign w:val="center"/>
          </w:tcPr>
          <w:p w14:paraId="0BC97B68" w14:textId="77777777" w:rsidR="009F0928" w:rsidRDefault="009F0928">
            <w:pPr>
              <w:rPr>
                <w:rFonts w:ascii="Times New Roman" w:hAnsi="Times New Roman"/>
                <w:sz w:val="20"/>
                <w:szCs w:val="20"/>
              </w:rPr>
            </w:pPr>
          </w:p>
        </w:tc>
        <w:tc>
          <w:tcPr>
            <w:tcW w:w="50" w:type="pct"/>
            <w:shd w:val="clear" w:color="auto" w:fill="auto"/>
            <w:vAlign w:val="center"/>
          </w:tcPr>
          <w:p w14:paraId="0BC97B69" w14:textId="77777777" w:rsidR="009F0928" w:rsidRDefault="009F0928">
            <w:pPr>
              <w:rPr>
                <w:rFonts w:ascii="Times New Roman" w:hAnsi="Times New Roman"/>
                <w:sz w:val="20"/>
                <w:szCs w:val="20"/>
              </w:rPr>
            </w:pPr>
          </w:p>
        </w:tc>
        <w:tc>
          <w:tcPr>
            <w:tcW w:w="50" w:type="pct"/>
            <w:shd w:val="clear" w:color="auto" w:fill="auto"/>
            <w:vAlign w:val="center"/>
          </w:tcPr>
          <w:p w14:paraId="0BC97B6A" w14:textId="77777777" w:rsidR="009F0928" w:rsidRDefault="009F0928">
            <w:pPr>
              <w:rPr>
                <w:rFonts w:ascii="Times New Roman" w:hAnsi="Times New Roman"/>
                <w:sz w:val="20"/>
                <w:szCs w:val="20"/>
              </w:rPr>
            </w:pPr>
          </w:p>
        </w:tc>
        <w:tc>
          <w:tcPr>
            <w:tcW w:w="50" w:type="pct"/>
            <w:shd w:val="clear" w:color="auto" w:fill="auto"/>
            <w:vAlign w:val="center"/>
          </w:tcPr>
          <w:p w14:paraId="0BC97B6B" w14:textId="77777777" w:rsidR="009F0928" w:rsidRDefault="009F0928">
            <w:pPr>
              <w:rPr>
                <w:rFonts w:ascii="Times New Roman" w:hAnsi="Times New Roman"/>
                <w:sz w:val="20"/>
                <w:szCs w:val="20"/>
              </w:rPr>
            </w:pPr>
          </w:p>
        </w:tc>
        <w:tc>
          <w:tcPr>
            <w:tcW w:w="450" w:type="pct"/>
            <w:shd w:val="clear" w:color="auto" w:fill="auto"/>
            <w:vAlign w:val="center"/>
          </w:tcPr>
          <w:p w14:paraId="0BC97B6C" w14:textId="77777777" w:rsidR="009F0928" w:rsidRDefault="009F0928">
            <w:pPr>
              <w:rPr>
                <w:rFonts w:ascii="Times New Roman" w:hAnsi="Times New Roman"/>
                <w:sz w:val="20"/>
                <w:szCs w:val="20"/>
              </w:rPr>
            </w:pPr>
          </w:p>
        </w:tc>
        <w:tc>
          <w:tcPr>
            <w:tcW w:w="50" w:type="pct"/>
            <w:shd w:val="clear" w:color="auto" w:fill="auto"/>
            <w:vAlign w:val="center"/>
          </w:tcPr>
          <w:p w14:paraId="0BC97B6D" w14:textId="77777777" w:rsidR="009F0928" w:rsidRDefault="009F0928">
            <w:pPr>
              <w:rPr>
                <w:rFonts w:ascii="Times New Roman" w:hAnsi="Times New Roman"/>
                <w:sz w:val="20"/>
                <w:szCs w:val="20"/>
              </w:rPr>
            </w:pPr>
          </w:p>
        </w:tc>
      </w:tr>
      <w:tr w:rsidR="009F0928" w14:paraId="0BC97B71" w14:textId="77777777">
        <w:tc>
          <w:tcPr>
            <w:tcW w:w="0" w:type="auto"/>
            <w:shd w:val="clear" w:color="auto" w:fill="auto"/>
            <w:tcMar>
              <w:top w:w="40" w:type="dxa"/>
              <w:left w:w="40" w:type="dxa"/>
              <w:bottom w:w="40" w:type="dxa"/>
              <w:right w:w="40" w:type="dxa"/>
            </w:tcMar>
            <w:vAlign w:val="bottom"/>
          </w:tcPr>
          <w:p w14:paraId="0BC97B6F"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0BC97B7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w:t>
            </w:r>
          </w:p>
        </w:tc>
      </w:tr>
      <w:tr w:rsidR="009F0928" w14:paraId="0BC97B7C" w14:textId="77777777">
        <w:tc>
          <w:tcPr>
            <w:tcW w:w="0" w:type="auto"/>
            <w:shd w:val="clear" w:color="auto" w:fill="auto"/>
            <w:tcMar>
              <w:top w:w="40" w:type="dxa"/>
              <w:left w:w="40" w:type="dxa"/>
              <w:bottom w:w="40" w:type="dxa"/>
              <w:right w:w="40" w:type="dxa"/>
            </w:tcMar>
            <w:vAlign w:val="bottom"/>
          </w:tcPr>
          <w:p w14:paraId="0BC97B72"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B7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0BC97B7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B75"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2018 </w:t>
            </w:r>
            <w:r>
              <w:rPr>
                <w:rFonts w:ascii="Arial" w:eastAsia="宋体" w:hAnsi="Arial" w:cs="Arial"/>
                <w:b/>
                <w:bCs/>
                <w:sz w:val="10"/>
                <w:szCs w:val="10"/>
              </w:rPr>
              <w:t>(6)</w:t>
            </w:r>
          </w:p>
        </w:tc>
        <w:tc>
          <w:tcPr>
            <w:tcW w:w="0" w:type="auto"/>
            <w:tcBorders>
              <w:top w:val="single" w:sz="8" w:space="0" w:color="000000"/>
            </w:tcBorders>
            <w:shd w:val="clear" w:color="auto" w:fill="auto"/>
            <w:tcMar>
              <w:top w:w="40" w:type="dxa"/>
              <w:left w:w="40" w:type="dxa"/>
              <w:bottom w:w="40" w:type="dxa"/>
              <w:right w:w="40" w:type="dxa"/>
            </w:tcMar>
            <w:vAlign w:val="bottom"/>
          </w:tcPr>
          <w:p w14:paraId="0BC97B7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B7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2017 </w:t>
            </w:r>
            <w:r>
              <w:rPr>
                <w:rFonts w:ascii="Arial" w:eastAsia="宋体" w:hAnsi="Arial" w:cs="Arial"/>
                <w:b/>
                <w:bCs/>
                <w:sz w:val="10"/>
                <w:szCs w:val="10"/>
              </w:rPr>
              <w:t>(4)(7)</w:t>
            </w:r>
          </w:p>
        </w:tc>
        <w:tc>
          <w:tcPr>
            <w:tcW w:w="0" w:type="auto"/>
            <w:tcBorders>
              <w:top w:val="single" w:sz="8" w:space="0" w:color="000000"/>
            </w:tcBorders>
            <w:shd w:val="clear" w:color="auto" w:fill="auto"/>
            <w:tcMar>
              <w:top w:w="40" w:type="dxa"/>
              <w:left w:w="40" w:type="dxa"/>
              <w:bottom w:w="40" w:type="dxa"/>
              <w:right w:w="40" w:type="dxa"/>
            </w:tcMar>
            <w:vAlign w:val="bottom"/>
          </w:tcPr>
          <w:p w14:paraId="0BC97B7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B79"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2016 </w:t>
            </w:r>
            <w:r>
              <w:rPr>
                <w:rFonts w:ascii="Arial" w:eastAsia="宋体" w:hAnsi="Arial" w:cs="Arial"/>
                <w:b/>
                <w:bCs/>
                <w:sz w:val="10"/>
                <w:szCs w:val="10"/>
              </w:rPr>
              <w:t>(4)(8)</w:t>
            </w:r>
          </w:p>
        </w:tc>
        <w:tc>
          <w:tcPr>
            <w:tcW w:w="0" w:type="auto"/>
            <w:tcBorders>
              <w:top w:val="single" w:sz="8" w:space="0" w:color="000000"/>
            </w:tcBorders>
            <w:shd w:val="clear" w:color="auto" w:fill="auto"/>
            <w:tcMar>
              <w:top w:w="40" w:type="dxa"/>
              <w:left w:w="40" w:type="dxa"/>
              <w:bottom w:w="40" w:type="dxa"/>
              <w:right w:w="40" w:type="dxa"/>
            </w:tcMar>
            <w:vAlign w:val="bottom"/>
          </w:tcPr>
          <w:p w14:paraId="0BC97B7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B7B"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2015</w:t>
            </w:r>
          </w:p>
        </w:tc>
      </w:tr>
      <w:tr w:rsidR="009F0928" w14:paraId="0BC97B7F" w14:textId="77777777">
        <w:tc>
          <w:tcPr>
            <w:tcW w:w="0" w:type="auto"/>
            <w:shd w:val="clear" w:color="auto" w:fill="auto"/>
            <w:tcMar>
              <w:top w:w="40" w:type="dxa"/>
              <w:left w:w="40" w:type="dxa"/>
              <w:bottom w:w="40" w:type="dxa"/>
              <w:right w:w="40" w:type="dxa"/>
            </w:tcMar>
            <w:vAlign w:val="bottom"/>
          </w:tcPr>
          <w:p w14:paraId="0BC97B7D"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19"/>
            <w:shd w:val="clear" w:color="auto" w:fill="auto"/>
            <w:tcMar>
              <w:top w:w="40" w:type="dxa"/>
              <w:left w:w="40" w:type="dxa"/>
              <w:bottom w:w="40" w:type="dxa"/>
            </w:tcMar>
            <w:vAlign w:val="bottom"/>
          </w:tcPr>
          <w:p w14:paraId="0BC97B7E"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(In millions, except per share amounts)</w:t>
            </w:r>
          </w:p>
        </w:tc>
      </w:tr>
      <w:tr w:rsidR="009F0928" w14:paraId="0BC97B8A" w14:textId="77777777">
        <w:tc>
          <w:tcPr>
            <w:tcW w:w="0" w:type="auto"/>
            <w:shd w:val="clear" w:color="auto" w:fill="E2E2E2"/>
            <w:tcMar>
              <w:top w:w="40" w:type="dxa"/>
              <w:left w:w="40" w:type="dxa"/>
              <w:bottom w:w="40" w:type="dxa"/>
              <w:right w:w="40" w:type="dxa"/>
            </w:tcMar>
            <w:vAlign w:val="bottom"/>
          </w:tcPr>
          <w:p w14:paraId="0BC97B80"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 xml:space="preserve">Consolidated Statement of Income Data: </w:t>
            </w:r>
            <w:r>
              <w:rPr>
                <w:rFonts w:ascii="Arial" w:eastAsia="宋体" w:hAnsi="Arial" w:cs="Arial"/>
                <w:b/>
                <w:bCs/>
                <w:sz w:val="12"/>
                <w:szCs w:val="12"/>
              </w:rPr>
              <w:t>(1)</w:t>
            </w:r>
          </w:p>
        </w:tc>
        <w:tc>
          <w:tcPr>
            <w:tcW w:w="0" w:type="auto"/>
            <w:gridSpan w:val="3"/>
            <w:shd w:val="clear" w:color="auto" w:fill="E2E2E2"/>
            <w:tcMar>
              <w:top w:w="40" w:type="dxa"/>
              <w:left w:w="40" w:type="dxa"/>
              <w:bottom w:w="40" w:type="dxa"/>
              <w:right w:w="40" w:type="dxa"/>
            </w:tcMar>
            <w:vAlign w:val="bottom"/>
          </w:tcPr>
          <w:p w14:paraId="0BC97B8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B8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7B8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B8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7B8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B8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7B8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B8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7B8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7B9F" w14:textId="77777777">
        <w:tc>
          <w:tcPr>
            <w:tcW w:w="0" w:type="auto"/>
            <w:shd w:val="clear" w:color="auto" w:fill="auto"/>
            <w:tcMar>
              <w:top w:w="40" w:type="dxa"/>
              <w:left w:w="40" w:type="dxa"/>
              <w:bottom w:w="40" w:type="dxa"/>
              <w:right w:w="40" w:type="dxa"/>
            </w:tcMar>
            <w:vAlign w:val="bottom"/>
          </w:tcPr>
          <w:p w14:paraId="0BC97B8B" w14:textId="77777777" w:rsidR="009F0928" w:rsidRDefault="002112BD">
            <w:pPr>
              <w:textAlignment w:val="bottom"/>
              <w:rPr>
                <w:rFonts w:ascii="Times New Roman" w:hAnsi="Times New Roman"/>
                <w:sz w:val="18"/>
                <w:szCs w:val="18"/>
              </w:rPr>
            </w:pPr>
            <w:r>
              <w:rPr>
                <w:rFonts w:ascii="Arial" w:eastAsia="宋体" w:hAnsi="Arial" w:cs="Arial"/>
                <w:sz w:val="18"/>
                <w:szCs w:val="18"/>
              </w:rPr>
              <w:t>Net revenues</w:t>
            </w:r>
          </w:p>
        </w:tc>
        <w:tc>
          <w:tcPr>
            <w:tcW w:w="0" w:type="auto"/>
            <w:shd w:val="clear" w:color="auto" w:fill="auto"/>
            <w:tcMar>
              <w:top w:w="40" w:type="dxa"/>
              <w:left w:w="40" w:type="dxa"/>
              <w:bottom w:w="40" w:type="dxa"/>
            </w:tcMar>
            <w:vAlign w:val="bottom"/>
          </w:tcPr>
          <w:p w14:paraId="0BC97B8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7B8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10,800</w:t>
            </w:r>
          </w:p>
        </w:tc>
        <w:tc>
          <w:tcPr>
            <w:tcW w:w="0" w:type="auto"/>
            <w:shd w:val="clear" w:color="auto" w:fill="auto"/>
            <w:vAlign w:val="bottom"/>
          </w:tcPr>
          <w:p w14:paraId="0BC97B8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8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B9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7B9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10,746</w:t>
            </w:r>
          </w:p>
        </w:tc>
        <w:tc>
          <w:tcPr>
            <w:tcW w:w="0" w:type="auto"/>
            <w:shd w:val="clear" w:color="auto" w:fill="auto"/>
            <w:vAlign w:val="bottom"/>
          </w:tcPr>
          <w:p w14:paraId="0BC97B9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B9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7B9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9,927</w:t>
            </w:r>
          </w:p>
        </w:tc>
        <w:tc>
          <w:tcPr>
            <w:tcW w:w="0" w:type="auto"/>
            <w:shd w:val="clear" w:color="auto" w:fill="auto"/>
            <w:vAlign w:val="bottom"/>
          </w:tcPr>
          <w:p w14:paraId="0BC97B9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B9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7B9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9,298</w:t>
            </w:r>
          </w:p>
        </w:tc>
        <w:tc>
          <w:tcPr>
            <w:tcW w:w="0" w:type="auto"/>
            <w:shd w:val="clear" w:color="auto" w:fill="auto"/>
            <w:vAlign w:val="bottom"/>
          </w:tcPr>
          <w:p w14:paraId="0BC97B9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9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B9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7B9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8,592</w:t>
            </w:r>
          </w:p>
        </w:tc>
        <w:tc>
          <w:tcPr>
            <w:tcW w:w="0" w:type="auto"/>
            <w:shd w:val="clear" w:color="auto" w:fill="auto"/>
            <w:vAlign w:val="bottom"/>
          </w:tcPr>
          <w:p w14:paraId="0BC97B9E" w14:textId="77777777" w:rsidR="009F0928" w:rsidRDefault="009F0928">
            <w:pPr>
              <w:textAlignment w:val="bottom"/>
              <w:rPr>
                <w:rFonts w:ascii="Times New Roman" w:hAnsi="Times New Roman"/>
                <w:sz w:val="20"/>
                <w:szCs w:val="20"/>
              </w:rPr>
            </w:pPr>
          </w:p>
        </w:tc>
      </w:tr>
      <w:tr w:rsidR="009F0928" w14:paraId="0BC97BAF" w14:textId="77777777">
        <w:tc>
          <w:tcPr>
            <w:tcW w:w="0" w:type="auto"/>
            <w:shd w:val="clear" w:color="auto" w:fill="E2E2E2"/>
            <w:tcMar>
              <w:top w:w="40" w:type="dxa"/>
              <w:left w:w="40" w:type="dxa"/>
              <w:bottom w:w="40" w:type="dxa"/>
              <w:right w:w="40" w:type="dxa"/>
            </w:tcMar>
            <w:vAlign w:val="bottom"/>
          </w:tcPr>
          <w:p w14:paraId="0BC97BA0" w14:textId="77777777" w:rsidR="009F0928" w:rsidRDefault="002112BD">
            <w:pPr>
              <w:textAlignment w:val="bottom"/>
              <w:rPr>
                <w:rFonts w:ascii="Times New Roman" w:hAnsi="Times New Roman"/>
                <w:sz w:val="18"/>
                <w:szCs w:val="18"/>
              </w:rPr>
            </w:pPr>
            <w:r>
              <w:rPr>
                <w:rFonts w:ascii="Arial" w:eastAsia="宋体" w:hAnsi="Arial" w:cs="Arial"/>
                <w:sz w:val="18"/>
                <w:szCs w:val="18"/>
              </w:rPr>
              <w:t>Gross profit</w:t>
            </w:r>
          </w:p>
        </w:tc>
        <w:tc>
          <w:tcPr>
            <w:tcW w:w="0" w:type="auto"/>
            <w:gridSpan w:val="2"/>
            <w:shd w:val="clear" w:color="auto" w:fill="E2E2E2"/>
            <w:tcMar>
              <w:top w:w="40" w:type="dxa"/>
              <w:left w:w="40" w:type="dxa"/>
              <w:bottom w:w="40" w:type="dxa"/>
            </w:tcMar>
            <w:vAlign w:val="bottom"/>
          </w:tcPr>
          <w:p w14:paraId="0BC97BA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8,292</w:t>
            </w:r>
          </w:p>
        </w:tc>
        <w:tc>
          <w:tcPr>
            <w:tcW w:w="0" w:type="auto"/>
            <w:shd w:val="clear" w:color="auto" w:fill="E2E2E2"/>
            <w:vAlign w:val="bottom"/>
          </w:tcPr>
          <w:p w14:paraId="0BC97BA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BA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BA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8,364</w:t>
            </w:r>
          </w:p>
        </w:tc>
        <w:tc>
          <w:tcPr>
            <w:tcW w:w="0" w:type="auto"/>
            <w:shd w:val="clear" w:color="auto" w:fill="E2E2E2"/>
            <w:vAlign w:val="bottom"/>
          </w:tcPr>
          <w:p w14:paraId="0BC97BA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B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BA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7,706</w:t>
            </w:r>
          </w:p>
        </w:tc>
        <w:tc>
          <w:tcPr>
            <w:tcW w:w="0" w:type="auto"/>
            <w:shd w:val="clear" w:color="auto" w:fill="E2E2E2"/>
            <w:vAlign w:val="bottom"/>
          </w:tcPr>
          <w:p w14:paraId="0BC97BA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B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BA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7,294</w:t>
            </w:r>
          </w:p>
        </w:tc>
        <w:tc>
          <w:tcPr>
            <w:tcW w:w="0" w:type="auto"/>
            <w:shd w:val="clear" w:color="auto" w:fill="E2E2E2"/>
            <w:vAlign w:val="bottom"/>
          </w:tcPr>
          <w:p w14:paraId="0BC97BA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BA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BA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6,821</w:t>
            </w:r>
          </w:p>
        </w:tc>
        <w:tc>
          <w:tcPr>
            <w:tcW w:w="0" w:type="auto"/>
            <w:shd w:val="clear" w:color="auto" w:fill="E2E2E2"/>
            <w:vAlign w:val="bottom"/>
          </w:tcPr>
          <w:p w14:paraId="0BC97BAE" w14:textId="77777777" w:rsidR="009F0928" w:rsidRDefault="009F0928">
            <w:pPr>
              <w:textAlignment w:val="bottom"/>
              <w:rPr>
                <w:rFonts w:ascii="Times New Roman" w:hAnsi="Times New Roman"/>
                <w:sz w:val="20"/>
                <w:szCs w:val="20"/>
              </w:rPr>
            </w:pPr>
          </w:p>
        </w:tc>
      </w:tr>
      <w:tr w:rsidR="009F0928" w14:paraId="0BC97BBF" w14:textId="77777777">
        <w:tc>
          <w:tcPr>
            <w:tcW w:w="0" w:type="auto"/>
            <w:shd w:val="clear" w:color="auto" w:fill="auto"/>
            <w:tcMar>
              <w:top w:w="40" w:type="dxa"/>
              <w:left w:w="40" w:type="dxa"/>
              <w:bottom w:w="40" w:type="dxa"/>
              <w:right w:w="40" w:type="dxa"/>
            </w:tcMar>
            <w:vAlign w:val="bottom"/>
          </w:tcPr>
          <w:p w14:paraId="0BC97BB0" w14:textId="77777777" w:rsidR="009F0928" w:rsidRDefault="002112BD">
            <w:pPr>
              <w:textAlignment w:val="bottom"/>
              <w:rPr>
                <w:rFonts w:ascii="Times New Roman" w:hAnsi="Times New Roman"/>
                <w:sz w:val="18"/>
                <w:szCs w:val="18"/>
              </w:rPr>
            </w:pPr>
            <w:r>
              <w:rPr>
                <w:rFonts w:ascii="Arial" w:eastAsia="宋体" w:hAnsi="Arial" w:cs="Arial"/>
                <w:sz w:val="18"/>
                <w:szCs w:val="18"/>
              </w:rPr>
              <w:t>Income from operations</w:t>
            </w:r>
          </w:p>
        </w:tc>
        <w:tc>
          <w:tcPr>
            <w:tcW w:w="0" w:type="auto"/>
            <w:gridSpan w:val="2"/>
            <w:shd w:val="clear" w:color="auto" w:fill="auto"/>
            <w:tcMar>
              <w:top w:w="40" w:type="dxa"/>
              <w:left w:w="40" w:type="dxa"/>
              <w:bottom w:w="40" w:type="dxa"/>
            </w:tcMar>
            <w:vAlign w:val="bottom"/>
          </w:tcPr>
          <w:p w14:paraId="0BC97BB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2,321</w:t>
            </w:r>
          </w:p>
        </w:tc>
        <w:tc>
          <w:tcPr>
            <w:tcW w:w="0" w:type="auto"/>
            <w:shd w:val="clear" w:color="auto" w:fill="auto"/>
            <w:vAlign w:val="bottom"/>
          </w:tcPr>
          <w:p w14:paraId="0BC97BB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BB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2,222</w:t>
            </w:r>
          </w:p>
        </w:tc>
        <w:tc>
          <w:tcPr>
            <w:tcW w:w="0" w:type="auto"/>
            <w:shd w:val="clear" w:color="auto" w:fill="auto"/>
            <w:vAlign w:val="bottom"/>
          </w:tcPr>
          <w:p w14:paraId="0BC97BB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BB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2,264</w:t>
            </w:r>
          </w:p>
        </w:tc>
        <w:tc>
          <w:tcPr>
            <w:tcW w:w="0" w:type="auto"/>
            <w:shd w:val="clear" w:color="auto" w:fill="auto"/>
            <w:vAlign w:val="bottom"/>
          </w:tcPr>
          <w:p w14:paraId="0BC97BB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B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BB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2,325</w:t>
            </w:r>
          </w:p>
        </w:tc>
        <w:tc>
          <w:tcPr>
            <w:tcW w:w="0" w:type="auto"/>
            <w:shd w:val="clear" w:color="auto" w:fill="auto"/>
            <w:vAlign w:val="bottom"/>
          </w:tcPr>
          <w:p w14:paraId="0BC97BB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B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BB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2,197</w:t>
            </w:r>
          </w:p>
        </w:tc>
        <w:tc>
          <w:tcPr>
            <w:tcW w:w="0" w:type="auto"/>
            <w:shd w:val="clear" w:color="auto" w:fill="auto"/>
            <w:vAlign w:val="bottom"/>
          </w:tcPr>
          <w:p w14:paraId="0BC97BBE" w14:textId="77777777" w:rsidR="009F0928" w:rsidRDefault="009F0928">
            <w:pPr>
              <w:textAlignment w:val="bottom"/>
              <w:rPr>
                <w:rFonts w:ascii="Times New Roman" w:hAnsi="Times New Roman"/>
                <w:sz w:val="20"/>
                <w:szCs w:val="20"/>
              </w:rPr>
            </w:pPr>
          </w:p>
        </w:tc>
      </w:tr>
      <w:tr w:rsidR="009F0928" w14:paraId="0BC97BCF" w14:textId="77777777">
        <w:tc>
          <w:tcPr>
            <w:tcW w:w="0" w:type="auto"/>
            <w:shd w:val="clear" w:color="auto" w:fill="E2E2E2"/>
            <w:tcMar>
              <w:top w:w="40" w:type="dxa"/>
              <w:left w:w="40" w:type="dxa"/>
              <w:bottom w:w="40" w:type="dxa"/>
              <w:right w:w="40" w:type="dxa"/>
            </w:tcMar>
            <w:vAlign w:val="bottom"/>
          </w:tcPr>
          <w:p w14:paraId="0BC97BC0" w14:textId="77777777" w:rsidR="009F0928" w:rsidRDefault="002112BD">
            <w:pPr>
              <w:textAlignment w:val="bottom"/>
              <w:rPr>
                <w:rFonts w:ascii="Times New Roman" w:hAnsi="Times New Roman"/>
                <w:sz w:val="18"/>
                <w:szCs w:val="18"/>
              </w:rPr>
            </w:pPr>
            <w:r>
              <w:rPr>
                <w:rFonts w:ascii="Arial" w:eastAsia="宋体" w:hAnsi="Arial" w:cs="Arial"/>
                <w:sz w:val="18"/>
                <w:szCs w:val="18"/>
              </w:rPr>
              <w:t>Income from continuing operations before income taxes</w:t>
            </w:r>
          </w:p>
        </w:tc>
        <w:tc>
          <w:tcPr>
            <w:tcW w:w="0" w:type="auto"/>
            <w:gridSpan w:val="2"/>
            <w:shd w:val="clear" w:color="auto" w:fill="E2E2E2"/>
            <w:tcMar>
              <w:top w:w="40" w:type="dxa"/>
              <w:left w:w="40" w:type="dxa"/>
              <w:bottom w:w="40" w:type="dxa"/>
            </w:tcMar>
            <w:vAlign w:val="bottom"/>
          </w:tcPr>
          <w:p w14:paraId="0BC97BC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2,207</w:t>
            </w:r>
          </w:p>
        </w:tc>
        <w:tc>
          <w:tcPr>
            <w:tcW w:w="0" w:type="auto"/>
            <w:shd w:val="clear" w:color="auto" w:fill="E2E2E2"/>
            <w:vAlign w:val="bottom"/>
          </w:tcPr>
          <w:p w14:paraId="0BC97BC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BC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BC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2,718</w:t>
            </w:r>
          </w:p>
        </w:tc>
        <w:tc>
          <w:tcPr>
            <w:tcW w:w="0" w:type="auto"/>
            <w:shd w:val="clear" w:color="auto" w:fill="E2E2E2"/>
            <w:vAlign w:val="bottom"/>
          </w:tcPr>
          <w:p w14:paraId="0BC97BC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BC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BC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2,275</w:t>
            </w:r>
          </w:p>
        </w:tc>
        <w:tc>
          <w:tcPr>
            <w:tcW w:w="0" w:type="auto"/>
            <w:shd w:val="clear" w:color="auto" w:fill="E2E2E2"/>
            <w:vAlign w:val="bottom"/>
          </w:tcPr>
          <w:p w14:paraId="0BC97BC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BC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BC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3,651</w:t>
            </w:r>
          </w:p>
        </w:tc>
        <w:tc>
          <w:tcPr>
            <w:tcW w:w="0" w:type="auto"/>
            <w:shd w:val="clear" w:color="auto" w:fill="E2E2E2"/>
            <w:vAlign w:val="bottom"/>
          </w:tcPr>
          <w:p w14:paraId="0BC97BC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BC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BC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2,406</w:t>
            </w:r>
          </w:p>
        </w:tc>
        <w:tc>
          <w:tcPr>
            <w:tcW w:w="0" w:type="auto"/>
            <w:shd w:val="clear" w:color="auto" w:fill="E2E2E2"/>
            <w:vAlign w:val="bottom"/>
          </w:tcPr>
          <w:p w14:paraId="0BC97BCE" w14:textId="77777777" w:rsidR="009F0928" w:rsidRDefault="009F0928">
            <w:pPr>
              <w:textAlignment w:val="bottom"/>
              <w:rPr>
                <w:rFonts w:ascii="Times New Roman" w:hAnsi="Times New Roman"/>
                <w:sz w:val="20"/>
                <w:szCs w:val="20"/>
              </w:rPr>
            </w:pPr>
          </w:p>
        </w:tc>
      </w:tr>
      <w:tr w:rsidR="009F0928" w14:paraId="0BC97BDF" w14:textId="77777777">
        <w:tc>
          <w:tcPr>
            <w:tcW w:w="0" w:type="auto"/>
            <w:shd w:val="clear" w:color="auto" w:fill="auto"/>
            <w:tcMar>
              <w:top w:w="40" w:type="dxa"/>
              <w:left w:w="40" w:type="dxa"/>
              <w:bottom w:w="40" w:type="dxa"/>
              <w:right w:w="40" w:type="dxa"/>
            </w:tcMar>
            <w:vAlign w:val="bottom"/>
          </w:tcPr>
          <w:p w14:paraId="0BC97BD0"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Income (loss) from </w:t>
            </w:r>
            <w:r>
              <w:rPr>
                <w:rFonts w:ascii="Arial" w:eastAsia="宋体" w:hAnsi="Arial" w:cs="Arial"/>
                <w:sz w:val="18"/>
                <w:szCs w:val="18"/>
              </w:rPr>
              <w:t>continuing operations</w:t>
            </w:r>
          </w:p>
        </w:tc>
        <w:tc>
          <w:tcPr>
            <w:tcW w:w="0" w:type="auto"/>
            <w:gridSpan w:val="2"/>
            <w:shd w:val="clear" w:color="auto" w:fill="auto"/>
            <w:tcMar>
              <w:top w:w="40" w:type="dxa"/>
              <w:left w:w="40" w:type="dxa"/>
              <w:bottom w:w="40" w:type="dxa"/>
            </w:tcMar>
            <w:vAlign w:val="bottom"/>
          </w:tcPr>
          <w:p w14:paraId="0BC97BD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1,792</w:t>
            </w:r>
          </w:p>
        </w:tc>
        <w:tc>
          <w:tcPr>
            <w:tcW w:w="0" w:type="auto"/>
            <w:shd w:val="clear" w:color="auto" w:fill="auto"/>
            <w:vAlign w:val="bottom"/>
          </w:tcPr>
          <w:p w14:paraId="0BC97BD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BD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2,528</w:t>
            </w:r>
          </w:p>
        </w:tc>
        <w:tc>
          <w:tcPr>
            <w:tcW w:w="0" w:type="auto"/>
            <w:shd w:val="clear" w:color="auto" w:fill="auto"/>
            <w:vAlign w:val="bottom"/>
          </w:tcPr>
          <w:p w14:paraId="0BC97BD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D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BD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(1,013</w:t>
            </w:r>
          </w:p>
        </w:tc>
        <w:tc>
          <w:tcPr>
            <w:tcW w:w="0" w:type="auto"/>
            <w:shd w:val="clear" w:color="auto" w:fill="auto"/>
            <w:tcMar>
              <w:top w:w="40" w:type="dxa"/>
              <w:bottom w:w="40" w:type="dxa"/>
              <w:right w:w="40" w:type="dxa"/>
            </w:tcMar>
            <w:vAlign w:val="bottom"/>
          </w:tcPr>
          <w:p w14:paraId="0BC97BD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7B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BD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7,285</w:t>
            </w:r>
          </w:p>
        </w:tc>
        <w:tc>
          <w:tcPr>
            <w:tcW w:w="0" w:type="auto"/>
            <w:shd w:val="clear" w:color="auto" w:fill="auto"/>
            <w:vAlign w:val="bottom"/>
          </w:tcPr>
          <w:p w14:paraId="0BC97BD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D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BD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1,947</w:t>
            </w:r>
          </w:p>
        </w:tc>
        <w:tc>
          <w:tcPr>
            <w:tcW w:w="0" w:type="auto"/>
            <w:shd w:val="clear" w:color="auto" w:fill="auto"/>
            <w:vAlign w:val="bottom"/>
          </w:tcPr>
          <w:p w14:paraId="0BC97BDE" w14:textId="77777777" w:rsidR="009F0928" w:rsidRDefault="009F0928">
            <w:pPr>
              <w:textAlignment w:val="bottom"/>
              <w:rPr>
                <w:rFonts w:ascii="Times New Roman" w:hAnsi="Times New Roman"/>
                <w:sz w:val="20"/>
                <w:szCs w:val="20"/>
              </w:rPr>
            </w:pPr>
          </w:p>
        </w:tc>
      </w:tr>
      <w:tr w:rsidR="009F0928" w14:paraId="0BC97BEA" w14:textId="77777777">
        <w:tc>
          <w:tcPr>
            <w:tcW w:w="0" w:type="auto"/>
            <w:shd w:val="clear" w:color="auto" w:fill="E2E2E2"/>
            <w:tcMar>
              <w:top w:w="40" w:type="dxa"/>
              <w:left w:w="40" w:type="dxa"/>
              <w:bottom w:w="40" w:type="dxa"/>
              <w:right w:w="40" w:type="dxa"/>
            </w:tcMar>
            <w:vAlign w:val="bottom"/>
          </w:tcPr>
          <w:p w14:paraId="0BC97BE0" w14:textId="77777777" w:rsidR="009F0928" w:rsidRDefault="002112BD">
            <w:pPr>
              <w:textAlignment w:val="bottom"/>
              <w:rPr>
                <w:rFonts w:ascii="Times New Roman" w:hAnsi="Times New Roman"/>
                <w:sz w:val="18"/>
                <w:szCs w:val="18"/>
              </w:rPr>
            </w:pPr>
            <w:r>
              <w:rPr>
                <w:rFonts w:ascii="Arial" w:eastAsia="宋体" w:hAnsi="Arial" w:cs="Arial"/>
                <w:sz w:val="18"/>
                <w:szCs w:val="18"/>
              </w:rPr>
              <w:t>Income (loss) per share from continuing operations:</w:t>
            </w:r>
          </w:p>
        </w:tc>
        <w:tc>
          <w:tcPr>
            <w:tcW w:w="0" w:type="auto"/>
            <w:gridSpan w:val="3"/>
            <w:shd w:val="clear" w:color="auto" w:fill="E2E2E2"/>
            <w:tcMar>
              <w:top w:w="40" w:type="dxa"/>
              <w:left w:w="40" w:type="dxa"/>
              <w:bottom w:w="40" w:type="dxa"/>
              <w:right w:w="40" w:type="dxa"/>
            </w:tcMar>
            <w:vAlign w:val="bottom"/>
          </w:tcPr>
          <w:p w14:paraId="0BC97BE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BE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7B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BE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7BE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B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7BE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BE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7BE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7BFF" w14:textId="77777777">
        <w:tc>
          <w:tcPr>
            <w:tcW w:w="0" w:type="auto"/>
            <w:shd w:val="clear" w:color="auto" w:fill="auto"/>
            <w:tcMar>
              <w:top w:w="40" w:type="dxa"/>
              <w:left w:w="720" w:type="dxa"/>
              <w:bottom w:w="40" w:type="dxa"/>
              <w:right w:w="40" w:type="dxa"/>
            </w:tcMar>
            <w:vAlign w:val="bottom"/>
          </w:tcPr>
          <w:p w14:paraId="0BC97BEB" w14:textId="77777777" w:rsidR="009F0928" w:rsidRDefault="002112BD">
            <w:pPr>
              <w:textAlignment w:val="bottom"/>
              <w:rPr>
                <w:rFonts w:ascii="Times New Roman" w:hAnsi="Times New Roman"/>
                <w:sz w:val="18"/>
                <w:szCs w:val="18"/>
              </w:rPr>
            </w:pPr>
            <w:r>
              <w:rPr>
                <w:rFonts w:ascii="Arial" w:eastAsia="宋体" w:hAnsi="Arial" w:cs="Arial"/>
                <w:sz w:val="18"/>
                <w:szCs w:val="18"/>
              </w:rPr>
              <w:t>Basic</w:t>
            </w:r>
          </w:p>
        </w:tc>
        <w:tc>
          <w:tcPr>
            <w:tcW w:w="0" w:type="auto"/>
            <w:tcBorders>
              <w:bottom w:val="double" w:sz="6" w:space="0" w:color="000000"/>
            </w:tcBorders>
            <w:shd w:val="clear" w:color="auto" w:fill="auto"/>
            <w:tcMar>
              <w:top w:w="40" w:type="dxa"/>
              <w:left w:w="40" w:type="dxa"/>
              <w:bottom w:w="40" w:type="dxa"/>
            </w:tcMar>
            <w:vAlign w:val="bottom"/>
          </w:tcPr>
          <w:p w14:paraId="0BC97BE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7BE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2.11</w:t>
            </w:r>
          </w:p>
        </w:tc>
        <w:tc>
          <w:tcPr>
            <w:tcW w:w="0" w:type="auto"/>
            <w:tcBorders>
              <w:bottom w:val="double" w:sz="6" w:space="0" w:color="000000"/>
            </w:tcBorders>
            <w:shd w:val="clear" w:color="auto" w:fill="auto"/>
            <w:vAlign w:val="bottom"/>
          </w:tcPr>
          <w:p w14:paraId="0BC97BE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E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7BF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7BF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2.58</w:t>
            </w:r>
          </w:p>
        </w:tc>
        <w:tc>
          <w:tcPr>
            <w:tcW w:w="0" w:type="auto"/>
            <w:tcBorders>
              <w:bottom w:val="double" w:sz="6" w:space="0" w:color="000000"/>
            </w:tcBorders>
            <w:shd w:val="clear" w:color="auto" w:fill="auto"/>
            <w:vAlign w:val="bottom"/>
          </w:tcPr>
          <w:p w14:paraId="0BC97BF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F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7BF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7BF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(0.95</w:t>
            </w:r>
          </w:p>
        </w:tc>
        <w:tc>
          <w:tcPr>
            <w:tcW w:w="0" w:type="auto"/>
            <w:tcBorders>
              <w:bottom w:val="double" w:sz="6" w:space="0" w:color="000000"/>
            </w:tcBorders>
            <w:shd w:val="clear" w:color="auto" w:fill="auto"/>
            <w:tcMar>
              <w:top w:w="40" w:type="dxa"/>
              <w:bottom w:w="40" w:type="dxa"/>
              <w:right w:w="40" w:type="dxa"/>
            </w:tcMar>
            <w:vAlign w:val="bottom"/>
          </w:tcPr>
          <w:p w14:paraId="0BC97BF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7BF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7BF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7BF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6.43</w:t>
            </w:r>
          </w:p>
        </w:tc>
        <w:tc>
          <w:tcPr>
            <w:tcW w:w="0" w:type="auto"/>
            <w:tcBorders>
              <w:bottom w:val="double" w:sz="6" w:space="0" w:color="000000"/>
            </w:tcBorders>
            <w:shd w:val="clear" w:color="auto" w:fill="auto"/>
            <w:vAlign w:val="bottom"/>
          </w:tcPr>
          <w:p w14:paraId="0BC97BF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BF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7BF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7BF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1.61</w:t>
            </w:r>
          </w:p>
        </w:tc>
        <w:tc>
          <w:tcPr>
            <w:tcW w:w="0" w:type="auto"/>
            <w:tcBorders>
              <w:bottom w:val="double" w:sz="6" w:space="0" w:color="000000"/>
            </w:tcBorders>
            <w:shd w:val="clear" w:color="auto" w:fill="auto"/>
            <w:vAlign w:val="bottom"/>
          </w:tcPr>
          <w:p w14:paraId="0BC97BFE" w14:textId="77777777" w:rsidR="009F0928" w:rsidRDefault="009F0928">
            <w:pPr>
              <w:textAlignment w:val="bottom"/>
              <w:rPr>
                <w:rFonts w:ascii="Times New Roman" w:hAnsi="Times New Roman"/>
                <w:sz w:val="20"/>
                <w:szCs w:val="20"/>
              </w:rPr>
            </w:pPr>
          </w:p>
        </w:tc>
      </w:tr>
      <w:tr w:rsidR="009F0928" w14:paraId="0BC97C14" w14:textId="77777777">
        <w:tc>
          <w:tcPr>
            <w:tcW w:w="0" w:type="auto"/>
            <w:shd w:val="clear" w:color="auto" w:fill="E2E2E2"/>
            <w:tcMar>
              <w:top w:w="40" w:type="dxa"/>
              <w:left w:w="720" w:type="dxa"/>
              <w:bottom w:w="40" w:type="dxa"/>
              <w:right w:w="40" w:type="dxa"/>
            </w:tcMar>
            <w:vAlign w:val="bottom"/>
          </w:tcPr>
          <w:p w14:paraId="0BC97C00" w14:textId="77777777" w:rsidR="009F0928" w:rsidRDefault="002112BD">
            <w:pPr>
              <w:textAlignment w:val="bottom"/>
              <w:rPr>
                <w:rFonts w:ascii="Times New Roman" w:hAnsi="Times New Roman"/>
                <w:sz w:val="18"/>
                <w:szCs w:val="18"/>
              </w:rPr>
            </w:pPr>
            <w:r>
              <w:rPr>
                <w:rFonts w:ascii="Arial" w:eastAsia="宋体" w:hAnsi="Arial" w:cs="Arial"/>
                <w:sz w:val="18"/>
                <w:szCs w:val="18"/>
              </w:rPr>
              <w:t>Diluted</w:t>
            </w:r>
          </w:p>
        </w:tc>
        <w:tc>
          <w:tcPr>
            <w:tcW w:w="0" w:type="auto"/>
            <w:tcBorders>
              <w:bottom w:val="double" w:sz="6" w:space="0" w:color="000000"/>
            </w:tcBorders>
            <w:shd w:val="clear" w:color="auto" w:fill="E2E2E2"/>
            <w:tcMar>
              <w:top w:w="40" w:type="dxa"/>
              <w:left w:w="40" w:type="dxa"/>
              <w:bottom w:w="40" w:type="dxa"/>
            </w:tcMar>
            <w:vAlign w:val="bottom"/>
          </w:tcPr>
          <w:p w14:paraId="0BC97C0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7C0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2.10</w:t>
            </w:r>
          </w:p>
        </w:tc>
        <w:tc>
          <w:tcPr>
            <w:tcW w:w="0" w:type="auto"/>
            <w:tcBorders>
              <w:bottom w:val="double" w:sz="6" w:space="0" w:color="000000"/>
            </w:tcBorders>
            <w:shd w:val="clear" w:color="auto" w:fill="E2E2E2"/>
            <w:vAlign w:val="bottom"/>
          </w:tcPr>
          <w:p w14:paraId="0BC97C0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7C0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7C0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2.55</w:t>
            </w:r>
          </w:p>
        </w:tc>
        <w:tc>
          <w:tcPr>
            <w:tcW w:w="0" w:type="auto"/>
            <w:tcBorders>
              <w:bottom w:val="double" w:sz="6" w:space="0" w:color="000000"/>
            </w:tcBorders>
            <w:shd w:val="clear" w:color="auto" w:fill="E2E2E2"/>
            <w:vAlign w:val="bottom"/>
          </w:tcPr>
          <w:p w14:paraId="0BC97C0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0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7C0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7C0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(0.95</w:t>
            </w:r>
          </w:p>
        </w:tc>
        <w:tc>
          <w:tcPr>
            <w:tcW w:w="0" w:type="auto"/>
            <w:tcBorders>
              <w:bottom w:val="double" w:sz="6" w:space="0" w:color="000000"/>
            </w:tcBorders>
            <w:shd w:val="clear" w:color="auto" w:fill="E2E2E2"/>
            <w:tcMar>
              <w:top w:w="40" w:type="dxa"/>
              <w:bottom w:w="40" w:type="dxa"/>
              <w:right w:w="40" w:type="dxa"/>
            </w:tcMar>
            <w:vAlign w:val="bottom"/>
          </w:tcPr>
          <w:p w14:paraId="0BC97C0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7C0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7C0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7C0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6.37</w:t>
            </w:r>
          </w:p>
        </w:tc>
        <w:tc>
          <w:tcPr>
            <w:tcW w:w="0" w:type="auto"/>
            <w:tcBorders>
              <w:bottom w:val="double" w:sz="6" w:space="0" w:color="000000"/>
            </w:tcBorders>
            <w:shd w:val="clear" w:color="auto" w:fill="E2E2E2"/>
            <w:vAlign w:val="bottom"/>
          </w:tcPr>
          <w:p w14:paraId="0BC97C0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7C1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7C1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1.60</w:t>
            </w:r>
          </w:p>
        </w:tc>
        <w:tc>
          <w:tcPr>
            <w:tcW w:w="0" w:type="auto"/>
            <w:tcBorders>
              <w:bottom w:val="double" w:sz="6" w:space="0" w:color="000000"/>
            </w:tcBorders>
            <w:shd w:val="clear" w:color="auto" w:fill="E2E2E2"/>
            <w:vAlign w:val="bottom"/>
          </w:tcPr>
          <w:p w14:paraId="0BC97C13" w14:textId="77777777" w:rsidR="009F0928" w:rsidRDefault="009F0928">
            <w:pPr>
              <w:textAlignment w:val="bottom"/>
              <w:rPr>
                <w:rFonts w:ascii="Times New Roman" w:hAnsi="Times New Roman"/>
                <w:sz w:val="20"/>
                <w:szCs w:val="20"/>
              </w:rPr>
            </w:pPr>
          </w:p>
        </w:tc>
      </w:tr>
      <w:tr w:rsidR="009F0928" w14:paraId="0BC97C1F" w14:textId="77777777">
        <w:tc>
          <w:tcPr>
            <w:tcW w:w="0" w:type="auto"/>
            <w:shd w:val="clear" w:color="auto" w:fill="auto"/>
            <w:tcMar>
              <w:top w:w="40" w:type="dxa"/>
              <w:left w:w="40" w:type="dxa"/>
              <w:bottom w:w="40" w:type="dxa"/>
              <w:right w:w="40" w:type="dxa"/>
            </w:tcMar>
            <w:vAlign w:val="bottom"/>
          </w:tcPr>
          <w:p w14:paraId="0BC97C15" w14:textId="77777777" w:rsidR="009F0928" w:rsidRDefault="002112BD">
            <w:pPr>
              <w:textAlignment w:val="bottom"/>
              <w:rPr>
                <w:rFonts w:ascii="Times New Roman" w:hAnsi="Times New Roman"/>
                <w:sz w:val="18"/>
                <w:szCs w:val="18"/>
              </w:rPr>
            </w:pPr>
            <w:r>
              <w:rPr>
                <w:rFonts w:ascii="Arial" w:eastAsia="宋体" w:hAnsi="Arial" w:cs="Arial"/>
                <w:sz w:val="18"/>
                <w:szCs w:val="18"/>
              </w:rPr>
              <w:t>Weighted average shares:</w:t>
            </w:r>
          </w:p>
        </w:tc>
        <w:tc>
          <w:tcPr>
            <w:tcW w:w="0" w:type="auto"/>
            <w:gridSpan w:val="3"/>
            <w:shd w:val="clear" w:color="auto" w:fill="auto"/>
            <w:tcMar>
              <w:top w:w="40" w:type="dxa"/>
              <w:left w:w="40" w:type="dxa"/>
              <w:bottom w:w="40" w:type="dxa"/>
              <w:right w:w="40" w:type="dxa"/>
            </w:tcMar>
            <w:vAlign w:val="bottom"/>
          </w:tcPr>
          <w:p w14:paraId="0BC97C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C1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C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C1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C1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C1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C1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C1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C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7C2F" w14:textId="77777777">
        <w:tc>
          <w:tcPr>
            <w:tcW w:w="0" w:type="auto"/>
            <w:shd w:val="clear" w:color="auto" w:fill="E2E2E2"/>
            <w:tcMar>
              <w:top w:w="40" w:type="dxa"/>
              <w:left w:w="720" w:type="dxa"/>
              <w:bottom w:w="40" w:type="dxa"/>
              <w:right w:w="40" w:type="dxa"/>
            </w:tcMar>
            <w:vAlign w:val="bottom"/>
          </w:tcPr>
          <w:p w14:paraId="0BC97C20" w14:textId="77777777" w:rsidR="009F0928" w:rsidRDefault="002112BD">
            <w:pPr>
              <w:textAlignment w:val="bottom"/>
              <w:rPr>
                <w:rFonts w:ascii="Times New Roman" w:hAnsi="Times New Roman"/>
                <w:sz w:val="18"/>
                <w:szCs w:val="18"/>
              </w:rPr>
            </w:pPr>
            <w:r>
              <w:rPr>
                <w:rFonts w:ascii="Arial" w:eastAsia="宋体" w:hAnsi="Arial" w:cs="Arial"/>
                <w:sz w:val="18"/>
                <w:szCs w:val="18"/>
              </w:rPr>
              <w:t>Basic</w:t>
            </w:r>
          </w:p>
        </w:tc>
        <w:tc>
          <w:tcPr>
            <w:tcW w:w="0" w:type="auto"/>
            <w:gridSpan w:val="2"/>
            <w:tcBorders>
              <w:bottom w:val="double" w:sz="6" w:space="0" w:color="000000"/>
            </w:tcBorders>
            <w:shd w:val="clear" w:color="auto" w:fill="E2E2E2"/>
            <w:tcMar>
              <w:top w:w="40" w:type="dxa"/>
              <w:left w:w="40" w:type="dxa"/>
              <w:bottom w:w="40" w:type="dxa"/>
            </w:tcMar>
            <w:vAlign w:val="bottom"/>
          </w:tcPr>
          <w:p w14:paraId="0BC97C2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849</w:t>
            </w:r>
          </w:p>
        </w:tc>
        <w:tc>
          <w:tcPr>
            <w:tcW w:w="0" w:type="auto"/>
            <w:tcBorders>
              <w:bottom w:val="double" w:sz="6" w:space="0" w:color="000000"/>
            </w:tcBorders>
            <w:shd w:val="clear" w:color="auto" w:fill="E2E2E2"/>
            <w:vAlign w:val="bottom"/>
          </w:tcPr>
          <w:p w14:paraId="0BC97C2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2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E2E2E2"/>
            <w:tcMar>
              <w:top w:w="40" w:type="dxa"/>
              <w:left w:w="40" w:type="dxa"/>
              <w:bottom w:w="40" w:type="dxa"/>
            </w:tcMar>
            <w:vAlign w:val="bottom"/>
          </w:tcPr>
          <w:p w14:paraId="0BC97C2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980</w:t>
            </w:r>
          </w:p>
        </w:tc>
        <w:tc>
          <w:tcPr>
            <w:tcW w:w="0" w:type="auto"/>
            <w:tcBorders>
              <w:bottom w:val="double" w:sz="6" w:space="0" w:color="000000"/>
            </w:tcBorders>
            <w:shd w:val="clear" w:color="auto" w:fill="E2E2E2"/>
            <w:vAlign w:val="bottom"/>
          </w:tcPr>
          <w:p w14:paraId="0BC97C2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2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E2E2E2"/>
            <w:tcMar>
              <w:top w:w="40" w:type="dxa"/>
              <w:left w:w="40" w:type="dxa"/>
              <w:bottom w:w="40" w:type="dxa"/>
            </w:tcMar>
            <w:vAlign w:val="bottom"/>
          </w:tcPr>
          <w:p w14:paraId="0BC97C2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1,064</w:t>
            </w:r>
          </w:p>
        </w:tc>
        <w:tc>
          <w:tcPr>
            <w:tcW w:w="0" w:type="auto"/>
            <w:tcBorders>
              <w:bottom w:val="double" w:sz="6" w:space="0" w:color="000000"/>
            </w:tcBorders>
            <w:shd w:val="clear" w:color="auto" w:fill="E2E2E2"/>
            <w:vAlign w:val="bottom"/>
          </w:tcPr>
          <w:p w14:paraId="0BC97C2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2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E2E2E2"/>
            <w:tcMar>
              <w:top w:w="40" w:type="dxa"/>
              <w:left w:w="40" w:type="dxa"/>
              <w:bottom w:w="40" w:type="dxa"/>
            </w:tcMar>
            <w:vAlign w:val="bottom"/>
          </w:tcPr>
          <w:p w14:paraId="0BC97C2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1,133</w:t>
            </w:r>
          </w:p>
        </w:tc>
        <w:tc>
          <w:tcPr>
            <w:tcW w:w="0" w:type="auto"/>
            <w:tcBorders>
              <w:bottom w:val="double" w:sz="6" w:space="0" w:color="000000"/>
            </w:tcBorders>
            <w:shd w:val="clear" w:color="auto" w:fill="E2E2E2"/>
            <w:vAlign w:val="bottom"/>
          </w:tcPr>
          <w:p w14:paraId="0BC97C2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2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E2E2E2"/>
            <w:tcMar>
              <w:top w:w="40" w:type="dxa"/>
              <w:left w:w="40" w:type="dxa"/>
              <w:bottom w:w="40" w:type="dxa"/>
            </w:tcMar>
            <w:vAlign w:val="bottom"/>
          </w:tcPr>
          <w:p w14:paraId="0BC97C2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1,208</w:t>
            </w:r>
          </w:p>
        </w:tc>
        <w:tc>
          <w:tcPr>
            <w:tcW w:w="0" w:type="auto"/>
            <w:tcBorders>
              <w:bottom w:val="double" w:sz="6" w:space="0" w:color="000000"/>
            </w:tcBorders>
            <w:shd w:val="clear" w:color="auto" w:fill="E2E2E2"/>
            <w:vAlign w:val="bottom"/>
          </w:tcPr>
          <w:p w14:paraId="0BC97C2E" w14:textId="77777777" w:rsidR="009F0928" w:rsidRDefault="009F0928">
            <w:pPr>
              <w:textAlignment w:val="bottom"/>
              <w:rPr>
                <w:rFonts w:ascii="Times New Roman" w:hAnsi="Times New Roman"/>
                <w:sz w:val="20"/>
                <w:szCs w:val="20"/>
              </w:rPr>
            </w:pPr>
          </w:p>
        </w:tc>
      </w:tr>
      <w:tr w:rsidR="009F0928" w14:paraId="0BC97C3F" w14:textId="77777777">
        <w:tc>
          <w:tcPr>
            <w:tcW w:w="0" w:type="auto"/>
            <w:shd w:val="clear" w:color="auto" w:fill="auto"/>
            <w:tcMar>
              <w:top w:w="40" w:type="dxa"/>
              <w:left w:w="720" w:type="dxa"/>
              <w:bottom w:w="40" w:type="dxa"/>
              <w:right w:w="40" w:type="dxa"/>
            </w:tcMar>
            <w:vAlign w:val="bottom"/>
          </w:tcPr>
          <w:p w14:paraId="0BC97C30" w14:textId="77777777" w:rsidR="009F0928" w:rsidRDefault="002112BD">
            <w:pPr>
              <w:textAlignment w:val="bottom"/>
              <w:rPr>
                <w:rFonts w:ascii="Times New Roman" w:hAnsi="Times New Roman"/>
                <w:sz w:val="18"/>
                <w:szCs w:val="18"/>
              </w:rPr>
            </w:pPr>
            <w:r>
              <w:rPr>
                <w:rFonts w:ascii="Arial" w:eastAsia="宋体" w:hAnsi="Arial" w:cs="Arial"/>
                <w:sz w:val="18"/>
                <w:szCs w:val="18"/>
              </w:rPr>
              <w:t>Diluted</w:t>
            </w:r>
          </w:p>
        </w:tc>
        <w:tc>
          <w:tcPr>
            <w:tcW w:w="0" w:type="auto"/>
            <w:gridSpan w:val="2"/>
            <w:tcBorders>
              <w:bottom w:val="double" w:sz="6" w:space="0" w:color="000000"/>
            </w:tcBorders>
            <w:shd w:val="clear" w:color="auto" w:fill="auto"/>
            <w:tcMar>
              <w:top w:w="40" w:type="dxa"/>
              <w:left w:w="40" w:type="dxa"/>
              <w:bottom w:w="40" w:type="dxa"/>
            </w:tcMar>
            <w:vAlign w:val="bottom"/>
          </w:tcPr>
          <w:p w14:paraId="0BC97C3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856</w:t>
            </w:r>
          </w:p>
        </w:tc>
        <w:tc>
          <w:tcPr>
            <w:tcW w:w="0" w:type="auto"/>
            <w:tcBorders>
              <w:bottom w:val="double" w:sz="6" w:space="0" w:color="000000"/>
            </w:tcBorders>
            <w:shd w:val="clear" w:color="auto" w:fill="auto"/>
            <w:vAlign w:val="bottom"/>
          </w:tcPr>
          <w:p w14:paraId="0BC97C32" w14:textId="77777777" w:rsidR="009F0928" w:rsidRDefault="009F0928">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0BC97C3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BC97C3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991</w:t>
            </w:r>
          </w:p>
        </w:tc>
        <w:tc>
          <w:tcPr>
            <w:tcW w:w="0" w:type="auto"/>
            <w:tcBorders>
              <w:bottom w:val="double" w:sz="6" w:space="0" w:color="000000"/>
            </w:tcBorders>
            <w:shd w:val="clear" w:color="auto" w:fill="auto"/>
            <w:vAlign w:val="bottom"/>
          </w:tcPr>
          <w:p w14:paraId="0BC97C35" w14:textId="77777777" w:rsidR="009F0928" w:rsidRDefault="009F0928">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0BC97C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BC97C3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1,064</w:t>
            </w:r>
          </w:p>
        </w:tc>
        <w:tc>
          <w:tcPr>
            <w:tcW w:w="0" w:type="auto"/>
            <w:tcBorders>
              <w:bottom w:val="double" w:sz="6" w:space="0" w:color="000000"/>
            </w:tcBorders>
            <w:shd w:val="clear" w:color="auto" w:fill="auto"/>
            <w:vAlign w:val="bottom"/>
          </w:tcPr>
          <w:p w14:paraId="0BC97C38" w14:textId="77777777" w:rsidR="009F0928" w:rsidRDefault="009F0928">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0BC97C3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BC97C3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1,144</w:t>
            </w:r>
          </w:p>
        </w:tc>
        <w:tc>
          <w:tcPr>
            <w:tcW w:w="0" w:type="auto"/>
            <w:tcBorders>
              <w:bottom w:val="double" w:sz="6" w:space="0" w:color="000000"/>
            </w:tcBorders>
            <w:shd w:val="clear" w:color="auto" w:fill="auto"/>
            <w:vAlign w:val="bottom"/>
          </w:tcPr>
          <w:p w14:paraId="0BC97C3B" w14:textId="77777777" w:rsidR="009F0928" w:rsidRDefault="009F0928">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0BC97C3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BC97C3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1,220</w:t>
            </w:r>
          </w:p>
        </w:tc>
        <w:tc>
          <w:tcPr>
            <w:tcW w:w="0" w:type="auto"/>
            <w:tcBorders>
              <w:bottom w:val="double" w:sz="6" w:space="0" w:color="000000"/>
            </w:tcBorders>
            <w:shd w:val="clear" w:color="auto" w:fill="auto"/>
            <w:vAlign w:val="bottom"/>
          </w:tcPr>
          <w:p w14:paraId="0BC97C3E" w14:textId="77777777" w:rsidR="009F0928" w:rsidRDefault="009F0928">
            <w:pPr>
              <w:textAlignment w:val="bottom"/>
              <w:rPr>
                <w:rFonts w:ascii="Times New Roman" w:hAnsi="Times New Roman"/>
                <w:sz w:val="20"/>
                <w:szCs w:val="20"/>
              </w:rPr>
            </w:pPr>
          </w:p>
        </w:tc>
      </w:tr>
    </w:tbl>
    <w:p w14:paraId="0BC97C40" w14:textId="77777777" w:rsidR="009F0928" w:rsidRDefault="009F0928">
      <w:pPr>
        <w:rPr>
          <w:rFonts w:ascii="Times New Roman" w:hAnsi="Times New Roman"/>
          <w:sz w:val="20"/>
          <w:szCs w:val="20"/>
        </w:rPr>
      </w:pPr>
    </w:p>
    <w:p w14:paraId="0BC97C41"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35</w:t>
      </w:r>
    </w:p>
    <w:p w14:paraId="0BC97C42" w14:textId="77777777" w:rsidR="009F0928" w:rsidRDefault="002112BD">
      <w:r>
        <w:rPr>
          <w:rFonts w:ascii="Times New Roman" w:hAnsi="Times New Roman"/>
          <w:sz w:val="18"/>
          <w:szCs w:val="18"/>
        </w:rPr>
        <w:pict w14:anchorId="0BC9B4E0">
          <v:rect id="_x0000_i1060" style="width:415.3pt;height:1.5pt" o:hralign="center" o:hrstd="t" o:hr="t" fillcolor="#a0a0a0" stroked="f"/>
        </w:pict>
      </w:r>
    </w:p>
    <w:p w14:paraId="0BC97C43" w14:textId="77777777" w:rsidR="009F0928" w:rsidRDefault="009F0928">
      <w:pPr>
        <w:spacing w:line="288" w:lineRule="auto"/>
        <w:rPr>
          <w:rFonts w:ascii="Times New Roman" w:hAnsi="Times New Roman"/>
          <w:sz w:val="20"/>
          <w:szCs w:val="20"/>
        </w:rPr>
      </w:pPr>
    </w:p>
    <w:p w14:paraId="0BC97C44" w14:textId="77777777" w:rsidR="009F0928" w:rsidRDefault="009F0928">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3361"/>
        <w:gridCol w:w="142"/>
        <w:gridCol w:w="704"/>
        <w:gridCol w:w="39"/>
        <w:gridCol w:w="130"/>
        <w:gridCol w:w="141"/>
        <w:gridCol w:w="704"/>
        <w:gridCol w:w="39"/>
        <w:gridCol w:w="130"/>
        <w:gridCol w:w="141"/>
        <w:gridCol w:w="704"/>
        <w:gridCol w:w="39"/>
        <w:gridCol w:w="130"/>
        <w:gridCol w:w="141"/>
        <w:gridCol w:w="705"/>
        <w:gridCol w:w="40"/>
        <w:gridCol w:w="130"/>
        <w:gridCol w:w="141"/>
        <w:gridCol w:w="705"/>
        <w:gridCol w:w="40"/>
      </w:tblGrid>
      <w:tr w:rsidR="009F0928" w14:paraId="0BC97C46" w14:textId="77777777">
        <w:tc>
          <w:tcPr>
            <w:tcW w:w="0" w:type="auto"/>
            <w:gridSpan w:val="20"/>
            <w:shd w:val="clear" w:color="auto" w:fill="auto"/>
            <w:vAlign w:val="center"/>
          </w:tcPr>
          <w:p w14:paraId="0BC97C45" w14:textId="77777777" w:rsidR="009F0928" w:rsidRDefault="009F0928">
            <w:pPr>
              <w:rPr>
                <w:rFonts w:ascii="Times New Roman" w:hAnsi="Times New Roman"/>
                <w:sz w:val="20"/>
                <w:szCs w:val="20"/>
              </w:rPr>
            </w:pPr>
          </w:p>
        </w:tc>
      </w:tr>
      <w:tr w:rsidR="009F0928" w14:paraId="0BC97C5B" w14:textId="77777777">
        <w:tc>
          <w:tcPr>
            <w:tcW w:w="2050" w:type="pct"/>
            <w:shd w:val="clear" w:color="auto" w:fill="auto"/>
            <w:vAlign w:val="center"/>
          </w:tcPr>
          <w:p w14:paraId="0BC97C47" w14:textId="77777777" w:rsidR="009F0928" w:rsidRDefault="009F0928">
            <w:pPr>
              <w:rPr>
                <w:rFonts w:ascii="Times New Roman" w:hAnsi="Times New Roman"/>
                <w:sz w:val="20"/>
                <w:szCs w:val="20"/>
              </w:rPr>
            </w:pPr>
          </w:p>
        </w:tc>
        <w:tc>
          <w:tcPr>
            <w:tcW w:w="50" w:type="pct"/>
            <w:shd w:val="clear" w:color="auto" w:fill="auto"/>
            <w:vAlign w:val="center"/>
          </w:tcPr>
          <w:p w14:paraId="0BC97C48" w14:textId="77777777" w:rsidR="009F0928" w:rsidRDefault="009F0928">
            <w:pPr>
              <w:rPr>
                <w:rFonts w:ascii="Times New Roman" w:hAnsi="Times New Roman"/>
                <w:sz w:val="20"/>
                <w:szCs w:val="20"/>
              </w:rPr>
            </w:pPr>
          </w:p>
        </w:tc>
        <w:tc>
          <w:tcPr>
            <w:tcW w:w="450" w:type="pct"/>
            <w:shd w:val="clear" w:color="auto" w:fill="auto"/>
            <w:vAlign w:val="center"/>
          </w:tcPr>
          <w:p w14:paraId="0BC97C49" w14:textId="77777777" w:rsidR="009F0928" w:rsidRDefault="009F0928">
            <w:pPr>
              <w:rPr>
                <w:rFonts w:ascii="Times New Roman" w:hAnsi="Times New Roman"/>
                <w:sz w:val="20"/>
                <w:szCs w:val="20"/>
              </w:rPr>
            </w:pPr>
          </w:p>
        </w:tc>
        <w:tc>
          <w:tcPr>
            <w:tcW w:w="50" w:type="pct"/>
            <w:shd w:val="clear" w:color="auto" w:fill="auto"/>
            <w:vAlign w:val="center"/>
          </w:tcPr>
          <w:p w14:paraId="0BC97C4A" w14:textId="77777777" w:rsidR="009F0928" w:rsidRDefault="009F0928">
            <w:pPr>
              <w:rPr>
                <w:rFonts w:ascii="Times New Roman" w:hAnsi="Times New Roman"/>
                <w:sz w:val="20"/>
                <w:szCs w:val="20"/>
              </w:rPr>
            </w:pPr>
          </w:p>
        </w:tc>
        <w:tc>
          <w:tcPr>
            <w:tcW w:w="50" w:type="pct"/>
            <w:shd w:val="clear" w:color="auto" w:fill="auto"/>
            <w:vAlign w:val="center"/>
          </w:tcPr>
          <w:p w14:paraId="0BC97C4B" w14:textId="77777777" w:rsidR="009F0928" w:rsidRDefault="009F0928">
            <w:pPr>
              <w:rPr>
                <w:rFonts w:ascii="Times New Roman" w:hAnsi="Times New Roman"/>
                <w:sz w:val="20"/>
                <w:szCs w:val="20"/>
              </w:rPr>
            </w:pPr>
          </w:p>
        </w:tc>
        <w:tc>
          <w:tcPr>
            <w:tcW w:w="50" w:type="pct"/>
            <w:shd w:val="clear" w:color="auto" w:fill="auto"/>
            <w:vAlign w:val="center"/>
          </w:tcPr>
          <w:p w14:paraId="0BC97C4C" w14:textId="77777777" w:rsidR="009F0928" w:rsidRDefault="009F0928">
            <w:pPr>
              <w:rPr>
                <w:rFonts w:ascii="Times New Roman" w:hAnsi="Times New Roman"/>
                <w:sz w:val="20"/>
                <w:szCs w:val="20"/>
              </w:rPr>
            </w:pPr>
          </w:p>
        </w:tc>
        <w:tc>
          <w:tcPr>
            <w:tcW w:w="450" w:type="pct"/>
            <w:shd w:val="clear" w:color="auto" w:fill="auto"/>
            <w:vAlign w:val="center"/>
          </w:tcPr>
          <w:p w14:paraId="0BC97C4D" w14:textId="77777777" w:rsidR="009F0928" w:rsidRDefault="009F0928">
            <w:pPr>
              <w:rPr>
                <w:rFonts w:ascii="Times New Roman" w:hAnsi="Times New Roman"/>
                <w:sz w:val="20"/>
                <w:szCs w:val="20"/>
              </w:rPr>
            </w:pPr>
          </w:p>
        </w:tc>
        <w:tc>
          <w:tcPr>
            <w:tcW w:w="50" w:type="pct"/>
            <w:shd w:val="clear" w:color="auto" w:fill="auto"/>
            <w:vAlign w:val="center"/>
          </w:tcPr>
          <w:p w14:paraId="0BC97C4E" w14:textId="77777777" w:rsidR="009F0928" w:rsidRDefault="009F0928">
            <w:pPr>
              <w:rPr>
                <w:rFonts w:ascii="Times New Roman" w:hAnsi="Times New Roman"/>
                <w:sz w:val="20"/>
                <w:szCs w:val="20"/>
              </w:rPr>
            </w:pPr>
          </w:p>
        </w:tc>
        <w:tc>
          <w:tcPr>
            <w:tcW w:w="50" w:type="pct"/>
            <w:shd w:val="clear" w:color="auto" w:fill="auto"/>
            <w:vAlign w:val="center"/>
          </w:tcPr>
          <w:p w14:paraId="0BC97C4F" w14:textId="77777777" w:rsidR="009F0928" w:rsidRDefault="009F0928">
            <w:pPr>
              <w:rPr>
                <w:rFonts w:ascii="Times New Roman" w:hAnsi="Times New Roman"/>
                <w:sz w:val="20"/>
                <w:szCs w:val="20"/>
              </w:rPr>
            </w:pPr>
          </w:p>
        </w:tc>
        <w:tc>
          <w:tcPr>
            <w:tcW w:w="50" w:type="pct"/>
            <w:shd w:val="clear" w:color="auto" w:fill="auto"/>
            <w:vAlign w:val="center"/>
          </w:tcPr>
          <w:p w14:paraId="0BC97C50" w14:textId="77777777" w:rsidR="009F0928" w:rsidRDefault="009F0928">
            <w:pPr>
              <w:rPr>
                <w:rFonts w:ascii="Times New Roman" w:hAnsi="Times New Roman"/>
                <w:sz w:val="20"/>
                <w:szCs w:val="20"/>
              </w:rPr>
            </w:pPr>
          </w:p>
        </w:tc>
        <w:tc>
          <w:tcPr>
            <w:tcW w:w="450" w:type="pct"/>
            <w:shd w:val="clear" w:color="auto" w:fill="auto"/>
            <w:vAlign w:val="center"/>
          </w:tcPr>
          <w:p w14:paraId="0BC97C51" w14:textId="77777777" w:rsidR="009F0928" w:rsidRDefault="009F0928">
            <w:pPr>
              <w:rPr>
                <w:rFonts w:ascii="Times New Roman" w:hAnsi="Times New Roman"/>
                <w:sz w:val="20"/>
                <w:szCs w:val="20"/>
              </w:rPr>
            </w:pPr>
          </w:p>
        </w:tc>
        <w:tc>
          <w:tcPr>
            <w:tcW w:w="50" w:type="pct"/>
            <w:shd w:val="clear" w:color="auto" w:fill="auto"/>
            <w:vAlign w:val="center"/>
          </w:tcPr>
          <w:p w14:paraId="0BC97C52" w14:textId="77777777" w:rsidR="009F0928" w:rsidRDefault="009F0928">
            <w:pPr>
              <w:rPr>
                <w:rFonts w:ascii="Times New Roman" w:hAnsi="Times New Roman"/>
                <w:sz w:val="20"/>
                <w:szCs w:val="20"/>
              </w:rPr>
            </w:pPr>
          </w:p>
        </w:tc>
        <w:tc>
          <w:tcPr>
            <w:tcW w:w="50" w:type="pct"/>
            <w:shd w:val="clear" w:color="auto" w:fill="auto"/>
            <w:vAlign w:val="center"/>
          </w:tcPr>
          <w:p w14:paraId="0BC97C53" w14:textId="77777777" w:rsidR="009F0928" w:rsidRDefault="009F0928">
            <w:pPr>
              <w:rPr>
                <w:rFonts w:ascii="Times New Roman" w:hAnsi="Times New Roman"/>
                <w:sz w:val="20"/>
                <w:szCs w:val="20"/>
              </w:rPr>
            </w:pPr>
          </w:p>
        </w:tc>
        <w:tc>
          <w:tcPr>
            <w:tcW w:w="50" w:type="pct"/>
            <w:shd w:val="clear" w:color="auto" w:fill="auto"/>
            <w:vAlign w:val="center"/>
          </w:tcPr>
          <w:p w14:paraId="0BC97C54" w14:textId="77777777" w:rsidR="009F0928" w:rsidRDefault="009F0928">
            <w:pPr>
              <w:rPr>
                <w:rFonts w:ascii="Times New Roman" w:hAnsi="Times New Roman"/>
                <w:sz w:val="20"/>
                <w:szCs w:val="20"/>
              </w:rPr>
            </w:pPr>
          </w:p>
        </w:tc>
        <w:tc>
          <w:tcPr>
            <w:tcW w:w="450" w:type="pct"/>
            <w:shd w:val="clear" w:color="auto" w:fill="auto"/>
            <w:vAlign w:val="center"/>
          </w:tcPr>
          <w:p w14:paraId="0BC97C55" w14:textId="77777777" w:rsidR="009F0928" w:rsidRDefault="009F0928">
            <w:pPr>
              <w:rPr>
                <w:rFonts w:ascii="Times New Roman" w:hAnsi="Times New Roman"/>
                <w:sz w:val="20"/>
                <w:szCs w:val="20"/>
              </w:rPr>
            </w:pPr>
          </w:p>
        </w:tc>
        <w:tc>
          <w:tcPr>
            <w:tcW w:w="50" w:type="pct"/>
            <w:shd w:val="clear" w:color="auto" w:fill="auto"/>
            <w:vAlign w:val="center"/>
          </w:tcPr>
          <w:p w14:paraId="0BC97C56" w14:textId="77777777" w:rsidR="009F0928" w:rsidRDefault="009F0928">
            <w:pPr>
              <w:rPr>
                <w:rFonts w:ascii="Times New Roman" w:hAnsi="Times New Roman"/>
                <w:sz w:val="20"/>
                <w:szCs w:val="20"/>
              </w:rPr>
            </w:pPr>
          </w:p>
        </w:tc>
        <w:tc>
          <w:tcPr>
            <w:tcW w:w="50" w:type="pct"/>
            <w:shd w:val="clear" w:color="auto" w:fill="auto"/>
            <w:vAlign w:val="center"/>
          </w:tcPr>
          <w:p w14:paraId="0BC97C57" w14:textId="77777777" w:rsidR="009F0928" w:rsidRDefault="009F0928">
            <w:pPr>
              <w:rPr>
                <w:rFonts w:ascii="Times New Roman" w:hAnsi="Times New Roman"/>
                <w:sz w:val="20"/>
                <w:szCs w:val="20"/>
              </w:rPr>
            </w:pPr>
          </w:p>
        </w:tc>
        <w:tc>
          <w:tcPr>
            <w:tcW w:w="50" w:type="pct"/>
            <w:shd w:val="clear" w:color="auto" w:fill="auto"/>
            <w:vAlign w:val="center"/>
          </w:tcPr>
          <w:p w14:paraId="0BC97C58" w14:textId="77777777" w:rsidR="009F0928" w:rsidRDefault="009F0928">
            <w:pPr>
              <w:rPr>
                <w:rFonts w:ascii="Times New Roman" w:hAnsi="Times New Roman"/>
                <w:sz w:val="20"/>
                <w:szCs w:val="20"/>
              </w:rPr>
            </w:pPr>
          </w:p>
        </w:tc>
        <w:tc>
          <w:tcPr>
            <w:tcW w:w="450" w:type="pct"/>
            <w:shd w:val="clear" w:color="auto" w:fill="auto"/>
            <w:vAlign w:val="center"/>
          </w:tcPr>
          <w:p w14:paraId="0BC97C59" w14:textId="77777777" w:rsidR="009F0928" w:rsidRDefault="009F0928">
            <w:pPr>
              <w:rPr>
                <w:rFonts w:ascii="Times New Roman" w:hAnsi="Times New Roman"/>
                <w:sz w:val="20"/>
                <w:szCs w:val="20"/>
              </w:rPr>
            </w:pPr>
          </w:p>
        </w:tc>
        <w:tc>
          <w:tcPr>
            <w:tcW w:w="50" w:type="pct"/>
            <w:shd w:val="clear" w:color="auto" w:fill="auto"/>
            <w:vAlign w:val="center"/>
          </w:tcPr>
          <w:p w14:paraId="0BC97C5A" w14:textId="77777777" w:rsidR="009F0928" w:rsidRDefault="009F0928">
            <w:pPr>
              <w:rPr>
                <w:rFonts w:ascii="Times New Roman" w:hAnsi="Times New Roman"/>
                <w:sz w:val="20"/>
                <w:szCs w:val="20"/>
              </w:rPr>
            </w:pPr>
          </w:p>
        </w:tc>
      </w:tr>
      <w:tr w:rsidR="009F0928" w14:paraId="0BC97C5E" w14:textId="77777777">
        <w:tc>
          <w:tcPr>
            <w:tcW w:w="0" w:type="auto"/>
            <w:shd w:val="clear" w:color="auto" w:fill="auto"/>
            <w:tcMar>
              <w:top w:w="40" w:type="dxa"/>
              <w:left w:w="40" w:type="dxa"/>
              <w:bottom w:w="40" w:type="dxa"/>
              <w:right w:w="40" w:type="dxa"/>
            </w:tcMar>
            <w:vAlign w:val="bottom"/>
          </w:tcPr>
          <w:p w14:paraId="0BC97C5C"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0BC97C5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As of December 31,</w:t>
            </w:r>
          </w:p>
        </w:tc>
      </w:tr>
      <w:tr w:rsidR="009F0928" w14:paraId="0BC97C69" w14:textId="77777777">
        <w:tc>
          <w:tcPr>
            <w:tcW w:w="0" w:type="auto"/>
            <w:shd w:val="clear" w:color="auto" w:fill="auto"/>
            <w:tcMar>
              <w:top w:w="40" w:type="dxa"/>
              <w:left w:w="40" w:type="dxa"/>
              <w:bottom w:w="40" w:type="dxa"/>
              <w:right w:w="40" w:type="dxa"/>
            </w:tcMar>
            <w:vAlign w:val="bottom"/>
          </w:tcPr>
          <w:p w14:paraId="0BC97C5F"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C6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0BC97C6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C62"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2018 </w:t>
            </w:r>
            <w:r>
              <w:rPr>
                <w:rFonts w:ascii="Arial" w:eastAsia="宋体" w:hAnsi="Arial" w:cs="Arial"/>
                <w:b/>
                <w:bCs/>
                <w:sz w:val="10"/>
                <w:szCs w:val="10"/>
              </w:rPr>
              <w:t>(6)</w:t>
            </w:r>
          </w:p>
        </w:tc>
        <w:tc>
          <w:tcPr>
            <w:tcW w:w="0" w:type="auto"/>
            <w:tcBorders>
              <w:top w:val="single" w:sz="8" w:space="0" w:color="000000"/>
            </w:tcBorders>
            <w:shd w:val="clear" w:color="auto" w:fill="auto"/>
            <w:tcMar>
              <w:top w:w="40" w:type="dxa"/>
              <w:left w:w="40" w:type="dxa"/>
              <w:bottom w:w="40" w:type="dxa"/>
              <w:right w:w="40" w:type="dxa"/>
            </w:tcMar>
            <w:vAlign w:val="bottom"/>
          </w:tcPr>
          <w:p w14:paraId="0BC97C6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C64"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2017 </w:t>
            </w:r>
            <w:r>
              <w:rPr>
                <w:rFonts w:ascii="Arial" w:eastAsia="宋体" w:hAnsi="Arial" w:cs="Arial"/>
                <w:b/>
                <w:bCs/>
                <w:sz w:val="10"/>
                <w:szCs w:val="10"/>
              </w:rPr>
              <w:t>(4) (7)</w:t>
            </w:r>
          </w:p>
        </w:tc>
        <w:tc>
          <w:tcPr>
            <w:tcW w:w="0" w:type="auto"/>
            <w:tcBorders>
              <w:top w:val="single" w:sz="8" w:space="0" w:color="000000"/>
            </w:tcBorders>
            <w:shd w:val="clear" w:color="auto" w:fill="auto"/>
            <w:tcMar>
              <w:top w:w="40" w:type="dxa"/>
              <w:left w:w="40" w:type="dxa"/>
              <w:bottom w:w="40" w:type="dxa"/>
              <w:right w:w="40" w:type="dxa"/>
            </w:tcMar>
            <w:vAlign w:val="bottom"/>
          </w:tcPr>
          <w:p w14:paraId="0BC97C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C6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2016</w:t>
            </w:r>
            <w:r>
              <w:rPr>
                <w:rFonts w:ascii="Arial" w:eastAsia="宋体" w:hAnsi="Arial" w:cs="Arial"/>
                <w:b/>
                <w:bCs/>
                <w:sz w:val="10"/>
                <w:szCs w:val="10"/>
              </w:rPr>
              <w:t> (4) (8)</w:t>
            </w:r>
          </w:p>
        </w:tc>
        <w:tc>
          <w:tcPr>
            <w:tcW w:w="0" w:type="auto"/>
            <w:tcBorders>
              <w:top w:val="single" w:sz="8" w:space="0" w:color="000000"/>
            </w:tcBorders>
            <w:shd w:val="clear" w:color="auto" w:fill="auto"/>
            <w:tcMar>
              <w:top w:w="40" w:type="dxa"/>
              <w:left w:w="40" w:type="dxa"/>
              <w:bottom w:w="40" w:type="dxa"/>
              <w:right w:w="40" w:type="dxa"/>
            </w:tcMar>
            <w:vAlign w:val="bottom"/>
          </w:tcPr>
          <w:p w14:paraId="0BC97C6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C68"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2015</w:t>
            </w:r>
          </w:p>
        </w:tc>
      </w:tr>
      <w:tr w:rsidR="009F0928" w14:paraId="0BC97C6C" w14:textId="77777777">
        <w:tc>
          <w:tcPr>
            <w:tcW w:w="0" w:type="auto"/>
            <w:shd w:val="clear" w:color="auto" w:fill="auto"/>
            <w:tcMar>
              <w:top w:w="40" w:type="dxa"/>
              <w:left w:w="40" w:type="dxa"/>
              <w:bottom w:w="40" w:type="dxa"/>
              <w:right w:w="40" w:type="dxa"/>
            </w:tcMar>
            <w:vAlign w:val="bottom"/>
          </w:tcPr>
          <w:p w14:paraId="0BC97C6A"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19"/>
            <w:shd w:val="clear" w:color="auto" w:fill="auto"/>
            <w:tcMar>
              <w:top w:w="40" w:type="dxa"/>
              <w:left w:w="40" w:type="dxa"/>
              <w:bottom w:w="40" w:type="dxa"/>
            </w:tcMar>
            <w:vAlign w:val="bottom"/>
          </w:tcPr>
          <w:p w14:paraId="0BC97C6B"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(In millions)</w:t>
            </w:r>
          </w:p>
        </w:tc>
      </w:tr>
      <w:tr w:rsidR="009F0928" w14:paraId="0BC97C77" w14:textId="77777777">
        <w:tc>
          <w:tcPr>
            <w:tcW w:w="0" w:type="auto"/>
            <w:shd w:val="clear" w:color="auto" w:fill="E2E2E2"/>
            <w:tcMar>
              <w:top w:w="40" w:type="dxa"/>
              <w:left w:w="40" w:type="dxa"/>
              <w:bottom w:w="40" w:type="dxa"/>
              <w:right w:w="40" w:type="dxa"/>
            </w:tcMar>
            <w:vAlign w:val="bottom"/>
          </w:tcPr>
          <w:p w14:paraId="0BC97C6D"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 xml:space="preserve">Consolidated Balance Sheet Data: </w:t>
            </w:r>
            <w:r>
              <w:rPr>
                <w:rFonts w:ascii="Arial" w:eastAsia="宋体" w:hAnsi="Arial" w:cs="Arial"/>
                <w:b/>
                <w:bCs/>
                <w:sz w:val="12"/>
                <w:szCs w:val="12"/>
              </w:rPr>
              <w:t>(1)</w:t>
            </w:r>
          </w:p>
        </w:tc>
        <w:tc>
          <w:tcPr>
            <w:tcW w:w="0" w:type="auto"/>
            <w:gridSpan w:val="3"/>
            <w:shd w:val="clear" w:color="auto" w:fill="E2E2E2"/>
            <w:tcMar>
              <w:top w:w="40" w:type="dxa"/>
              <w:left w:w="40" w:type="dxa"/>
              <w:bottom w:w="40" w:type="dxa"/>
              <w:right w:w="40" w:type="dxa"/>
            </w:tcMar>
            <w:vAlign w:val="bottom"/>
          </w:tcPr>
          <w:p w14:paraId="0BC97C6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C6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7C7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C7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7C7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C7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7C7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C7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7C7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7C8C" w14:textId="77777777">
        <w:tc>
          <w:tcPr>
            <w:tcW w:w="0" w:type="auto"/>
            <w:shd w:val="clear" w:color="auto" w:fill="auto"/>
            <w:tcMar>
              <w:top w:w="40" w:type="dxa"/>
              <w:left w:w="40" w:type="dxa"/>
              <w:bottom w:w="40" w:type="dxa"/>
              <w:right w:w="40" w:type="dxa"/>
            </w:tcMar>
            <w:vAlign w:val="bottom"/>
          </w:tcPr>
          <w:p w14:paraId="0BC97C78" w14:textId="77777777" w:rsidR="009F0928" w:rsidRDefault="002112BD">
            <w:pPr>
              <w:textAlignment w:val="bottom"/>
              <w:rPr>
                <w:rFonts w:ascii="Times New Roman" w:hAnsi="Times New Roman"/>
                <w:sz w:val="18"/>
                <w:szCs w:val="18"/>
              </w:rPr>
            </w:pPr>
            <w:r>
              <w:rPr>
                <w:rFonts w:ascii="Arial" w:eastAsia="宋体" w:hAnsi="Arial" w:cs="Arial"/>
                <w:sz w:val="18"/>
                <w:szCs w:val="18"/>
              </w:rPr>
              <w:t>Cash and cash equivalents</w:t>
            </w:r>
          </w:p>
        </w:tc>
        <w:tc>
          <w:tcPr>
            <w:tcW w:w="0" w:type="auto"/>
            <w:shd w:val="clear" w:color="auto" w:fill="auto"/>
            <w:tcMar>
              <w:top w:w="40" w:type="dxa"/>
              <w:left w:w="40" w:type="dxa"/>
              <w:bottom w:w="40" w:type="dxa"/>
            </w:tcMar>
            <w:vAlign w:val="bottom"/>
          </w:tcPr>
          <w:p w14:paraId="0BC97C7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7C7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975</w:t>
            </w:r>
          </w:p>
        </w:tc>
        <w:tc>
          <w:tcPr>
            <w:tcW w:w="0" w:type="auto"/>
            <w:shd w:val="clear" w:color="auto" w:fill="auto"/>
            <w:vAlign w:val="bottom"/>
          </w:tcPr>
          <w:p w14:paraId="0BC97C7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C7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C7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7C7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2,202</w:t>
            </w:r>
          </w:p>
        </w:tc>
        <w:tc>
          <w:tcPr>
            <w:tcW w:w="0" w:type="auto"/>
            <w:shd w:val="clear" w:color="auto" w:fill="auto"/>
            <w:vAlign w:val="bottom"/>
          </w:tcPr>
          <w:p w14:paraId="0BC97C7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C8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C8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7C8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2,120</w:t>
            </w:r>
          </w:p>
        </w:tc>
        <w:tc>
          <w:tcPr>
            <w:tcW w:w="0" w:type="auto"/>
            <w:shd w:val="clear" w:color="auto" w:fill="auto"/>
            <w:vAlign w:val="bottom"/>
          </w:tcPr>
          <w:p w14:paraId="0BC97C8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C8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C8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7C8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1,816</w:t>
            </w:r>
          </w:p>
        </w:tc>
        <w:tc>
          <w:tcPr>
            <w:tcW w:w="0" w:type="auto"/>
            <w:shd w:val="clear" w:color="auto" w:fill="auto"/>
            <w:vAlign w:val="bottom"/>
          </w:tcPr>
          <w:p w14:paraId="0BC97C8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C8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C8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7C8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1,832</w:t>
            </w:r>
          </w:p>
        </w:tc>
        <w:tc>
          <w:tcPr>
            <w:tcW w:w="0" w:type="auto"/>
            <w:shd w:val="clear" w:color="auto" w:fill="auto"/>
            <w:vAlign w:val="bottom"/>
          </w:tcPr>
          <w:p w14:paraId="0BC97C8B" w14:textId="77777777" w:rsidR="009F0928" w:rsidRDefault="009F0928">
            <w:pPr>
              <w:textAlignment w:val="bottom"/>
              <w:rPr>
                <w:rFonts w:ascii="Times New Roman" w:hAnsi="Times New Roman"/>
                <w:sz w:val="20"/>
                <w:szCs w:val="20"/>
              </w:rPr>
            </w:pPr>
          </w:p>
        </w:tc>
      </w:tr>
      <w:tr w:rsidR="009F0928" w14:paraId="0BC97C9C" w14:textId="77777777">
        <w:tc>
          <w:tcPr>
            <w:tcW w:w="0" w:type="auto"/>
            <w:shd w:val="clear" w:color="auto" w:fill="E2E2E2"/>
            <w:tcMar>
              <w:top w:w="40" w:type="dxa"/>
              <w:left w:w="40" w:type="dxa"/>
              <w:bottom w:w="40" w:type="dxa"/>
              <w:right w:w="40" w:type="dxa"/>
            </w:tcMar>
            <w:vAlign w:val="bottom"/>
          </w:tcPr>
          <w:p w14:paraId="0BC97C8D" w14:textId="77777777" w:rsidR="009F0928" w:rsidRDefault="002112BD">
            <w:pPr>
              <w:textAlignment w:val="bottom"/>
              <w:rPr>
                <w:rFonts w:ascii="Times New Roman" w:hAnsi="Times New Roman"/>
                <w:sz w:val="18"/>
                <w:szCs w:val="18"/>
              </w:rPr>
            </w:pPr>
            <w:r>
              <w:rPr>
                <w:rFonts w:ascii="Arial" w:eastAsia="宋体" w:hAnsi="Arial" w:cs="Arial"/>
                <w:sz w:val="18"/>
                <w:szCs w:val="18"/>
              </w:rPr>
              <w:t>Short-term investments</w:t>
            </w:r>
          </w:p>
        </w:tc>
        <w:tc>
          <w:tcPr>
            <w:tcW w:w="0" w:type="auto"/>
            <w:gridSpan w:val="2"/>
            <w:shd w:val="clear" w:color="auto" w:fill="E2E2E2"/>
            <w:tcMar>
              <w:top w:w="40" w:type="dxa"/>
              <w:left w:w="40" w:type="dxa"/>
              <w:bottom w:w="40" w:type="dxa"/>
            </w:tcMar>
            <w:vAlign w:val="bottom"/>
          </w:tcPr>
          <w:p w14:paraId="0BC97C8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1,850</w:t>
            </w:r>
          </w:p>
        </w:tc>
        <w:tc>
          <w:tcPr>
            <w:tcW w:w="0" w:type="auto"/>
            <w:shd w:val="clear" w:color="auto" w:fill="E2E2E2"/>
            <w:vAlign w:val="bottom"/>
          </w:tcPr>
          <w:p w14:paraId="0BC97C8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C9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2,713</w:t>
            </w:r>
          </w:p>
        </w:tc>
        <w:tc>
          <w:tcPr>
            <w:tcW w:w="0" w:type="auto"/>
            <w:shd w:val="clear" w:color="auto" w:fill="E2E2E2"/>
            <w:vAlign w:val="bottom"/>
          </w:tcPr>
          <w:p w14:paraId="0BC97C9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C9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3,743</w:t>
            </w:r>
          </w:p>
        </w:tc>
        <w:tc>
          <w:tcPr>
            <w:tcW w:w="0" w:type="auto"/>
            <w:shd w:val="clear" w:color="auto" w:fill="E2E2E2"/>
            <w:vAlign w:val="bottom"/>
          </w:tcPr>
          <w:p w14:paraId="0BC97C9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9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C9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5,333</w:t>
            </w:r>
          </w:p>
        </w:tc>
        <w:tc>
          <w:tcPr>
            <w:tcW w:w="0" w:type="auto"/>
            <w:shd w:val="clear" w:color="auto" w:fill="E2E2E2"/>
            <w:vAlign w:val="bottom"/>
          </w:tcPr>
          <w:p w14:paraId="0BC97C9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9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C9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4,299</w:t>
            </w:r>
          </w:p>
        </w:tc>
        <w:tc>
          <w:tcPr>
            <w:tcW w:w="0" w:type="auto"/>
            <w:shd w:val="clear" w:color="auto" w:fill="E2E2E2"/>
            <w:vAlign w:val="bottom"/>
          </w:tcPr>
          <w:p w14:paraId="0BC97C9B" w14:textId="77777777" w:rsidR="009F0928" w:rsidRDefault="009F0928">
            <w:pPr>
              <w:textAlignment w:val="bottom"/>
              <w:rPr>
                <w:rFonts w:ascii="Times New Roman" w:hAnsi="Times New Roman"/>
                <w:sz w:val="20"/>
                <w:szCs w:val="20"/>
              </w:rPr>
            </w:pPr>
          </w:p>
        </w:tc>
      </w:tr>
      <w:tr w:rsidR="009F0928" w14:paraId="0BC97CAC" w14:textId="77777777">
        <w:tc>
          <w:tcPr>
            <w:tcW w:w="0" w:type="auto"/>
            <w:shd w:val="clear" w:color="auto" w:fill="auto"/>
            <w:tcMar>
              <w:top w:w="40" w:type="dxa"/>
              <w:left w:w="40" w:type="dxa"/>
              <w:bottom w:w="40" w:type="dxa"/>
              <w:right w:w="40" w:type="dxa"/>
            </w:tcMar>
            <w:vAlign w:val="bottom"/>
          </w:tcPr>
          <w:p w14:paraId="0BC97C9D" w14:textId="77777777" w:rsidR="009F0928" w:rsidRDefault="002112BD">
            <w:pPr>
              <w:textAlignment w:val="bottom"/>
              <w:rPr>
                <w:rFonts w:ascii="Times New Roman" w:hAnsi="Times New Roman"/>
                <w:sz w:val="18"/>
                <w:szCs w:val="18"/>
              </w:rPr>
            </w:pPr>
            <w:r>
              <w:rPr>
                <w:rFonts w:ascii="Arial" w:eastAsia="宋体" w:hAnsi="Arial" w:cs="Arial"/>
                <w:sz w:val="18"/>
                <w:szCs w:val="18"/>
              </w:rPr>
              <w:t>Long-term investments</w:t>
            </w:r>
          </w:p>
        </w:tc>
        <w:tc>
          <w:tcPr>
            <w:tcW w:w="0" w:type="auto"/>
            <w:gridSpan w:val="2"/>
            <w:shd w:val="clear" w:color="auto" w:fill="auto"/>
            <w:tcMar>
              <w:top w:w="40" w:type="dxa"/>
              <w:left w:w="40" w:type="dxa"/>
              <w:bottom w:w="40" w:type="dxa"/>
            </w:tcMar>
            <w:vAlign w:val="bottom"/>
          </w:tcPr>
          <w:p w14:paraId="0BC97C9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1,316</w:t>
            </w:r>
          </w:p>
        </w:tc>
        <w:tc>
          <w:tcPr>
            <w:tcW w:w="0" w:type="auto"/>
            <w:shd w:val="clear" w:color="auto" w:fill="auto"/>
            <w:vAlign w:val="bottom"/>
          </w:tcPr>
          <w:p w14:paraId="0BC97C9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C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CA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3,778</w:t>
            </w:r>
          </w:p>
        </w:tc>
        <w:tc>
          <w:tcPr>
            <w:tcW w:w="0" w:type="auto"/>
            <w:shd w:val="clear" w:color="auto" w:fill="auto"/>
            <w:vAlign w:val="bottom"/>
          </w:tcPr>
          <w:p w14:paraId="0BC97CA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CA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CA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6,331</w:t>
            </w:r>
          </w:p>
        </w:tc>
        <w:tc>
          <w:tcPr>
            <w:tcW w:w="0" w:type="auto"/>
            <w:shd w:val="clear" w:color="auto" w:fill="auto"/>
            <w:vAlign w:val="bottom"/>
          </w:tcPr>
          <w:p w14:paraId="0BC97CA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C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CA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3,969</w:t>
            </w:r>
          </w:p>
        </w:tc>
        <w:tc>
          <w:tcPr>
            <w:tcW w:w="0" w:type="auto"/>
            <w:shd w:val="clear" w:color="auto" w:fill="auto"/>
            <w:vAlign w:val="bottom"/>
          </w:tcPr>
          <w:p w14:paraId="0BC97CA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C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CA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3,391</w:t>
            </w:r>
          </w:p>
        </w:tc>
        <w:tc>
          <w:tcPr>
            <w:tcW w:w="0" w:type="auto"/>
            <w:shd w:val="clear" w:color="auto" w:fill="auto"/>
            <w:vAlign w:val="bottom"/>
          </w:tcPr>
          <w:p w14:paraId="0BC97CAB" w14:textId="77777777" w:rsidR="009F0928" w:rsidRDefault="009F0928">
            <w:pPr>
              <w:textAlignment w:val="bottom"/>
              <w:rPr>
                <w:rFonts w:ascii="Times New Roman" w:hAnsi="Times New Roman"/>
                <w:sz w:val="20"/>
                <w:szCs w:val="20"/>
              </w:rPr>
            </w:pPr>
          </w:p>
        </w:tc>
      </w:tr>
      <w:tr w:rsidR="009F0928" w14:paraId="0BC97CBC" w14:textId="77777777">
        <w:tc>
          <w:tcPr>
            <w:tcW w:w="0" w:type="auto"/>
            <w:shd w:val="clear" w:color="auto" w:fill="E2E2E2"/>
            <w:tcMar>
              <w:top w:w="40" w:type="dxa"/>
              <w:left w:w="400" w:type="dxa"/>
              <w:bottom w:w="40" w:type="dxa"/>
              <w:right w:w="40" w:type="dxa"/>
            </w:tcMar>
            <w:vAlign w:val="bottom"/>
          </w:tcPr>
          <w:p w14:paraId="0BC97CAD" w14:textId="77777777" w:rsidR="009F0928" w:rsidRDefault="002112BD">
            <w:pPr>
              <w:textAlignment w:val="bottom"/>
              <w:rPr>
                <w:rFonts w:ascii="Times New Roman" w:hAnsi="Times New Roman"/>
                <w:sz w:val="18"/>
                <w:szCs w:val="18"/>
              </w:rPr>
            </w:pPr>
            <w:r>
              <w:rPr>
                <w:rFonts w:ascii="Arial" w:eastAsia="宋体" w:hAnsi="Arial" w:cs="Arial"/>
                <w:sz w:val="18"/>
                <w:szCs w:val="18"/>
              </w:rPr>
              <w:t>Working capital - continuing operations</w:t>
            </w:r>
          </w:p>
        </w:tc>
        <w:tc>
          <w:tcPr>
            <w:tcW w:w="0" w:type="auto"/>
            <w:gridSpan w:val="2"/>
            <w:shd w:val="clear" w:color="auto" w:fill="E2E2E2"/>
            <w:tcMar>
              <w:top w:w="40" w:type="dxa"/>
              <w:left w:w="40" w:type="dxa"/>
              <w:bottom w:w="40" w:type="dxa"/>
            </w:tcMar>
            <w:vAlign w:val="bottom"/>
          </w:tcPr>
          <w:p w14:paraId="0BC97CA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640</w:t>
            </w:r>
          </w:p>
        </w:tc>
        <w:tc>
          <w:tcPr>
            <w:tcW w:w="0" w:type="auto"/>
            <w:shd w:val="clear" w:color="auto" w:fill="E2E2E2"/>
            <w:vAlign w:val="bottom"/>
          </w:tcPr>
          <w:p w14:paraId="0BC97CA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CB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2,672</w:t>
            </w:r>
          </w:p>
        </w:tc>
        <w:tc>
          <w:tcPr>
            <w:tcW w:w="0" w:type="auto"/>
            <w:shd w:val="clear" w:color="auto" w:fill="E2E2E2"/>
            <w:vAlign w:val="bottom"/>
          </w:tcPr>
          <w:p w14:paraId="0BC97CB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CB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4,185</w:t>
            </w:r>
          </w:p>
        </w:tc>
        <w:tc>
          <w:tcPr>
            <w:tcW w:w="0" w:type="auto"/>
            <w:shd w:val="clear" w:color="auto" w:fill="E2E2E2"/>
            <w:vAlign w:val="bottom"/>
          </w:tcPr>
          <w:p w14:paraId="0BC97CB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CB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5,010</w:t>
            </w:r>
          </w:p>
        </w:tc>
        <w:tc>
          <w:tcPr>
            <w:tcW w:w="0" w:type="auto"/>
            <w:shd w:val="clear" w:color="auto" w:fill="E2E2E2"/>
            <w:vAlign w:val="bottom"/>
          </w:tcPr>
          <w:p w14:paraId="0BC97CB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B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CB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5,641</w:t>
            </w:r>
          </w:p>
        </w:tc>
        <w:tc>
          <w:tcPr>
            <w:tcW w:w="0" w:type="auto"/>
            <w:shd w:val="clear" w:color="auto" w:fill="E2E2E2"/>
            <w:vAlign w:val="bottom"/>
          </w:tcPr>
          <w:p w14:paraId="0BC97CBB" w14:textId="77777777" w:rsidR="009F0928" w:rsidRDefault="009F0928">
            <w:pPr>
              <w:textAlignment w:val="bottom"/>
              <w:rPr>
                <w:rFonts w:ascii="Times New Roman" w:hAnsi="Times New Roman"/>
                <w:sz w:val="20"/>
                <w:szCs w:val="20"/>
              </w:rPr>
            </w:pPr>
          </w:p>
        </w:tc>
      </w:tr>
      <w:tr w:rsidR="009F0928" w14:paraId="0BC97CCC" w14:textId="77777777">
        <w:tc>
          <w:tcPr>
            <w:tcW w:w="0" w:type="auto"/>
            <w:shd w:val="clear" w:color="auto" w:fill="auto"/>
            <w:tcMar>
              <w:top w:w="40" w:type="dxa"/>
              <w:left w:w="40" w:type="dxa"/>
              <w:bottom w:w="40" w:type="dxa"/>
              <w:right w:w="40" w:type="dxa"/>
            </w:tcMar>
            <w:vAlign w:val="bottom"/>
          </w:tcPr>
          <w:p w14:paraId="0BC97CBD"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Working capital total </w:t>
            </w:r>
            <w:r>
              <w:rPr>
                <w:rFonts w:ascii="Arial" w:eastAsia="宋体" w:hAnsi="Arial" w:cs="Arial"/>
                <w:sz w:val="12"/>
                <w:szCs w:val="12"/>
              </w:rPr>
              <w:t>(2)(3)</w:t>
            </w:r>
          </w:p>
        </w:tc>
        <w:tc>
          <w:tcPr>
            <w:tcW w:w="0" w:type="auto"/>
            <w:gridSpan w:val="2"/>
            <w:shd w:val="clear" w:color="auto" w:fill="auto"/>
            <w:tcMar>
              <w:top w:w="40" w:type="dxa"/>
              <w:left w:w="40" w:type="dxa"/>
              <w:bottom w:w="40" w:type="dxa"/>
            </w:tcMar>
            <w:vAlign w:val="bottom"/>
          </w:tcPr>
          <w:p w14:paraId="0BC97CB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640</w:t>
            </w:r>
          </w:p>
        </w:tc>
        <w:tc>
          <w:tcPr>
            <w:tcW w:w="0" w:type="auto"/>
            <w:shd w:val="clear" w:color="auto" w:fill="auto"/>
            <w:vAlign w:val="bottom"/>
          </w:tcPr>
          <w:p w14:paraId="0BC97CB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C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CC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2,672</w:t>
            </w:r>
          </w:p>
        </w:tc>
        <w:tc>
          <w:tcPr>
            <w:tcW w:w="0" w:type="auto"/>
            <w:shd w:val="clear" w:color="auto" w:fill="auto"/>
            <w:vAlign w:val="bottom"/>
          </w:tcPr>
          <w:p w14:paraId="0BC97CC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CC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CC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4,185</w:t>
            </w:r>
          </w:p>
        </w:tc>
        <w:tc>
          <w:tcPr>
            <w:tcW w:w="0" w:type="auto"/>
            <w:shd w:val="clear" w:color="auto" w:fill="auto"/>
            <w:vAlign w:val="bottom"/>
          </w:tcPr>
          <w:p w14:paraId="0BC97CC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CC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CC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5,010</w:t>
            </w:r>
          </w:p>
        </w:tc>
        <w:tc>
          <w:tcPr>
            <w:tcW w:w="0" w:type="auto"/>
            <w:shd w:val="clear" w:color="auto" w:fill="auto"/>
            <w:vAlign w:val="bottom"/>
          </w:tcPr>
          <w:p w14:paraId="0BC97CC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CC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CC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5,641</w:t>
            </w:r>
          </w:p>
        </w:tc>
        <w:tc>
          <w:tcPr>
            <w:tcW w:w="0" w:type="auto"/>
            <w:shd w:val="clear" w:color="auto" w:fill="auto"/>
            <w:vAlign w:val="bottom"/>
          </w:tcPr>
          <w:p w14:paraId="0BC97CCB" w14:textId="77777777" w:rsidR="009F0928" w:rsidRDefault="009F0928">
            <w:pPr>
              <w:textAlignment w:val="bottom"/>
              <w:rPr>
                <w:rFonts w:ascii="Times New Roman" w:hAnsi="Times New Roman"/>
                <w:sz w:val="20"/>
                <w:szCs w:val="20"/>
              </w:rPr>
            </w:pPr>
          </w:p>
        </w:tc>
      </w:tr>
      <w:tr w:rsidR="009F0928" w14:paraId="0BC97CDC" w14:textId="77777777">
        <w:tc>
          <w:tcPr>
            <w:tcW w:w="0" w:type="auto"/>
            <w:shd w:val="clear" w:color="auto" w:fill="E2E2E2"/>
            <w:tcMar>
              <w:top w:w="40" w:type="dxa"/>
              <w:left w:w="400" w:type="dxa"/>
              <w:bottom w:w="40" w:type="dxa"/>
              <w:right w:w="40" w:type="dxa"/>
            </w:tcMar>
            <w:vAlign w:val="bottom"/>
          </w:tcPr>
          <w:p w14:paraId="0BC97CCD"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assets - continuing operations</w:t>
            </w:r>
          </w:p>
        </w:tc>
        <w:tc>
          <w:tcPr>
            <w:tcW w:w="0" w:type="auto"/>
            <w:gridSpan w:val="2"/>
            <w:shd w:val="clear" w:color="auto" w:fill="E2E2E2"/>
            <w:tcMar>
              <w:top w:w="40" w:type="dxa"/>
              <w:left w:w="40" w:type="dxa"/>
              <w:bottom w:w="40" w:type="dxa"/>
            </w:tcMar>
            <w:vAlign w:val="bottom"/>
          </w:tcPr>
          <w:p w14:paraId="0BC97CC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18,174</w:t>
            </w:r>
          </w:p>
        </w:tc>
        <w:tc>
          <w:tcPr>
            <w:tcW w:w="0" w:type="auto"/>
            <w:shd w:val="clear" w:color="auto" w:fill="E2E2E2"/>
            <w:vAlign w:val="bottom"/>
          </w:tcPr>
          <w:p w14:paraId="0BC97CC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CD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22,819</w:t>
            </w:r>
          </w:p>
        </w:tc>
        <w:tc>
          <w:tcPr>
            <w:tcW w:w="0" w:type="auto"/>
            <w:shd w:val="clear" w:color="auto" w:fill="E2E2E2"/>
            <w:vAlign w:val="bottom"/>
          </w:tcPr>
          <w:p w14:paraId="0BC97CD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CD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25,986</w:t>
            </w:r>
          </w:p>
        </w:tc>
        <w:tc>
          <w:tcPr>
            <w:tcW w:w="0" w:type="auto"/>
            <w:shd w:val="clear" w:color="auto" w:fill="E2E2E2"/>
            <w:vAlign w:val="bottom"/>
          </w:tcPr>
          <w:p w14:paraId="0BC97CD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D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CD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23,851</w:t>
            </w:r>
          </w:p>
        </w:tc>
        <w:tc>
          <w:tcPr>
            <w:tcW w:w="0" w:type="auto"/>
            <w:shd w:val="clear" w:color="auto" w:fill="E2E2E2"/>
            <w:vAlign w:val="bottom"/>
          </w:tcPr>
          <w:p w14:paraId="0BC97CD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CD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17,785</w:t>
            </w:r>
          </w:p>
        </w:tc>
        <w:tc>
          <w:tcPr>
            <w:tcW w:w="0" w:type="auto"/>
            <w:shd w:val="clear" w:color="auto" w:fill="E2E2E2"/>
            <w:vAlign w:val="bottom"/>
          </w:tcPr>
          <w:p w14:paraId="0BC97CDB" w14:textId="77777777" w:rsidR="009F0928" w:rsidRDefault="009F0928">
            <w:pPr>
              <w:textAlignment w:val="bottom"/>
              <w:rPr>
                <w:rFonts w:ascii="Times New Roman" w:hAnsi="Times New Roman"/>
                <w:sz w:val="20"/>
                <w:szCs w:val="20"/>
              </w:rPr>
            </w:pPr>
          </w:p>
        </w:tc>
      </w:tr>
      <w:tr w:rsidR="009F0928" w14:paraId="0BC97CEC" w14:textId="77777777">
        <w:tc>
          <w:tcPr>
            <w:tcW w:w="0" w:type="auto"/>
            <w:shd w:val="clear" w:color="auto" w:fill="auto"/>
            <w:tcMar>
              <w:top w:w="40" w:type="dxa"/>
              <w:left w:w="40" w:type="dxa"/>
              <w:bottom w:w="40" w:type="dxa"/>
              <w:right w:w="40" w:type="dxa"/>
            </w:tcMar>
            <w:vAlign w:val="bottom"/>
          </w:tcPr>
          <w:p w14:paraId="0BC97CDD"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assets</w:t>
            </w:r>
          </w:p>
        </w:tc>
        <w:tc>
          <w:tcPr>
            <w:tcW w:w="0" w:type="auto"/>
            <w:gridSpan w:val="2"/>
            <w:shd w:val="clear" w:color="auto" w:fill="auto"/>
            <w:tcMar>
              <w:top w:w="40" w:type="dxa"/>
              <w:left w:w="40" w:type="dxa"/>
              <w:bottom w:w="40" w:type="dxa"/>
            </w:tcMar>
            <w:vAlign w:val="bottom"/>
          </w:tcPr>
          <w:p w14:paraId="0BC97CD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18,174</w:t>
            </w:r>
          </w:p>
        </w:tc>
        <w:tc>
          <w:tcPr>
            <w:tcW w:w="0" w:type="auto"/>
            <w:shd w:val="clear" w:color="auto" w:fill="auto"/>
            <w:vAlign w:val="bottom"/>
          </w:tcPr>
          <w:p w14:paraId="0BC97CD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CE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CE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22,819</w:t>
            </w:r>
          </w:p>
        </w:tc>
        <w:tc>
          <w:tcPr>
            <w:tcW w:w="0" w:type="auto"/>
            <w:shd w:val="clear" w:color="auto" w:fill="auto"/>
            <w:vAlign w:val="bottom"/>
          </w:tcPr>
          <w:p w14:paraId="0BC97CE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C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CE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25,986</w:t>
            </w:r>
          </w:p>
        </w:tc>
        <w:tc>
          <w:tcPr>
            <w:tcW w:w="0" w:type="auto"/>
            <w:shd w:val="clear" w:color="auto" w:fill="auto"/>
            <w:vAlign w:val="bottom"/>
          </w:tcPr>
          <w:p w14:paraId="0BC97CE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C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CE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23,851</w:t>
            </w:r>
          </w:p>
        </w:tc>
        <w:tc>
          <w:tcPr>
            <w:tcW w:w="0" w:type="auto"/>
            <w:shd w:val="clear" w:color="auto" w:fill="auto"/>
            <w:vAlign w:val="bottom"/>
          </w:tcPr>
          <w:p w14:paraId="0BC97CE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CE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CE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17,785</w:t>
            </w:r>
          </w:p>
        </w:tc>
        <w:tc>
          <w:tcPr>
            <w:tcW w:w="0" w:type="auto"/>
            <w:shd w:val="clear" w:color="auto" w:fill="auto"/>
            <w:vAlign w:val="bottom"/>
          </w:tcPr>
          <w:p w14:paraId="0BC97CEB" w14:textId="77777777" w:rsidR="009F0928" w:rsidRDefault="009F0928">
            <w:pPr>
              <w:textAlignment w:val="bottom"/>
              <w:rPr>
                <w:rFonts w:ascii="Times New Roman" w:hAnsi="Times New Roman"/>
                <w:sz w:val="20"/>
                <w:szCs w:val="20"/>
              </w:rPr>
            </w:pPr>
          </w:p>
        </w:tc>
      </w:tr>
      <w:tr w:rsidR="009F0928" w14:paraId="0BC97CFC" w14:textId="77777777">
        <w:tc>
          <w:tcPr>
            <w:tcW w:w="0" w:type="auto"/>
            <w:shd w:val="clear" w:color="auto" w:fill="E2E2E2"/>
            <w:tcMar>
              <w:top w:w="40" w:type="dxa"/>
              <w:left w:w="40" w:type="dxa"/>
              <w:bottom w:w="40" w:type="dxa"/>
              <w:right w:w="40" w:type="dxa"/>
            </w:tcMar>
            <w:vAlign w:val="bottom"/>
          </w:tcPr>
          <w:p w14:paraId="0BC97CED" w14:textId="77777777" w:rsidR="009F0928" w:rsidRDefault="002112BD">
            <w:pPr>
              <w:textAlignment w:val="bottom"/>
              <w:rPr>
                <w:rFonts w:ascii="Times New Roman" w:hAnsi="Times New Roman"/>
                <w:sz w:val="18"/>
                <w:szCs w:val="18"/>
              </w:rPr>
            </w:pPr>
            <w:r>
              <w:rPr>
                <w:rFonts w:ascii="Arial" w:eastAsia="宋体" w:hAnsi="Arial" w:cs="Arial"/>
                <w:sz w:val="18"/>
                <w:szCs w:val="18"/>
              </w:rPr>
              <w:t>Short-term debt</w:t>
            </w:r>
          </w:p>
        </w:tc>
        <w:tc>
          <w:tcPr>
            <w:tcW w:w="0" w:type="auto"/>
            <w:gridSpan w:val="2"/>
            <w:shd w:val="clear" w:color="auto" w:fill="E2E2E2"/>
            <w:tcMar>
              <w:top w:w="40" w:type="dxa"/>
              <w:left w:w="40" w:type="dxa"/>
              <w:bottom w:w="40" w:type="dxa"/>
            </w:tcMar>
            <w:vAlign w:val="bottom"/>
          </w:tcPr>
          <w:p w14:paraId="0BC97CE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1,022</w:t>
            </w:r>
          </w:p>
        </w:tc>
        <w:tc>
          <w:tcPr>
            <w:tcW w:w="0" w:type="auto"/>
            <w:shd w:val="clear" w:color="auto" w:fill="E2E2E2"/>
            <w:vAlign w:val="bottom"/>
          </w:tcPr>
          <w:p w14:paraId="0BC97CE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F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CF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1,546</w:t>
            </w:r>
          </w:p>
        </w:tc>
        <w:tc>
          <w:tcPr>
            <w:tcW w:w="0" w:type="auto"/>
            <w:shd w:val="clear" w:color="auto" w:fill="E2E2E2"/>
            <w:vAlign w:val="bottom"/>
          </w:tcPr>
          <w:p w14:paraId="0BC97CF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F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CF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781</w:t>
            </w:r>
          </w:p>
        </w:tc>
        <w:tc>
          <w:tcPr>
            <w:tcW w:w="0" w:type="auto"/>
            <w:shd w:val="clear" w:color="auto" w:fill="E2E2E2"/>
            <w:vAlign w:val="bottom"/>
          </w:tcPr>
          <w:p w14:paraId="0BC97CF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CF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1,451</w:t>
            </w:r>
          </w:p>
        </w:tc>
        <w:tc>
          <w:tcPr>
            <w:tcW w:w="0" w:type="auto"/>
            <w:shd w:val="clear" w:color="auto" w:fill="E2E2E2"/>
            <w:vAlign w:val="bottom"/>
          </w:tcPr>
          <w:p w14:paraId="0BC97CF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C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CF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7CFB" w14:textId="77777777" w:rsidR="009F0928" w:rsidRDefault="009F0928">
            <w:pPr>
              <w:textAlignment w:val="bottom"/>
              <w:rPr>
                <w:rFonts w:ascii="Times New Roman" w:hAnsi="Times New Roman"/>
                <w:sz w:val="20"/>
                <w:szCs w:val="20"/>
              </w:rPr>
            </w:pPr>
          </w:p>
        </w:tc>
      </w:tr>
      <w:tr w:rsidR="009F0928" w14:paraId="0BC97D0C" w14:textId="77777777">
        <w:tc>
          <w:tcPr>
            <w:tcW w:w="0" w:type="auto"/>
            <w:shd w:val="clear" w:color="auto" w:fill="auto"/>
            <w:tcMar>
              <w:top w:w="40" w:type="dxa"/>
              <w:left w:w="40" w:type="dxa"/>
              <w:bottom w:w="40" w:type="dxa"/>
              <w:right w:w="40" w:type="dxa"/>
            </w:tcMar>
            <w:vAlign w:val="bottom"/>
          </w:tcPr>
          <w:p w14:paraId="0BC97CFD" w14:textId="77777777" w:rsidR="009F0928" w:rsidRDefault="002112BD">
            <w:pPr>
              <w:textAlignment w:val="bottom"/>
              <w:rPr>
                <w:rFonts w:ascii="Times New Roman" w:hAnsi="Times New Roman"/>
                <w:sz w:val="18"/>
                <w:szCs w:val="18"/>
              </w:rPr>
            </w:pPr>
            <w:r>
              <w:rPr>
                <w:rFonts w:ascii="Arial" w:eastAsia="宋体" w:hAnsi="Arial" w:cs="Arial"/>
                <w:sz w:val="18"/>
                <w:szCs w:val="18"/>
              </w:rPr>
              <w:t>Long-term debt</w:t>
            </w:r>
          </w:p>
        </w:tc>
        <w:tc>
          <w:tcPr>
            <w:tcW w:w="0" w:type="auto"/>
            <w:gridSpan w:val="2"/>
            <w:shd w:val="clear" w:color="auto" w:fill="auto"/>
            <w:tcMar>
              <w:top w:w="40" w:type="dxa"/>
              <w:left w:w="40" w:type="dxa"/>
              <w:bottom w:w="40" w:type="dxa"/>
            </w:tcMar>
            <w:vAlign w:val="bottom"/>
          </w:tcPr>
          <w:p w14:paraId="0BC97CF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6,738</w:t>
            </w:r>
          </w:p>
        </w:tc>
        <w:tc>
          <w:tcPr>
            <w:tcW w:w="0" w:type="auto"/>
            <w:shd w:val="clear" w:color="auto" w:fill="auto"/>
            <w:vAlign w:val="bottom"/>
          </w:tcPr>
          <w:p w14:paraId="0BC97CF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D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D0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7,685</w:t>
            </w:r>
          </w:p>
        </w:tc>
        <w:tc>
          <w:tcPr>
            <w:tcW w:w="0" w:type="auto"/>
            <w:shd w:val="clear" w:color="auto" w:fill="auto"/>
            <w:vAlign w:val="bottom"/>
          </w:tcPr>
          <w:p w14:paraId="0BC97D0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D0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D0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9,234</w:t>
            </w:r>
          </w:p>
        </w:tc>
        <w:tc>
          <w:tcPr>
            <w:tcW w:w="0" w:type="auto"/>
            <w:shd w:val="clear" w:color="auto" w:fill="auto"/>
            <w:vAlign w:val="bottom"/>
          </w:tcPr>
          <w:p w14:paraId="0BC97D0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D0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D0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7,509</w:t>
            </w:r>
          </w:p>
        </w:tc>
        <w:tc>
          <w:tcPr>
            <w:tcW w:w="0" w:type="auto"/>
            <w:shd w:val="clear" w:color="auto" w:fill="auto"/>
            <w:vAlign w:val="bottom"/>
          </w:tcPr>
          <w:p w14:paraId="0BC97D0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D0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D0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6,779</w:t>
            </w:r>
          </w:p>
        </w:tc>
        <w:tc>
          <w:tcPr>
            <w:tcW w:w="0" w:type="auto"/>
            <w:shd w:val="clear" w:color="auto" w:fill="auto"/>
            <w:vAlign w:val="bottom"/>
          </w:tcPr>
          <w:p w14:paraId="0BC97D0B" w14:textId="77777777" w:rsidR="009F0928" w:rsidRDefault="009F0928">
            <w:pPr>
              <w:textAlignment w:val="bottom"/>
              <w:rPr>
                <w:rFonts w:ascii="Times New Roman" w:hAnsi="Times New Roman"/>
                <w:sz w:val="20"/>
                <w:szCs w:val="20"/>
              </w:rPr>
            </w:pPr>
          </w:p>
        </w:tc>
      </w:tr>
      <w:tr w:rsidR="009F0928" w14:paraId="0BC97D1C" w14:textId="77777777">
        <w:tc>
          <w:tcPr>
            <w:tcW w:w="0" w:type="auto"/>
            <w:shd w:val="clear" w:color="auto" w:fill="E2E2E2"/>
            <w:tcMar>
              <w:top w:w="40" w:type="dxa"/>
              <w:left w:w="40" w:type="dxa"/>
              <w:bottom w:w="40" w:type="dxa"/>
              <w:right w:w="40" w:type="dxa"/>
            </w:tcMar>
            <w:vAlign w:val="bottom"/>
          </w:tcPr>
          <w:p w14:paraId="0BC97D0D"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Total stockholders’ equity </w:t>
            </w:r>
            <w:r>
              <w:rPr>
                <w:rFonts w:ascii="Arial" w:eastAsia="宋体" w:hAnsi="Arial" w:cs="Arial"/>
                <w:sz w:val="12"/>
                <w:szCs w:val="12"/>
              </w:rPr>
              <w:t>(5)</w:t>
            </w:r>
          </w:p>
        </w:tc>
        <w:tc>
          <w:tcPr>
            <w:tcW w:w="0" w:type="auto"/>
            <w:gridSpan w:val="2"/>
            <w:shd w:val="clear" w:color="auto" w:fill="E2E2E2"/>
            <w:tcMar>
              <w:top w:w="40" w:type="dxa"/>
              <w:left w:w="40" w:type="dxa"/>
              <w:bottom w:w="40" w:type="dxa"/>
            </w:tcMar>
            <w:vAlign w:val="bottom"/>
          </w:tcPr>
          <w:p w14:paraId="0BC97D0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2,870</w:t>
            </w:r>
          </w:p>
        </w:tc>
        <w:tc>
          <w:tcPr>
            <w:tcW w:w="0" w:type="auto"/>
            <w:shd w:val="clear" w:color="auto" w:fill="E2E2E2"/>
            <w:vAlign w:val="bottom"/>
          </w:tcPr>
          <w:p w14:paraId="0BC97D0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D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D1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6,281</w:t>
            </w:r>
          </w:p>
        </w:tc>
        <w:tc>
          <w:tcPr>
            <w:tcW w:w="0" w:type="auto"/>
            <w:shd w:val="clear" w:color="auto" w:fill="E2E2E2"/>
            <w:vAlign w:val="bottom"/>
          </w:tcPr>
          <w:p w14:paraId="0BC97D1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D1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D1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8,049</w:t>
            </w:r>
          </w:p>
        </w:tc>
        <w:tc>
          <w:tcPr>
            <w:tcW w:w="0" w:type="auto"/>
            <w:shd w:val="clear" w:color="auto" w:fill="E2E2E2"/>
            <w:vAlign w:val="bottom"/>
          </w:tcPr>
          <w:p w14:paraId="0BC97D1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D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D1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10,526</w:t>
            </w:r>
          </w:p>
        </w:tc>
        <w:tc>
          <w:tcPr>
            <w:tcW w:w="0" w:type="auto"/>
            <w:shd w:val="clear" w:color="auto" w:fill="E2E2E2"/>
            <w:vAlign w:val="bottom"/>
          </w:tcPr>
          <w:p w14:paraId="0BC97D1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D1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D1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6,576</w:t>
            </w:r>
          </w:p>
        </w:tc>
        <w:tc>
          <w:tcPr>
            <w:tcW w:w="0" w:type="auto"/>
            <w:shd w:val="clear" w:color="auto" w:fill="E2E2E2"/>
            <w:vAlign w:val="bottom"/>
          </w:tcPr>
          <w:p w14:paraId="0BC97D1B" w14:textId="77777777" w:rsidR="009F0928" w:rsidRDefault="009F0928">
            <w:pPr>
              <w:textAlignment w:val="bottom"/>
              <w:rPr>
                <w:rFonts w:ascii="Times New Roman" w:hAnsi="Times New Roman"/>
                <w:sz w:val="20"/>
                <w:szCs w:val="20"/>
              </w:rPr>
            </w:pPr>
          </w:p>
        </w:tc>
      </w:tr>
      <w:tr w:rsidR="009F0928" w14:paraId="0BC97D31" w14:textId="77777777">
        <w:tc>
          <w:tcPr>
            <w:tcW w:w="0" w:type="auto"/>
            <w:shd w:val="clear" w:color="auto" w:fill="auto"/>
            <w:tcMar>
              <w:top w:w="40" w:type="dxa"/>
              <w:left w:w="40" w:type="dxa"/>
              <w:bottom w:w="40" w:type="dxa"/>
              <w:right w:w="40" w:type="dxa"/>
            </w:tcMar>
            <w:vAlign w:val="bottom"/>
          </w:tcPr>
          <w:p w14:paraId="0BC97D1D" w14:textId="77777777" w:rsidR="009F0928" w:rsidRDefault="002112BD">
            <w:pPr>
              <w:textAlignment w:val="bottom"/>
              <w:rPr>
                <w:rFonts w:ascii="Times New Roman" w:hAnsi="Times New Roman"/>
                <w:sz w:val="18"/>
                <w:szCs w:val="18"/>
              </w:rPr>
            </w:pPr>
            <w:r>
              <w:rPr>
                <w:rFonts w:ascii="Arial" w:eastAsia="宋体" w:hAnsi="Arial" w:cs="Arial"/>
                <w:sz w:val="18"/>
                <w:szCs w:val="18"/>
              </w:rPr>
              <w:t>Dividends declared per share:</w:t>
            </w:r>
          </w:p>
        </w:tc>
        <w:tc>
          <w:tcPr>
            <w:tcW w:w="0" w:type="auto"/>
            <w:shd w:val="clear" w:color="auto" w:fill="auto"/>
            <w:tcMar>
              <w:top w:w="40" w:type="dxa"/>
              <w:left w:w="40" w:type="dxa"/>
              <w:bottom w:w="40" w:type="dxa"/>
            </w:tcMar>
            <w:vAlign w:val="bottom"/>
          </w:tcPr>
          <w:p w14:paraId="0BC97D1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7D1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0.56</w:t>
            </w:r>
          </w:p>
        </w:tc>
        <w:tc>
          <w:tcPr>
            <w:tcW w:w="0" w:type="auto"/>
            <w:shd w:val="clear" w:color="auto" w:fill="auto"/>
            <w:vAlign w:val="bottom"/>
          </w:tcPr>
          <w:p w14:paraId="0BC97D2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D2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D2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7D2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7D2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D2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D2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7D2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7D2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D2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D2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7D2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7D2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D2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D2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7D2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7D30" w14:textId="77777777" w:rsidR="009F0928" w:rsidRDefault="009F0928">
            <w:pPr>
              <w:textAlignment w:val="bottom"/>
              <w:rPr>
                <w:rFonts w:ascii="Times New Roman" w:hAnsi="Times New Roman"/>
                <w:sz w:val="20"/>
                <w:szCs w:val="20"/>
              </w:rPr>
            </w:pPr>
          </w:p>
        </w:tc>
      </w:tr>
    </w:tbl>
    <w:p w14:paraId="0BC97D32" w14:textId="77777777" w:rsidR="009F0928" w:rsidRDefault="009F0928">
      <w:pPr>
        <w:spacing w:line="288" w:lineRule="auto"/>
        <w:jc w:val="both"/>
        <w:rPr>
          <w:rFonts w:ascii="Times New Roman" w:hAnsi="Times New Roman"/>
          <w:sz w:val="20"/>
          <w:szCs w:val="20"/>
        </w:rPr>
      </w:pPr>
    </w:p>
    <w:tbl>
      <w:tblPr>
        <w:tblW w:w="0" w:type="auto"/>
        <w:tblCellSpacing w:w="0" w:type="dxa"/>
        <w:tblCellMar>
          <w:left w:w="0" w:type="dxa"/>
          <w:bottom w:w="20" w:type="dxa"/>
          <w:right w:w="0" w:type="dxa"/>
        </w:tblCellMar>
        <w:tblLook w:val="04A0" w:firstRow="1" w:lastRow="0" w:firstColumn="1" w:lastColumn="0" w:noHBand="0" w:noVBand="1"/>
      </w:tblPr>
      <w:tblGrid>
        <w:gridCol w:w="480"/>
        <w:gridCol w:w="7826"/>
      </w:tblGrid>
      <w:tr w:rsidR="009F0928" w14:paraId="0BC97D35" w14:textId="77777777">
        <w:trPr>
          <w:tblCellSpacing w:w="0" w:type="dxa"/>
        </w:trPr>
        <w:tc>
          <w:tcPr>
            <w:tcW w:w="480" w:type="dxa"/>
            <w:shd w:val="clear" w:color="auto" w:fill="auto"/>
            <w:vAlign w:val="center"/>
          </w:tcPr>
          <w:p w14:paraId="0BC97D33" w14:textId="77777777" w:rsidR="009F0928" w:rsidRDefault="009F0928">
            <w:pPr>
              <w:rPr>
                <w:rFonts w:ascii="Times New Roman" w:hAnsi="Times New Roman"/>
                <w:sz w:val="20"/>
                <w:szCs w:val="20"/>
              </w:rPr>
            </w:pPr>
          </w:p>
        </w:tc>
        <w:tc>
          <w:tcPr>
            <w:tcW w:w="0" w:type="auto"/>
            <w:shd w:val="clear" w:color="auto" w:fill="auto"/>
            <w:vAlign w:val="center"/>
          </w:tcPr>
          <w:p w14:paraId="0BC97D34" w14:textId="77777777" w:rsidR="009F0928" w:rsidRDefault="009F0928">
            <w:pPr>
              <w:rPr>
                <w:rFonts w:ascii="Times New Roman" w:hAnsi="Times New Roman"/>
                <w:sz w:val="20"/>
                <w:szCs w:val="20"/>
              </w:rPr>
            </w:pPr>
          </w:p>
        </w:tc>
      </w:tr>
      <w:tr w:rsidR="009F0928" w14:paraId="0BC97D38" w14:textId="77777777">
        <w:trPr>
          <w:tblCellSpacing w:w="0" w:type="dxa"/>
        </w:trPr>
        <w:tc>
          <w:tcPr>
            <w:tcW w:w="0" w:type="auto"/>
            <w:shd w:val="clear" w:color="auto" w:fill="auto"/>
          </w:tcPr>
          <w:p w14:paraId="0BC97D36"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(1)</w:t>
            </w:r>
          </w:p>
        </w:tc>
        <w:tc>
          <w:tcPr>
            <w:tcW w:w="0" w:type="auto"/>
            <w:shd w:val="clear" w:color="auto" w:fill="auto"/>
          </w:tcPr>
          <w:p w14:paraId="0BC97D37"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Includes the impact of acquisitions and dispositions. For a summary of recent significant acquisitions and dispositions, please see “Note 3 - Business Combinations” to the consolidated financial statements included in this report.</w:t>
            </w:r>
          </w:p>
        </w:tc>
      </w:tr>
    </w:tbl>
    <w:p w14:paraId="0BC97D39" w14:textId="77777777" w:rsidR="009F0928" w:rsidRDefault="009F0928">
      <w:pPr>
        <w:rPr>
          <w:vanish/>
        </w:rPr>
      </w:pPr>
    </w:p>
    <w:tbl>
      <w:tblPr>
        <w:tblW w:w="0" w:type="auto"/>
        <w:tblCellSpacing w:w="0" w:type="dxa"/>
        <w:tblCellMar>
          <w:left w:w="0" w:type="dxa"/>
          <w:bottom w:w="20" w:type="dxa"/>
          <w:right w:w="0" w:type="dxa"/>
        </w:tblCellMar>
        <w:tblLook w:val="04A0" w:firstRow="1" w:lastRow="0" w:firstColumn="1" w:lastColumn="0" w:noHBand="0" w:noVBand="1"/>
      </w:tblPr>
      <w:tblGrid>
        <w:gridCol w:w="480"/>
        <w:gridCol w:w="7186"/>
      </w:tblGrid>
      <w:tr w:rsidR="009F0928" w14:paraId="0BC97D3C" w14:textId="77777777">
        <w:trPr>
          <w:tblCellSpacing w:w="0" w:type="dxa"/>
        </w:trPr>
        <w:tc>
          <w:tcPr>
            <w:tcW w:w="480" w:type="dxa"/>
            <w:shd w:val="clear" w:color="auto" w:fill="auto"/>
            <w:vAlign w:val="center"/>
          </w:tcPr>
          <w:p w14:paraId="0BC97D3A" w14:textId="77777777" w:rsidR="009F0928" w:rsidRDefault="009F0928">
            <w:pPr>
              <w:rPr>
                <w:rFonts w:ascii="Times New Roman" w:hAnsi="Times New Roman"/>
                <w:sz w:val="20"/>
                <w:szCs w:val="20"/>
              </w:rPr>
            </w:pPr>
          </w:p>
        </w:tc>
        <w:tc>
          <w:tcPr>
            <w:tcW w:w="0" w:type="auto"/>
            <w:shd w:val="clear" w:color="auto" w:fill="auto"/>
            <w:vAlign w:val="center"/>
          </w:tcPr>
          <w:p w14:paraId="0BC97D3B" w14:textId="77777777" w:rsidR="009F0928" w:rsidRDefault="009F0928">
            <w:pPr>
              <w:rPr>
                <w:rFonts w:ascii="Times New Roman" w:hAnsi="Times New Roman"/>
                <w:sz w:val="20"/>
                <w:szCs w:val="20"/>
              </w:rPr>
            </w:pPr>
          </w:p>
        </w:tc>
      </w:tr>
      <w:tr w:rsidR="009F0928" w14:paraId="0BC97D3F" w14:textId="77777777">
        <w:trPr>
          <w:tblCellSpacing w:w="0" w:type="dxa"/>
        </w:trPr>
        <w:tc>
          <w:tcPr>
            <w:tcW w:w="0" w:type="auto"/>
            <w:shd w:val="clear" w:color="auto" w:fill="auto"/>
          </w:tcPr>
          <w:p w14:paraId="0BC97D3D"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(2)</w:t>
            </w:r>
          </w:p>
        </w:tc>
        <w:tc>
          <w:tcPr>
            <w:tcW w:w="0" w:type="auto"/>
            <w:shd w:val="clear" w:color="auto" w:fill="auto"/>
          </w:tcPr>
          <w:p w14:paraId="0BC97D3E"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Working capital is calculated as the difference between total current assets and total current liabilities.</w:t>
            </w:r>
          </w:p>
        </w:tc>
      </w:tr>
    </w:tbl>
    <w:p w14:paraId="0BC97D40" w14:textId="77777777" w:rsidR="009F0928" w:rsidRDefault="009F0928">
      <w:pPr>
        <w:rPr>
          <w:vanish/>
        </w:rPr>
      </w:pPr>
    </w:p>
    <w:tbl>
      <w:tblPr>
        <w:tblW w:w="0" w:type="auto"/>
        <w:tblCellSpacing w:w="0" w:type="dxa"/>
        <w:tblCellMar>
          <w:left w:w="0" w:type="dxa"/>
          <w:bottom w:w="20" w:type="dxa"/>
          <w:right w:w="0" w:type="dxa"/>
        </w:tblCellMar>
        <w:tblLook w:val="04A0" w:firstRow="1" w:lastRow="0" w:firstColumn="1" w:lastColumn="0" w:noHBand="0" w:noVBand="1"/>
      </w:tblPr>
      <w:tblGrid>
        <w:gridCol w:w="480"/>
        <w:gridCol w:w="7826"/>
      </w:tblGrid>
      <w:tr w:rsidR="009F0928" w14:paraId="0BC97D43" w14:textId="77777777">
        <w:trPr>
          <w:tblCellSpacing w:w="0" w:type="dxa"/>
        </w:trPr>
        <w:tc>
          <w:tcPr>
            <w:tcW w:w="480" w:type="dxa"/>
            <w:shd w:val="clear" w:color="auto" w:fill="auto"/>
            <w:vAlign w:val="center"/>
          </w:tcPr>
          <w:p w14:paraId="0BC97D41" w14:textId="77777777" w:rsidR="009F0928" w:rsidRDefault="009F0928">
            <w:pPr>
              <w:rPr>
                <w:rFonts w:ascii="Times New Roman" w:hAnsi="Times New Roman"/>
                <w:sz w:val="20"/>
                <w:szCs w:val="20"/>
              </w:rPr>
            </w:pPr>
          </w:p>
        </w:tc>
        <w:tc>
          <w:tcPr>
            <w:tcW w:w="0" w:type="auto"/>
            <w:shd w:val="clear" w:color="auto" w:fill="auto"/>
            <w:vAlign w:val="center"/>
          </w:tcPr>
          <w:p w14:paraId="0BC97D42" w14:textId="77777777" w:rsidR="009F0928" w:rsidRDefault="009F0928">
            <w:pPr>
              <w:rPr>
                <w:rFonts w:ascii="Times New Roman" w:hAnsi="Times New Roman"/>
                <w:sz w:val="20"/>
                <w:szCs w:val="20"/>
              </w:rPr>
            </w:pPr>
          </w:p>
        </w:tc>
      </w:tr>
      <w:tr w:rsidR="009F0928" w14:paraId="0BC97D46" w14:textId="77777777">
        <w:trPr>
          <w:tblCellSpacing w:w="0" w:type="dxa"/>
        </w:trPr>
        <w:tc>
          <w:tcPr>
            <w:tcW w:w="0" w:type="auto"/>
            <w:shd w:val="clear" w:color="auto" w:fill="auto"/>
          </w:tcPr>
          <w:p w14:paraId="0BC97D44"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(3)</w:t>
            </w:r>
          </w:p>
        </w:tc>
        <w:tc>
          <w:tcPr>
            <w:tcW w:w="0" w:type="auto"/>
            <w:shd w:val="clear" w:color="auto" w:fill="auto"/>
          </w:tcPr>
          <w:p w14:paraId="0BC97D45"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 xml:space="preserve">Reflects the impact of the adoption of the new lease accounting standard in 2019 which was adopted prospectively. </w:t>
            </w:r>
          </w:p>
        </w:tc>
      </w:tr>
    </w:tbl>
    <w:p w14:paraId="0BC97D47" w14:textId="77777777" w:rsidR="009F0928" w:rsidRDefault="009F0928">
      <w:pPr>
        <w:rPr>
          <w:vanish/>
        </w:rPr>
      </w:pPr>
    </w:p>
    <w:tbl>
      <w:tblPr>
        <w:tblW w:w="0" w:type="auto"/>
        <w:tblCellSpacing w:w="0" w:type="dxa"/>
        <w:tblCellMar>
          <w:left w:w="0" w:type="dxa"/>
          <w:bottom w:w="20" w:type="dxa"/>
          <w:right w:w="0" w:type="dxa"/>
        </w:tblCellMar>
        <w:tblLook w:val="04A0" w:firstRow="1" w:lastRow="0" w:firstColumn="1" w:lastColumn="0" w:noHBand="0" w:noVBand="1"/>
      </w:tblPr>
      <w:tblGrid>
        <w:gridCol w:w="480"/>
        <w:gridCol w:w="7826"/>
      </w:tblGrid>
      <w:tr w:rsidR="009F0928" w14:paraId="0BC97D4A" w14:textId="77777777">
        <w:trPr>
          <w:tblCellSpacing w:w="0" w:type="dxa"/>
        </w:trPr>
        <w:tc>
          <w:tcPr>
            <w:tcW w:w="480" w:type="dxa"/>
            <w:shd w:val="clear" w:color="auto" w:fill="auto"/>
            <w:vAlign w:val="center"/>
          </w:tcPr>
          <w:p w14:paraId="0BC97D48" w14:textId="77777777" w:rsidR="009F0928" w:rsidRDefault="009F0928">
            <w:pPr>
              <w:rPr>
                <w:rFonts w:ascii="Times New Roman" w:hAnsi="Times New Roman"/>
                <w:sz w:val="20"/>
                <w:szCs w:val="20"/>
              </w:rPr>
            </w:pPr>
          </w:p>
        </w:tc>
        <w:tc>
          <w:tcPr>
            <w:tcW w:w="0" w:type="auto"/>
            <w:shd w:val="clear" w:color="auto" w:fill="auto"/>
            <w:vAlign w:val="center"/>
          </w:tcPr>
          <w:p w14:paraId="0BC97D49" w14:textId="77777777" w:rsidR="009F0928" w:rsidRDefault="009F0928">
            <w:pPr>
              <w:rPr>
                <w:rFonts w:ascii="Times New Roman" w:hAnsi="Times New Roman"/>
                <w:sz w:val="20"/>
                <w:szCs w:val="20"/>
              </w:rPr>
            </w:pPr>
          </w:p>
        </w:tc>
      </w:tr>
      <w:tr w:rsidR="009F0928" w14:paraId="0BC97D4D" w14:textId="77777777">
        <w:trPr>
          <w:tblCellSpacing w:w="0" w:type="dxa"/>
        </w:trPr>
        <w:tc>
          <w:tcPr>
            <w:tcW w:w="0" w:type="auto"/>
            <w:shd w:val="clear" w:color="auto" w:fill="auto"/>
          </w:tcPr>
          <w:p w14:paraId="0BC97D4B"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(4)</w:t>
            </w:r>
          </w:p>
        </w:tc>
        <w:tc>
          <w:tcPr>
            <w:tcW w:w="0" w:type="auto"/>
            <w:shd w:val="clear" w:color="auto" w:fill="auto"/>
          </w:tcPr>
          <w:p w14:paraId="0BC97D4C"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 xml:space="preserve">Reflects the impact of the adoption of the new revenue recognition accounting standard in 2018. Periods prior to 2016 have not been </w:t>
            </w:r>
            <w:r>
              <w:rPr>
                <w:rFonts w:ascii="Arial" w:eastAsia="宋体" w:hAnsi="Arial" w:cs="Arial"/>
                <w:sz w:val="16"/>
                <w:szCs w:val="16"/>
              </w:rPr>
              <w:t xml:space="preserve">revised. </w:t>
            </w:r>
          </w:p>
        </w:tc>
      </w:tr>
    </w:tbl>
    <w:p w14:paraId="0BC97D4E" w14:textId="77777777" w:rsidR="009F0928" w:rsidRDefault="009F0928">
      <w:pPr>
        <w:rPr>
          <w:vanish/>
        </w:rPr>
      </w:pPr>
    </w:p>
    <w:tbl>
      <w:tblPr>
        <w:tblW w:w="0" w:type="auto"/>
        <w:tblCellSpacing w:w="0" w:type="dxa"/>
        <w:tblCellMar>
          <w:left w:w="0" w:type="dxa"/>
          <w:bottom w:w="20" w:type="dxa"/>
          <w:right w:w="0" w:type="dxa"/>
        </w:tblCellMar>
        <w:tblLook w:val="04A0" w:firstRow="1" w:lastRow="0" w:firstColumn="1" w:lastColumn="0" w:noHBand="0" w:noVBand="1"/>
      </w:tblPr>
      <w:tblGrid>
        <w:gridCol w:w="480"/>
        <w:gridCol w:w="4661"/>
      </w:tblGrid>
      <w:tr w:rsidR="009F0928" w14:paraId="0BC97D51" w14:textId="77777777">
        <w:trPr>
          <w:tblCellSpacing w:w="0" w:type="dxa"/>
        </w:trPr>
        <w:tc>
          <w:tcPr>
            <w:tcW w:w="480" w:type="dxa"/>
            <w:shd w:val="clear" w:color="auto" w:fill="auto"/>
            <w:vAlign w:val="center"/>
          </w:tcPr>
          <w:p w14:paraId="0BC97D4F" w14:textId="77777777" w:rsidR="009F0928" w:rsidRDefault="009F0928">
            <w:pPr>
              <w:rPr>
                <w:rFonts w:ascii="Times New Roman" w:hAnsi="Times New Roman"/>
                <w:sz w:val="20"/>
                <w:szCs w:val="20"/>
              </w:rPr>
            </w:pPr>
          </w:p>
        </w:tc>
        <w:tc>
          <w:tcPr>
            <w:tcW w:w="0" w:type="auto"/>
            <w:shd w:val="clear" w:color="auto" w:fill="auto"/>
            <w:vAlign w:val="center"/>
          </w:tcPr>
          <w:p w14:paraId="0BC97D50" w14:textId="77777777" w:rsidR="009F0928" w:rsidRDefault="009F0928">
            <w:pPr>
              <w:rPr>
                <w:rFonts w:ascii="Times New Roman" w:hAnsi="Times New Roman"/>
                <w:sz w:val="20"/>
                <w:szCs w:val="20"/>
              </w:rPr>
            </w:pPr>
          </w:p>
        </w:tc>
      </w:tr>
      <w:tr w:rsidR="009F0928" w14:paraId="0BC97D54" w14:textId="77777777">
        <w:trPr>
          <w:tblCellSpacing w:w="0" w:type="dxa"/>
        </w:trPr>
        <w:tc>
          <w:tcPr>
            <w:tcW w:w="0" w:type="auto"/>
            <w:shd w:val="clear" w:color="auto" w:fill="auto"/>
          </w:tcPr>
          <w:p w14:paraId="0BC97D52"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(5)</w:t>
            </w:r>
          </w:p>
        </w:tc>
        <w:tc>
          <w:tcPr>
            <w:tcW w:w="0" w:type="auto"/>
            <w:shd w:val="clear" w:color="auto" w:fill="auto"/>
          </w:tcPr>
          <w:p w14:paraId="0BC97D53"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Includes the impact of the Distribution of PayPal on July 17, 2015.</w:t>
            </w:r>
          </w:p>
        </w:tc>
      </w:tr>
    </w:tbl>
    <w:p w14:paraId="0BC97D55" w14:textId="77777777" w:rsidR="009F0928" w:rsidRDefault="009F0928">
      <w:pPr>
        <w:rPr>
          <w:vanish/>
        </w:rPr>
      </w:pPr>
    </w:p>
    <w:tbl>
      <w:tblPr>
        <w:tblW w:w="0" w:type="auto"/>
        <w:tblCellSpacing w:w="0" w:type="dxa"/>
        <w:tblCellMar>
          <w:left w:w="0" w:type="dxa"/>
          <w:bottom w:w="20" w:type="dxa"/>
          <w:right w:w="0" w:type="dxa"/>
        </w:tblCellMar>
        <w:tblLook w:val="04A0" w:firstRow="1" w:lastRow="0" w:firstColumn="1" w:lastColumn="0" w:noHBand="0" w:noVBand="1"/>
      </w:tblPr>
      <w:tblGrid>
        <w:gridCol w:w="480"/>
        <w:gridCol w:w="7826"/>
      </w:tblGrid>
      <w:tr w:rsidR="009F0928" w14:paraId="0BC97D58" w14:textId="77777777">
        <w:trPr>
          <w:tblCellSpacing w:w="0" w:type="dxa"/>
        </w:trPr>
        <w:tc>
          <w:tcPr>
            <w:tcW w:w="480" w:type="dxa"/>
            <w:shd w:val="clear" w:color="auto" w:fill="auto"/>
            <w:vAlign w:val="center"/>
          </w:tcPr>
          <w:p w14:paraId="0BC97D56" w14:textId="77777777" w:rsidR="009F0928" w:rsidRDefault="009F0928">
            <w:pPr>
              <w:rPr>
                <w:rFonts w:ascii="Times New Roman" w:hAnsi="Times New Roman"/>
                <w:sz w:val="20"/>
                <w:szCs w:val="20"/>
              </w:rPr>
            </w:pPr>
          </w:p>
        </w:tc>
        <w:tc>
          <w:tcPr>
            <w:tcW w:w="0" w:type="auto"/>
            <w:shd w:val="clear" w:color="auto" w:fill="auto"/>
            <w:vAlign w:val="center"/>
          </w:tcPr>
          <w:p w14:paraId="0BC97D57" w14:textId="77777777" w:rsidR="009F0928" w:rsidRDefault="009F0928">
            <w:pPr>
              <w:rPr>
                <w:rFonts w:ascii="Times New Roman" w:hAnsi="Times New Roman"/>
                <w:sz w:val="20"/>
                <w:szCs w:val="20"/>
              </w:rPr>
            </w:pPr>
          </w:p>
        </w:tc>
      </w:tr>
      <w:tr w:rsidR="009F0928" w14:paraId="0BC97D5B" w14:textId="77777777">
        <w:trPr>
          <w:tblCellSpacing w:w="0" w:type="dxa"/>
        </w:trPr>
        <w:tc>
          <w:tcPr>
            <w:tcW w:w="0" w:type="auto"/>
            <w:shd w:val="clear" w:color="auto" w:fill="auto"/>
          </w:tcPr>
          <w:p w14:paraId="0BC97D59"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(6)</w:t>
            </w:r>
          </w:p>
        </w:tc>
        <w:tc>
          <w:tcPr>
            <w:tcW w:w="0" w:type="auto"/>
            <w:shd w:val="clear" w:color="auto" w:fill="auto"/>
          </w:tcPr>
          <w:p w14:paraId="0BC97D5A"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 xml:space="preserve">The consolidated balance sheet data as of December 31, 2018 includes the impact of a $463 million reduction to the provisional current and deferred tax </w:t>
            </w:r>
            <w:r>
              <w:rPr>
                <w:rFonts w:ascii="Arial" w:eastAsia="宋体" w:hAnsi="Arial" w:cs="Arial"/>
                <w:sz w:val="16"/>
                <w:szCs w:val="16"/>
              </w:rPr>
              <w:t>liabilities recorded in the fourth quarter of 2017 and a $120 million reduction in 2018 to the deferred tax asset recognized in 2017 as a result of a tax rate change. The consolidated statement of income data for the year ended December 31, 2018 includes a</w:t>
            </w:r>
            <w:r>
              <w:rPr>
                <w:rFonts w:ascii="Arial" w:eastAsia="宋体" w:hAnsi="Arial" w:cs="Arial"/>
                <w:sz w:val="16"/>
                <w:szCs w:val="16"/>
              </w:rPr>
              <w:t xml:space="preserve"> $463 million income tax benefit and $120 million tax expense associated with such current and deferred tax liabilities and assets, respectively.</w:t>
            </w:r>
          </w:p>
        </w:tc>
      </w:tr>
    </w:tbl>
    <w:p w14:paraId="0BC97D5C" w14:textId="77777777" w:rsidR="009F0928" w:rsidRDefault="009F0928">
      <w:pPr>
        <w:rPr>
          <w:vanish/>
        </w:rPr>
      </w:pPr>
    </w:p>
    <w:tbl>
      <w:tblPr>
        <w:tblW w:w="0" w:type="auto"/>
        <w:tblCellSpacing w:w="0" w:type="dxa"/>
        <w:tblCellMar>
          <w:left w:w="0" w:type="dxa"/>
          <w:bottom w:w="20" w:type="dxa"/>
          <w:right w:w="0" w:type="dxa"/>
        </w:tblCellMar>
        <w:tblLook w:val="04A0" w:firstRow="1" w:lastRow="0" w:firstColumn="1" w:lastColumn="0" w:noHBand="0" w:noVBand="1"/>
      </w:tblPr>
      <w:tblGrid>
        <w:gridCol w:w="480"/>
        <w:gridCol w:w="7826"/>
      </w:tblGrid>
      <w:tr w:rsidR="009F0928" w14:paraId="0BC97D5F" w14:textId="77777777">
        <w:trPr>
          <w:tblCellSpacing w:w="0" w:type="dxa"/>
        </w:trPr>
        <w:tc>
          <w:tcPr>
            <w:tcW w:w="480" w:type="dxa"/>
            <w:shd w:val="clear" w:color="auto" w:fill="auto"/>
            <w:vAlign w:val="center"/>
          </w:tcPr>
          <w:p w14:paraId="0BC97D5D" w14:textId="77777777" w:rsidR="009F0928" w:rsidRDefault="009F0928">
            <w:pPr>
              <w:rPr>
                <w:rFonts w:ascii="Times New Roman" w:hAnsi="Times New Roman"/>
                <w:sz w:val="20"/>
                <w:szCs w:val="20"/>
              </w:rPr>
            </w:pPr>
          </w:p>
        </w:tc>
        <w:tc>
          <w:tcPr>
            <w:tcW w:w="0" w:type="auto"/>
            <w:shd w:val="clear" w:color="auto" w:fill="auto"/>
            <w:vAlign w:val="center"/>
          </w:tcPr>
          <w:p w14:paraId="0BC97D5E" w14:textId="77777777" w:rsidR="009F0928" w:rsidRDefault="009F0928">
            <w:pPr>
              <w:rPr>
                <w:rFonts w:ascii="Times New Roman" w:hAnsi="Times New Roman"/>
                <w:sz w:val="20"/>
                <w:szCs w:val="20"/>
              </w:rPr>
            </w:pPr>
          </w:p>
        </w:tc>
      </w:tr>
      <w:tr w:rsidR="009F0928" w14:paraId="0BC97D62" w14:textId="77777777">
        <w:trPr>
          <w:tblCellSpacing w:w="0" w:type="dxa"/>
        </w:trPr>
        <w:tc>
          <w:tcPr>
            <w:tcW w:w="0" w:type="auto"/>
            <w:shd w:val="clear" w:color="auto" w:fill="auto"/>
          </w:tcPr>
          <w:p w14:paraId="0BC97D60"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(7)</w:t>
            </w:r>
          </w:p>
        </w:tc>
        <w:tc>
          <w:tcPr>
            <w:tcW w:w="0" w:type="auto"/>
            <w:shd w:val="clear" w:color="auto" w:fill="auto"/>
          </w:tcPr>
          <w:p w14:paraId="0BC97D61"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The consolidated balance sheet data as of December 31, 2017 includes the impact of a $695 million deferred tax asset recognized in 2017 as a result of our voluntary domiciling our Classifieds intangible assets into a new jurisdiction. The consolidated stat</w:t>
            </w:r>
            <w:r>
              <w:rPr>
                <w:rFonts w:ascii="Arial" w:eastAsia="宋体" w:hAnsi="Arial" w:cs="Arial"/>
                <w:sz w:val="16"/>
                <w:szCs w:val="16"/>
              </w:rPr>
              <w:t>ement of income data for the year ended December 31, 2017 includes a $695 million income tax benefit associated with such deferred tax asset, $376 million caused by the foreign exchange remeasurement of our deferred tax assets and a $3.1 billion provisiona</w:t>
            </w:r>
            <w:r>
              <w:rPr>
                <w:rFonts w:ascii="Arial" w:eastAsia="宋体" w:hAnsi="Arial" w:cs="Arial"/>
                <w:sz w:val="16"/>
                <w:szCs w:val="16"/>
              </w:rPr>
              <w:t xml:space="preserve">l tax expense associated with the enactment of the Tax Cuts and Jobs Act. </w:t>
            </w:r>
          </w:p>
        </w:tc>
      </w:tr>
    </w:tbl>
    <w:p w14:paraId="0BC97D63" w14:textId="77777777" w:rsidR="009F0928" w:rsidRDefault="009F0928">
      <w:pPr>
        <w:rPr>
          <w:vanish/>
        </w:rPr>
      </w:pPr>
    </w:p>
    <w:tbl>
      <w:tblPr>
        <w:tblW w:w="0" w:type="auto"/>
        <w:tblCellSpacing w:w="0" w:type="dxa"/>
        <w:tblCellMar>
          <w:left w:w="0" w:type="dxa"/>
          <w:bottom w:w="20" w:type="dxa"/>
          <w:right w:w="0" w:type="dxa"/>
        </w:tblCellMar>
        <w:tblLook w:val="04A0" w:firstRow="1" w:lastRow="0" w:firstColumn="1" w:lastColumn="0" w:noHBand="0" w:noVBand="1"/>
      </w:tblPr>
      <w:tblGrid>
        <w:gridCol w:w="480"/>
        <w:gridCol w:w="7826"/>
      </w:tblGrid>
      <w:tr w:rsidR="009F0928" w14:paraId="0BC97D66" w14:textId="77777777">
        <w:trPr>
          <w:tblCellSpacing w:w="0" w:type="dxa"/>
        </w:trPr>
        <w:tc>
          <w:tcPr>
            <w:tcW w:w="480" w:type="dxa"/>
            <w:shd w:val="clear" w:color="auto" w:fill="auto"/>
            <w:vAlign w:val="center"/>
          </w:tcPr>
          <w:p w14:paraId="0BC97D64" w14:textId="77777777" w:rsidR="009F0928" w:rsidRDefault="009F0928">
            <w:pPr>
              <w:rPr>
                <w:rFonts w:ascii="Times New Roman" w:hAnsi="Times New Roman"/>
                <w:sz w:val="20"/>
                <w:szCs w:val="20"/>
              </w:rPr>
            </w:pPr>
          </w:p>
        </w:tc>
        <w:tc>
          <w:tcPr>
            <w:tcW w:w="0" w:type="auto"/>
            <w:shd w:val="clear" w:color="auto" w:fill="auto"/>
            <w:vAlign w:val="center"/>
          </w:tcPr>
          <w:p w14:paraId="0BC97D65" w14:textId="77777777" w:rsidR="009F0928" w:rsidRDefault="009F0928">
            <w:pPr>
              <w:rPr>
                <w:rFonts w:ascii="Times New Roman" w:hAnsi="Times New Roman"/>
                <w:sz w:val="20"/>
                <w:szCs w:val="20"/>
              </w:rPr>
            </w:pPr>
          </w:p>
        </w:tc>
      </w:tr>
      <w:tr w:rsidR="009F0928" w14:paraId="0BC97D69" w14:textId="77777777">
        <w:trPr>
          <w:tblCellSpacing w:w="0" w:type="dxa"/>
        </w:trPr>
        <w:tc>
          <w:tcPr>
            <w:tcW w:w="0" w:type="auto"/>
            <w:shd w:val="clear" w:color="auto" w:fill="auto"/>
          </w:tcPr>
          <w:p w14:paraId="0BC97D67"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(8)</w:t>
            </w:r>
          </w:p>
        </w:tc>
        <w:tc>
          <w:tcPr>
            <w:tcW w:w="0" w:type="auto"/>
            <w:shd w:val="clear" w:color="auto" w:fill="auto"/>
          </w:tcPr>
          <w:p w14:paraId="0BC97D68"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 xml:space="preserve">The consolidated balance sheet data for the year ended December 31, 2016 includes the impact of a $4.6 billion deferred tax asset recognized in 2016 as a result of our </w:t>
            </w:r>
            <w:r>
              <w:rPr>
                <w:rFonts w:ascii="Arial" w:eastAsia="宋体" w:hAnsi="Arial" w:cs="Arial"/>
                <w:sz w:val="16"/>
                <w:szCs w:val="16"/>
              </w:rPr>
              <w:t>election to terminate an existing tax ruling and finalize a new agreement with the foreign tax authority. The consolidated statement of income data for the year ended December 31, 2016 includes a $4.6 billion income tax benefit associated with such deferre</w:t>
            </w:r>
            <w:r>
              <w:rPr>
                <w:rFonts w:ascii="Arial" w:eastAsia="宋体" w:hAnsi="Arial" w:cs="Arial"/>
                <w:sz w:val="16"/>
                <w:szCs w:val="16"/>
              </w:rPr>
              <w:t>d tax asset.</w:t>
            </w:r>
          </w:p>
        </w:tc>
      </w:tr>
    </w:tbl>
    <w:p w14:paraId="0BC97D6A" w14:textId="77777777" w:rsidR="009F0928" w:rsidRDefault="009F0928">
      <w:pPr>
        <w:spacing w:line="288" w:lineRule="auto"/>
        <w:jc w:val="both"/>
        <w:rPr>
          <w:rFonts w:ascii="Times New Roman" w:hAnsi="Times New Roman"/>
          <w:sz w:val="16"/>
          <w:szCs w:val="16"/>
        </w:rPr>
      </w:pPr>
    </w:p>
    <w:p w14:paraId="0BC97D6B" w14:textId="77777777" w:rsidR="009F0928" w:rsidRDefault="009F0928">
      <w:pPr>
        <w:spacing w:line="288" w:lineRule="auto"/>
        <w:jc w:val="both"/>
        <w:rPr>
          <w:rFonts w:ascii="Times New Roman" w:hAnsi="Times New Roman"/>
          <w:sz w:val="16"/>
          <w:szCs w:val="16"/>
        </w:rPr>
      </w:pPr>
    </w:p>
    <w:p w14:paraId="0BC97D6C" w14:textId="77777777" w:rsidR="009F0928" w:rsidRDefault="009F0928">
      <w:pPr>
        <w:rPr>
          <w:rFonts w:ascii="Times New Roman" w:hAnsi="Times New Roman"/>
          <w:sz w:val="20"/>
          <w:szCs w:val="20"/>
        </w:rPr>
      </w:pPr>
    </w:p>
    <w:p w14:paraId="0BC97D6D"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36</w:t>
      </w:r>
    </w:p>
    <w:p w14:paraId="0BC97D6E" w14:textId="77777777" w:rsidR="009F0928" w:rsidRDefault="002112BD">
      <w:r>
        <w:rPr>
          <w:rFonts w:ascii="Times New Roman" w:hAnsi="Times New Roman"/>
          <w:sz w:val="18"/>
          <w:szCs w:val="18"/>
        </w:rPr>
        <w:pict w14:anchorId="0BC9B4E1">
          <v:rect id="_x0000_i1061" style="width:415.3pt;height:1.5pt" o:hralign="center" o:hrstd="t" o:hr="t" fillcolor="#a0a0a0" stroked="f"/>
        </w:pict>
      </w:r>
    </w:p>
    <w:p w14:paraId="0BC97D6F" w14:textId="77777777" w:rsidR="009F0928" w:rsidRDefault="009F0928">
      <w:pPr>
        <w:spacing w:line="288" w:lineRule="auto"/>
        <w:rPr>
          <w:rFonts w:ascii="Times New Roman" w:hAnsi="Times New Roman"/>
          <w:sz w:val="20"/>
          <w:szCs w:val="20"/>
        </w:rPr>
      </w:pPr>
    </w:p>
    <w:p w14:paraId="0BC97D70" w14:textId="77777777" w:rsidR="009F0928" w:rsidRDefault="009F0928">
      <w:pPr>
        <w:rPr>
          <w:rFonts w:ascii="Times New Roman" w:hAnsi="Times New Roman"/>
          <w:sz w:val="20"/>
          <w:szCs w:val="20"/>
        </w:rPr>
      </w:pPr>
    </w:p>
    <w:p w14:paraId="0BC97D71" w14:textId="77777777" w:rsidR="009F0928" w:rsidRDefault="002112BD">
      <w:pPr>
        <w:spacing w:line="288" w:lineRule="auto"/>
        <w:ind w:hanging="1080"/>
        <w:jc w:val="both"/>
        <w:rPr>
          <w:rFonts w:ascii="Times New Roman" w:hAnsi="Times New Roman"/>
          <w:sz w:val="20"/>
          <w:szCs w:val="20"/>
        </w:rPr>
      </w:pPr>
      <w:r>
        <w:rPr>
          <w:rFonts w:ascii="Arial" w:eastAsia="宋体" w:hAnsi="Arial" w:cs="Arial"/>
          <w:b/>
          <w:bCs/>
          <w:sz w:val="20"/>
          <w:szCs w:val="20"/>
        </w:rPr>
        <w:t xml:space="preserve">ITEM 7: </w:t>
      </w:r>
      <w:r>
        <w:rPr>
          <w:rFonts w:ascii="Arial" w:eastAsia="宋体" w:hAnsi="Arial" w:cs="Arial"/>
          <w:b/>
          <w:bCs/>
          <w:i/>
          <w:iCs/>
          <w:sz w:val="20"/>
          <w:szCs w:val="20"/>
        </w:rPr>
        <w:t>MANAGEMENT’S DISCUSSION AND ANALYSIS OF FINANCIAL CONDITION AND RESULTS OF OPERATIONS</w:t>
      </w:r>
    </w:p>
    <w:p w14:paraId="0BC97D72" w14:textId="77777777" w:rsidR="009F0928" w:rsidRDefault="009F0928">
      <w:pPr>
        <w:spacing w:line="288" w:lineRule="auto"/>
        <w:jc w:val="both"/>
        <w:rPr>
          <w:rFonts w:ascii="Times New Roman" w:hAnsi="Times New Roman"/>
          <w:sz w:val="20"/>
          <w:szCs w:val="20"/>
        </w:rPr>
      </w:pPr>
    </w:p>
    <w:p w14:paraId="0BC97D73"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 xml:space="preserve">FORWARD-LOOKING STATEMENTS </w:t>
      </w:r>
    </w:p>
    <w:p w14:paraId="0BC97D74" w14:textId="77777777" w:rsidR="009F0928" w:rsidRDefault="009F0928">
      <w:pPr>
        <w:spacing w:line="288" w:lineRule="auto"/>
        <w:ind w:firstLine="720"/>
        <w:jc w:val="both"/>
        <w:rPr>
          <w:rFonts w:ascii="Times New Roman" w:hAnsi="Times New Roman"/>
          <w:sz w:val="20"/>
          <w:szCs w:val="20"/>
        </w:rPr>
      </w:pPr>
    </w:p>
    <w:p w14:paraId="0BC97D7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i/>
          <w:iCs/>
          <w:sz w:val="20"/>
          <w:szCs w:val="20"/>
        </w:rPr>
        <w:t xml:space="preserve">This Annual Report on Form 10-K contains forward-looking statements within the meaning of Section 27A of the Securities Act of 1933 and Section 21E of the Securities Exchange Act of 1934, including statements that involve expectations, plans or intentions </w:t>
      </w:r>
      <w:r>
        <w:rPr>
          <w:rFonts w:ascii="Arial" w:eastAsia="宋体" w:hAnsi="Arial" w:cs="Arial"/>
          <w:i/>
          <w:iCs/>
          <w:sz w:val="20"/>
          <w:szCs w:val="20"/>
        </w:rPr>
        <w:t>(such as those relating to future business, future results of operations or financial condition, new or planned features or services, management strategies or timing and other expectations regarding our sale of StubHub to viagogo). You can identify these f</w:t>
      </w:r>
      <w:r>
        <w:rPr>
          <w:rFonts w:ascii="Arial" w:eastAsia="宋体" w:hAnsi="Arial" w:cs="Arial"/>
          <w:i/>
          <w:iCs/>
          <w:sz w:val="20"/>
          <w:szCs w:val="20"/>
        </w:rPr>
        <w:t>orward-looking statements by words such as “may,” “will,” “would,” “should,” “could,” “expect,” “anticipate,” “believe,” “estimate,” “intend,” “plan” and other similar expressions. These forward-looking statements involve risks and uncertainties that could</w:t>
      </w:r>
      <w:r>
        <w:rPr>
          <w:rFonts w:ascii="Arial" w:eastAsia="宋体" w:hAnsi="Arial" w:cs="Arial"/>
          <w:i/>
          <w:iCs/>
          <w:sz w:val="20"/>
          <w:szCs w:val="20"/>
        </w:rPr>
        <w:t xml:space="preserve"> cause our actual results to differ materially from those expressed or implied in our forward-looking statements. Such risks and uncertainties include, among others, those discussed in “Item 1A: Risk Factors” of this Annual Report on Form 10-K, as well as </w:t>
      </w:r>
      <w:r>
        <w:rPr>
          <w:rFonts w:ascii="Arial" w:eastAsia="宋体" w:hAnsi="Arial" w:cs="Arial"/>
          <w:i/>
          <w:iCs/>
          <w:sz w:val="20"/>
          <w:szCs w:val="20"/>
        </w:rPr>
        <w:t>in our consolidated financial statements, related notes, and the other information appearing elsewhere in this report and our other filings with the Securities and Exchange Commission. We do not intend, and undertake no obligation, to update any of our for</w:t>
      </w:r>
      <w:r>
        <w:rPr>
          <w:rFonts w:ascii="Arial" w:eastAsia="宋体" w:hAnsi="Arial" w:cs="Arial"/>
          <w:i/>
          <w:iCs/>
          <w:sz w:val="20"/>
          <w:szCs w:val="20"/>
        </w:rPr>
        <w:t>ward-looking statements after the date of this report to reflect actual results or future events or circumstances. Given these risks and uncertainties, readers are cautioned not to place undue reliance on such forward-looking statements. You should read th</w:t>
      </w:r>
      <w:r>
        <w:rPr>
          <w:rFonts w:ascii="Arial" w:eastAsia="宋体" w:hAnsi="Arial" w:cs="Arial"/>
          <w:i/>
          <w:iCs/>
          <w:sz w:val="20"/>
          <w:szCs w:val="20"/>
        </w:rPr>
        <w:t xml:space="preserve">e following Management’s Discussion and Analysis of Financial Condition and Results of Operations in conjunction with the consolidated financial statements and the related notes included in this report. </w:t>
      </w:r>
    </w:p>
    <w:p w14:paraId="0BC97D76" w14:textId="77777777" w:rsidR="009F0928" w:rsidRDefault="009F0928">
      <w:pPr>
        <w:spacing w:line="288" w:lineRule="auto"/>
        <w:ind w:firstLine="720"/>
        <w:jc w:val="both"/>
        <w:rPr>
          <w:rFonts w:ascii="Times New Roman" w:hAnsi="Times New Roman"/>
          <w:sz w:val="20"/>
          <w:szCs w:val="20"/>
        </w:rPr>
      </w:pPr>
    </w:p>
    <w:p w14:paraId="0BC97D77"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OVERVIEW</w:t>
      </w:r>
    </w:p>
    <w:p w14:paraId="0BC97D7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w:t>
      </w:r>
    </w:p>
    <w:p w14:paraId="0BC97D79"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b/>
          <w:bCs/>
          <w:i/>
          <w:iCs/>
          <w:sz w:val="20"/>
          <w:szCs w:val="20"/>
        </w:rPr>
        <w:t>Business</w:t>
      </w:r>
    </w:p>
    <w:p w14:paraId="0BC97D7A" w14:textId="77777777" w:rsidR="009F0928" w:rsidRDefault="009F0928">
      <w:pPr>
        <w:spacing w:line="288" w:lineRule="auto"/>
        <w:jc w:val="both"/>
        <w:rPr>
          <w:rFonts w:ascii="Times New Roman" w:hAnsi="Times New Roman"/>
          <w:sz w:val="20"/>
          <w:szCs w:val="20"/>
        </w:rPr>
      </w:pPr>
    </w:p>
    <w:p w14:paraId="0BC97D7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eBay Inc., a global commerce l</w:t>
      </w:r>
      <w:r>
        <w:rPr>
          <w:rFonts w:ascii="Arial" w:eastAsia="宋体" w:hAnsi="Arial" w:cs="Arial"/>
          <w:sz w:val="20"/>
          <w:szCs w:val="20"/>
        </w:rPr>
        <w:t>eader, includes Marketplace, StubHub and Classifieds platforms. Collectively, eBay connects millions of buyers and sellers around the world, empowering people and creating opportunity for all. Founded in 1995 in San Jose, California, eBay is one of the wor</w:t>
      </w:r>
      <w:r>
        <w:rPr>
          <w:rFonts w:ascii="Arial" w:eastAsia="宋体" w:hAnsi="Arial" w:cs="Arial"/>
          <w:sz w:val="20"/>
          <w:szCs w:val="20"/>
        </w:rPr>
        <w:t>ld’s largest and most vibrant marketplaces for discovering great value and unique selection. Our technologies and services are designed to give buyers choice and a breadth of relevant inventory and to enable sellers worldwide to organize and offer their in</w:t>
      </w:r>
      <w:r>
        <w:rPr>
          <w:rFonts w:ascii="Arial" w:eastAsia="宋体" w:hAnsi="Arial" w:cs="Arial"/>
          <w:sz w:val="20"/>
          <w:szCs w:val="20"/>
        </w:rPr>
        <w:t>ventory for sale, virtually anytime and anywhere. In 2019, eBay enabled over $90 billion of Gross Merchandise Volume.</w:t>
      </w:r>
    </w:p>
    <w:p w14:paraId="0BC97D7C" w14:textId="77777777" w:rsidR="009F0928" w:rsidRDefault="009F0928">
      <w:pPr>
        <w:spacing w:line="288" w:lineRule="auto"/>
        <w:jc w:val="both"/>
        <w:rPr>
          <w:rFonts w:ascii="Times New Roman" w:hAnsi="Times New Roman"/>
          <w:sz w:val="20"/>
          <w:szCs w:val="20"/>
        </w:rPr>
      </w:pPr>
    </w:p>
    <w:p w14:paraId="0BC97D7D"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b/>
          <w:bCs/>
          <w:i/>
          <w:iCs/>
          <w:sz w:val="20"/>
          <w:szCs w:val="20"/>
        </w:rPr>
        <w:t>Presentation</w:t>
      </w:r>
    </w:p>
    <w:p w14:paraId="0BC97D7E" w14:textId="77777777" w:rsidR="009F0928" w:rsidRDefault="009F0928">
      <w:pPr>
        <w:spacing w:line="288" w:lineRule="auto"/>
        <w:ind w:firstLine="720"/>
        <w:jc w:val="both"/>
        <w:rPr>
          <w:rFonts w:ascii="Times New Roman" w:hAnsi="Times New Roman"/>
          <w:sz w:val="20"/>
          <w:szCs w:val="20"/>
        </w:rPr>
      </w:pPr>
    </w:p>
    <w:p w14:paraId="0BC97D7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addition to the corresponding measures under generally accepted accounting principles (“GAAP”), management uses non-GAAP</w:t>
      </w:r>
      <w:r>
        <w:rPr>
          <w:rFonts w:ascii="Arial" w:eastAsia="宋体" w:hAnsi="Arial" w:cs="Arial"/>
          <w:sz w:val="20"/>
          <w:szCs w:val="20"/>
        </w:rPr>
        <w:t xml:space="preserve"> measures in reviewing our financial results. The foreign exchange neutral (“FX-Neutral”), or constant currency, net revenue amounts discussed below are non-GAAP financial measures and are not in accordance with, or an alternative to, measures prepared in </w:t>
      </w:r>
      <w:r>
        <w:rPr>
          <w:rFonts w:ascii="Arial" w:eastAsia="宋体" w:hAnsi="Arial" w:cs="Arial"/>
          <w:sz w:val="20"/>
          <w:szCs w:val="20"/>
        </w:rPr>
        <w:t>accordance with GAAP. Accordingly, the FX-Neutral information appearing in the following discussion of our results of operations should be read in conjunction with the information provided below in “</w:t>
      </w:r>
      <w:r>
        <w:rPr>
          <w:rFonts w:ascii="Arial" w:eastAsia="宋体" w:hAnsi="Arial" w:cs="Arial"/>
          <w:i/>
          <w:iCs/>
          <w:sz w:val="20"/>
          <w:szCs w:val="20"/>
        </w:rPr>
        <w:t>Non-GAAP Measures of Financial Performance</w:t>
      </w:r>
      <w:r>
        <w:rPr>
          <w:rFonts w:ascii="Arial" w:eastAsia="宋体" w:hAnsi="Arial" w:cs="Arial"/>
          <w:sz w:val="20"/>
          <w:szCs w:val="20"/>
        </w:rPr>
        <w:t>,” which includ</w:t>
      </w:r>
      <w:r>
        <w:rPr>
          <w:rFonts w:ascii="Arial" w:eastAsia="宋体" w:hAnsi="Arial" w:cs="Arial"/>
          <w:sz w:val="20"/>
          <w:szCs w:val="20"/>
        </w:rPr>
        <w:t>es reconciliations of FX-Neutral financial measures to the most directly comparable GAAP measures. We calculate the year-over-year impact of foreign currency movements using prior period foreign currency rates applied to current year transactional currency</w:t>
      </w:r>
      <w:r>
        <w:rPr>
          <w:rFonts w:ascii="Arial" w:eastAsia="宋体" w:hAnsi="Arial" w:cs="Arial"/>
          <w:sz w:val="20"/>
          <w:szCs w:val="20"/>
        </w:rPr>
        <w:t xml:space="preserve"> amounts. </w:t>
      </w:r>
    </w:p>
    <w:p w14:paraId="0BC97D80" w14:textId="77777777" w:rsidR="009F0928" w:rsidRDefault="009F0928">
      <w:pPr>
        <w:spacing w:line="288" w:lineRule="auto"/>
        <w:ind w:firstLine="720"/>
        <w:jc w:val="both"/>
        <w:rPr>
          <w:rFonts w:ascii="Times New Roman" w:hAnsi="Times New Roman"/>
          <w:sz w:val="20"/>
          <w:szCs w:val="20"/>
        </w:rPr>
      </w:pPr>
    </w:p>
    <w:p w14:paraId="0BC97D8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Our commerce platforms operate globally, resulting in certain revenues that are denominated in foreign currencies, primarily the euro, British pound, Korean won and Australian dollar, subjecting us to foreign currency risk which may impact our </w:t>
      </w:r>
      <w:r>
        <w:rPr>
          <w:rFonts w:ascii="Arial" w:eastAsia="宋体" w:hAnsi="Arial" w:cs="Arial"/>
          <w:sz w:val="20"/>
          <w:szCs w:val="20"/>
        </w:rPr>
        <w:t>financial results. Because of this and the fact that we generate a majority of our net revenues internationally, including during the years ended December 31, 2019, 2018 and 2017, we are subject to the risks related to doing business in foreign countries a</w:t>
      </w:r>
      <w:r>
        <w:rPr>
          <w:rFonts w:ascii="Arial" w:eastAsia="宋体" w:hAnsi="Arial" w:cs="Arial"/>
          <w:sz w:val="20"/>
          <w:szCs w:val="20"/>
        </w:rPr>
        <w:t>s discussed under “Item 1A: Risk Factors.”</w:t>
      </w:r>
    </w:p>
    <w:p w14:paraId="0BC97D82" w14:textId="77777777" w:rsidR="009F0928" w:rsidRDefault="009F0928">
      <w:pPr>
        <w:spacing w:line="288" w:lineRule="auto"/>
        <w:ind w:firstLine="720"/>
        <w:jc w:val="both"/>
        <w:rPr>
          <w:rFonts w:ascii="Times New Roman" w:hAnsi="Times New Roman"/>
          <w:sz w:val="20"/>
          <w:szCs w:val="20"/>
        </w:rPr>
      </w:pPr>
    </w:p>
    <w:p w14:paraId="0BC97D8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effect of foreign currency exchange rate movements during 2019 was primarily attributable to the strengthening of the U.S. dollar against the euro, British pound and Korean won. </w:t>
      </w:r>
    </w:p>
    <w:p w14:paraId="0BC97D84" w14:textId="77777777" w:rsidR="009F0928" w:rsidRDefault="009F0928">
      <w:pPr>
        <w:spacing w:line="288" w:lineRule="auto"/>
        <w:ind w:firstLine="720"/>
        <w:jc w:val="both"/>
        <w:rPr>
          <w:rFonts w:ascii="Times New Roman" w:hAnsi="Times New Roman"/>
          <w:sz w:val="20"/>
          <w:szCs w:val="20"/>
        </w:rPr>
      </w:pPr>
    </w:p>
    <w:p w14:paraId="0BC97D85"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b/>
          <w:bCs/>
          <w:i/>
          <w:iCs/>
          <w:sz w:val="20"/>
          <w:szCs w:val="20"/>
        </w:rPr>
        <w:t>Fiscal Year Highlights</w:t>
      </w:r>
    </w:p>
    <w:p w14:paraId="0BC97D86" w14:textId="77777777" w:rsidR="009F0928" w:rsidRDefault="009F0928">
      <w:pPr>
        <w:spacing w:line="288" w:lineRule="auto"/>
        <w:ind w:firstLine="720"/>
        <w:jc w:val="both"/>
        <w:rPr>
          <w:rFonts w:ascii="Times New Roman" w:hAnsi="Times New Roman"/>
          <w:sz w:val="20"/>
          <w:szCs w:val="20"/>
        </w:rPr>
      </w:pPr>
    </w:p>
    <w:p w14:paraId="0BC97D8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Net revenues increased 1% to $10.8 billion in 20</w:t>
      </w:r>
      <w:r>
        <w:rPr>
          <w:rFonts w:ascii="Arial" w:eastAsia="宋体" w:hAnsi="Arial" w:cs="Arial"/>
          <w:sz w:val="20"/>
          <w:szCs w:val="20"/>
        </w:rPr>
        <w:t>19 compared to 2018, primarily driven by Marketplace net transaction revenues and Classifieds marketing services and other revenues. FX-Neutral net revenue (as defined above) increased 2% in 2019 compared to 2018. Operating margin increased to 21.5% in 201</w:t>
      </w:r>
      <w:r>
        <w:rPr>
          <w:rFonts w:ascii="Arial" w:eastAsia="宋体" w:hAnsi="Arial" w:cs="Arial"/>
          <w:sz w:val="20"/>
          <w:szCs w:val="20"/>
        </w:rPr>
        <w:t xml:space="preserve">9 compared to 20.7% in 2018. </w:t>
      </w:r>
    </w:p>
    <w:p w14:paraId="0BC97D88" w14:textId="77777777" w:rsidR="009F0928" w:rsidRDefault="009F0928">
      <w:pPr>
        <w:rPr>
          <w:rFonts w:ascii="Times New Roman" w:hAnsi="Times New Roman"/>
          <w:sz w:val="20"/>
          <w:szCs w:val="20"/>
        </w:rPr>
      </w:pPr>
    </w:p>
    <w:p w14:paraId="0BC97D89"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37</w:t>
      </w:r>
    </w:p>
    <w:p w14:paraId="0BC97D8A" w14:textId="77777777" w:rsidR="009F0928" w:rsidRDefault="002112BD">
      <w:r>
        <w:rPr>
          <w:rFonts w:ascii="Times New Roman" w:hAnsi="Times New Roman"/>
          <w:sz w:val="18"/>
          <w:szCs w:val="18"/>
        </w:rPr>
        <w:pict w14:anchorId="0BC9B4E2">
          <v:rect id="_x0000_i1062" style="width:415.3pt;height:1.5pt" o:hralign="center" o:hrstd="t" o:hr="t" fillcolor="#a0a0a0" stroked="f"/>
        </w:pict>
      </w:r>
    </w:p>
    <w:p w14:paraId="0BC97D8B" w14:textId="77777777" w:rsidR="009F0928" w:rsidRDefault="009F0928">
      <w:pPr>
        <w:spacing w:line="288" w:lineRule="auto"/>
        <w:rPr>
          <w:rFonts w:ascii="Times New Roman" w:hAnsi="Times New Roman"/>
          <w:sz w:val="20"/>
          <w:szCs w:val="20"/>
        </w:rPr>
      </w:pPr>
    </w:p>
    <w:p w14:paraId="0BC97D8C" w14:textId="77777777" w:rsidR="009F0928" w:rsidRDefault="009F0928">
      <w:pPr>
        <w:rPr>
          <w:rFonts w:ascii="Times New Roman" w:hAnsi="Times New Roman"/>
          <w:sz w:val="20"/>
          <w:szCs w:val="20"/>
        </w:rPr>
      </w:pPr>
    </w:p>
    <w:p w14:paraId="0BC97D8D" w14:textId="77777777" w:rsidR="009F0928" w:rsidRDefault="009F0928">
      <w:pPr>
        <w:spacing w:line="288" w:lineRule="auto"/>
        <w:ind w:firstLine="720"/>
        <w:jc w:val="both"/>
        <w:rPr>
          <w:rFonts w:ascii="Times New Roman" w:hAnsi="Times New Roman"/>
          <w:sz w:val="20"/>
          <w:szCs w:val="20"/>
        </w:rPr>
      </w:pPr>
    </w:p>
    <w:p w14:paraId="0BC97D8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generated cash flow from continuing operating activities of $3.1 billion in 2019 compared to $2.7 billion in 2018, ending the year with cash, cash equivalents and non-equity investments of $3.8 billion.</w:t>
      </w:r>
    </w:p>
    <w:p w14:paraId="0BC97D8F" w14:textId="77777777" w:rsidR="009F0928" w:rsidRDefault="009F0928">
      <w:pPr>
        <w:spacing w:line="288" w:lineRule="auto"/>
        <w:ind w:firstLine="720"/>
        <w:jc w:val="both"/>
        <w:rPr>
          <w:rFonts w:ascii="Times New Roman" w:hAnsi="Times New Roman"/>
          <w:sz w:val="20"/>
          <w:szCs w:val="20"/>
        </w:rPr>
      </w:pPr>
    </w:p>
    <w:p w14:paraId="0BC97D9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the fir</w:t>
      </w:r>
      <w:r>
        <w:rPr>
          <w:rFonts w:ascii="Arial" w:eastAsia="宋体" w:hAnsi="Arial" w:cs="Arial"/>
          <w:sz w:val="20"/>
          <w:szCs w:val="20"/>
        </w:rPr>
        <w:t>st quarter of 2019, we completed the acquisition of the U.K. based classifieds site, Motors.co.uk for $93 million in cash. During the third quarter of 2019, $400 million of floating rate notes and $1.15 billion of 2.200% fixed rate notes matured and were r</w:t>
      </w:r>
      <w:r>
        <w:rPr>
          <w:rFonts w:ascii="Arial" w:eastAsia="宋体" w:hAnsi="Arial" w:cs="Arial"/>
          <w:sz w:val="20"/>
          <w:szCs w:val="20"/>
        </w:rPr>
        <w:t>epaid. During the year ended December 31, 2019 we paid $473 million in cash dividends.</w:t>
      </w:r>
    </w:p>
    <w:p w14:paraId="0BC97D91" w14:textId="77777777" w:rsidR="009F0928" w:rsidRDefault="009F0928">
      <w:pPr>
        <w:spacing w:line="288" w:lineRule="auto"/>
        <w:ind w:firstLine="720"/>
        <w:jc w:val="both"/>
        <w:rPr>
          <w:rFonts w:ascii="Times New Roman" w:hAnsi="Times New Roman"/>
          <w:sz w:val="20"/>
          <w:szCs w:val="20"/>
        </w:rPr>
      </w:pPr>
    </w:p>
    <w:p w14:paraId="0BC97D9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In the fourth quarter of 2019, we entered into a definitive agreement to sell StubHub to viagogo for a purchase price of $4.05 billion in cash. The sale is expected to </w:t>
      </w:r>
      <w:r>
        <w:rPr>
          <w:rFonts w:ascii="Arial" w:eastAsia="宋体" w:hAnsi="Arial" w:cs="Arial"/>
          <w:sz w:val="20"/>
          <w:szCs w:val="20"/>
        </w:rPr>
        <w:t>close in the first quarter of 2020, subject to regulatory approval and closing conditions.</w:t>
      </w:r>
    </w:p>
    <w:p w14:paraId="0BC97D93" w14:textId="77777777" w:rsidR="009F0928" w:rsidRDefault="009F0928">
      <w:pPr>
        <w:spacing w:line="288" w:lineRule="auto"/>
        <w:ind w:firstLine="720"/>
        <w:jc w:val="both"/>
        <w:rPr>
          <w:rFonts w:ascii="Times New Roman" w:hAnsi="Times New Roman"/>
          <w:sz w:val="20"/>
          <w:szCs w:val="20"/>
        </w:rPr>
      </w:pPr>
    </w:p>
    <w:p w14:paraId="0BC97D94"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Diluted earnings per share from continuing operations was $2.10 in 2019 compared to diluted earnings per share of $2.55 in 2018. In January 2020, we declared a quar</w:t>
      </w:r>
      <w:r>
        <w:rPr>
          <w:rFonts w:ascii="Arial" w:eastAsia="宋体" w:hAnsi="Arial" w:cs="Arial"/>
          <w:sz w:val="20"/>
          <w:szCs w:val="20"/>
        </w:rPr>
        <w:t>terly cash dividend of $0.16 per share of common stock to be paid on March 20, 2020 to stockholders of record as of March 2, 2020.</w:t>
      </w:r>
    </w:p>
    <w:p w14:paraId="0BC97D95" w14:textId="77777777" w:rsidR="009F0928" w:rsidRDefault="009F0928">
      <w:pPr>
        <w:spacing w:line="288" w:lineRule="auto"/>
        <w:ind w:firstLine="720"/>
        <w:jc w:val="both"/>
        <w:rPr>
          <w:rFonts w:ascii="Times New Roman" w:hAnsi="Times New Roman"/>
          <w:sz w:val="20"/>
          <w:szCs w:val="20"/>
        </w:rPr>
      </w:pPr>
    </w:p>
    <w:p w14:paraId="0BC97D96" w14:textId="77777777" w:rsidR="009F0928" w:rsidRDefault="009F0928">
      <w:pPr>
        <w:spacing w:line="288" w:lineRule="auto"/>
        <w:ind w:firstLine="720"/>
        <w:jc w:val="both"/>
        <w:rPr>
          <w:rFonts w:ascii="Times New Roman" w:hAnsi="Times New Roman"/>
          <w:sz w:val="20"/>
          <w:szCs w:val="20"/>
        </w:rPr>
      </w:pPr>
    </w:p>
    <w:p w14:paraId="0BC97D97" w14:textId="77777777" w:rsidR="009F0928" w:rsidRDefault="009F0928">
      <w:pPr>
        <w:spacing w:line="288" w:lineRule="auto"/>
        <w:ind w:firstLine="720"/>
        <w:jc w:val="both"/>
        <w:rPr>
          <w:rFonts w:ascii="Times New Roman" w:hAnsi="Times New Roman"/>
          <w:sz w:val="20"/>
          <w:szCs w:val="20"/>
        </w:rPr>
      </w:pPr>
    </w:p>
    <w:p w14:paraId="0BC97D98" w14:textId="77777777" w:rsidR="009F0928" w:rsidRDefault="009F0928">
      <w:pPr>
        <w:spacing w:line="288" w:lineRule="auto"/>
        <w:ind w:firstLine="720"/>
        <w:jc w:val="both"/>
        <w:rPr>
          <w:rFonts w:ascii="Times New Roman" w:hAnsi="Times New Roman"/>
          <w:sz w:val="20"/>
          <w:szCs w:val="20"/>
        </w:rPr>
      </w:pPr>
    </w:p>
    <w:p w14:paraId="0BC97D99" w14:textId="77777777" w:rsidR="009F0928" w:rsidRDefault="009F0928">
      <w:pPr>
        <w:spacing w:line="288" w:lineRule="auto"/>
        <w:ind w:firstLine="720"/>
        <w:jc w:val="both"/>
        <w:rPr>
          <w:rFonts w:ascii="Times New Roman" w:hAnsi="Times New Roman"/>
          <w:sz w:val="20"/>
          <w:szCs w:val="20"/>
        </w:rPr>
      </w:pPr>
    </w:p>
    <w:p w14:paraId="0BC97D9A" w14:textId="77777777" w:rsidR="009F0928" w:rsidRDefault="009F0928">
      <w:pPr>
        <w:spacing w:line="288" w:lineRule="auto"/>
        <w:ind w:firstLine="720"/>
        <w:jc w:val="both"/>
        <w:rPr>
          <w:rFonts w:ascii="Times New Roman" w:hAnsi="Times New Roman"/>
          <w:sz w:val="20"/>
          <w:szCs w:val="20"/>
        </w:rPr>
      </w:pPr>
    </w:p>
    <w:p w14:paraId="0BC97D9B" w14:textId="77777777" w:rsidR="009F0928" w:rsidRDefault="009F0928">
      <w:pPr>
        <w:spacing w:line="288" w:lineRule="auto"/>
        <w:ind w:firstLine="720"/>
        <w:jc w:val="both"/>
        <w:rPr>
          <w:rFonts w:ascii="Times New Roman" w:hAnsi="Times New Roman"/>
          <w:sz w:val="20"/>
          <w:szCs w:val="20"/>
        </w:rPr>
      </w:pPr>
    </w:p>
    <w:p w14:paraId="0BC97D9C" w14:textId="77777777" w:rsidR="009F0928" w:rsidRDefault="009F0928">
      <w:pPr>
        <w:spacing w:line="288" w:lineRule="auto"/>
        <w:ind w:firstLine="720"/>
        <w:jc w:val="both"/>
        <w:rPr>
          <w:rFonts w:ascii="Times New Roman" w:hAnsi="Times New Roman"/>
          <w:sz w:val="20"/>
          <w:szCs w:val="20"/>
        </w:rPr>
      </w:pPr>
    </w:p>
    <w:p w14:paraId="0BC97D9D" w14:textId="77777777" w:rsidR="009F0928" w:rsidRDefault="009F0928">
      <w:pPr>
        <w:spacing w:line="288" w:lineRule="auto"/>
        <w:ind w:firstLine="720"/>
        <w:jc w:val="both"/>
        <w:rPr>
          <w:rFonts w:ascii="Times New Roman" w:hAnsi="Times New Roman"/>
          <w:sz w:val="20"/>
          <w:szCs w:val="20"/>
        </w:rPr>
      </w:pPr>
    </w:p>
    <w:p w14:paraId="0BC97D9E" w14:textId="77777777" w:rsidR="009F0928" w:rsidRDefault="009F0928">
      <w:pPr>
        <w:spacing w:line="288" w:lineRule="auto"/>
        <w:ind w:firstLine="720"/>
        <w:jc w:val="both"/>
        <w:rPr>
          <w:rFonts w:ascii="Times New Roman" w:hAnsi="Times New Roman"/>
          <w:sz w:val="20"/>
          <w:szCs w:val="20"/>
        </w:rPr>
      </w:pPr>
    </w:p>
    <w:p w14:paraId="0BC97D9F" w14:textId="77777777" w:rsidR="009F0928" w:rsidRDefault="009F0928">
      <w:pPr>
        <w:spacing w:line="288" w:lineRule="auto"/>
        <w:ind w:firstLine="720"/>
        <w:jc w:val="both"/>
        <w:rPr>
          <w:rFonts w:ascii="Times New Roman" w:hAnsi="Times New Roman"/>
          <w:sz w:val="20"/>
          <w:szCs w:val="20"/>
        </w:rPr>
      </w:pPr>
    </w:p>
    <w:p w14:paraId="0BC97DA0" w14:textId="77777777" w:rsidR="009F0928" w:rsidRDefault="009F0928">
      <w:pPr>
        <w:spacing w:line="288" w:lineRule="auto"/>
        <w:ind w:firstLine="720"/>
        <w:jc w:val="both"/>
        <w:rPr>
          <w:rFonts w:ascii="Times New Roman" w:hAnsi="Times New Roman"/>
          <w:sz w:val="20"/>
          <w:szCs w:val="20"/>
        </w:rPr>
      </w:pPr>
    </w:p>
    <w:p w14:paraId="0BC97DA1" w14:textId="77777777" w:rsidR="009F0928" w:rsidRDefault="009F0928">
      <w:pPr>
        <w:spacing w:line="288" w:lineRule="auto"/>
        <w:ind w:firstLine="720"/>
        <w:jc w:val="both"/>
        <w:rPr>
          <w:rFonts w:ascii="Times New Roman" w:hAnsi="Times New Roman"/>
          <w:sz w:val="20"/>
          <w:szCs w:val="20"/>
        </w:rPr>
      </w:pPr>
    </w:p>
    <w:p w14:paraId="0BC97DA2" w14:textId="77777777" w:rsidR="009F0928" w:rsidRDefault="009F0928">
      <w:pPr>
        <w:rPr>
          <w:rFonts w:ascii="Times New Roman" w:hAnsi="Times New Roman"/>
          <w:sz w:val="20"/>
          <w:szCs w:val="20"/>
        </w:rPr>
      </w:pPr>
    </w:p>
    <w:p w14:paraId="0BC97DA3"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38</w:t>
      </w:r>
    </w:p>
    <w:p w14:paraId="0BC97DA4" w14:textId="77777777" w:rsidR="009F0928" w:rsidRDefault="002112BD">
      <w:r>
        <w:rPr>
          <w:rFonts w:ascii="Times New Roman" w:hAnsi="Times New Roman"/>
          <w:sz w:val="18"/>
          <w:szCs w:val="18"/>
        </w:rPr>
        <w:pict w14:anchorId="0BC9B4E3">
          <v:rect id="_x0000_i1063" style="width:415.3pt;height:1.5pt" o:hralign="center" o:hrstd="t" o:hr="t" fillcolor="#a0a0a0" stroked="f"/>
        </w:pict>
      </w:r>
    </w:p>
    <w:p w14:paraId="0BC97DA5" w14:textId="77777777" w:rsidR="009F0928" w:rsidRDefault="009F0928">
      <w:pPr>
        <w:spacing w:line="288" w:lineRule="auto"/>
        <w:rPr>
          <w:rFonts w:ascii="Times New Roman" w:hAnsi="Times New Roman"/>
          <w:sz w:val="20"/>
          <w:szCs w:val="20"/>
        </w:rPr>
      </w:pPr>
    </w:p>
    <w:p w14:paraId="0BC97DA6" w14:textId="77777777" w:rsidR="009F0928" w:rsidRDefault="009F0928">
      <w:pPr>
        <w:rPr>
          <w:rFonts w:ascii="Times New Roman" w:hAnsi="Times New Roman"/>
          <w:sz w:val="20"/>
          <w:szCs w:val="20"/>
        </w:rPr>
      </w:pPr>
    </w:p>
    <w:p w14:paraId="0BC97DA7"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RESULTS OF OPERATIONS</w:t>
      </w:r>
    </w:p>
    <w:p w14:paraId="0BC97DA8" w14:textId="77777777" w:rsidR="009F0928" w:rsidRDefault="009F0928">
      <w:pPr>
        <w:spacing w:line="288" w:lineRule="auto"/>
        <w:jc w:val="both"/>
        <w:rPr>
          <w:rFonts w:ascii="Times New Roman" w:hAnsi="Times New Roman"/>
          <w:sz w:val="20"/>
          <w:szCs w:val="20"/>
        </w:rPr>
      </w:pPr>
    </w:p>
    <w:p w14:paraId="0BC97DA9"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Net Revenues</w:t>
      </w:r>
    </w:p>
    <w:p w14:paraId="0BC97DAA" w14:textId="77777777" w:rsidR="009F0928" w:rsidRDefault="009F0928">
      <w:pPr>
        <w:spacing w:line="288" w:lineRule="auto"/>
        <w:ind w:firstLine="640"/>
        <w:jc w:val="both"/>
        <w:rPr>
          <w:rFonts w:ascii="Times New Roman" w:hAnsi="Times New Roman"/>
          <w:sz w:val="20"/>
          <w:szCs w:val="20"/>
        </w:rPr>
      </w:pPr>
    </w:p>
    <w:p w14:paraId="0BC97DAB"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b/>
          <w:bCs/>
          <w:sz w:val="20"/>
          <w:szCs w:val="20"/>
        </w:rPr>
        <w:t>Seasonality</w:t>
      </w:r>
    </w:p>
    <w:p w14:paraId="0BC97DAC" w14:textId="77777777" w:rsidR="009F0928" w:rsidRDefault="009F0928">
      <w:pPr>
        <w:spacing w:line="288" w:lineRule="auto"/>
        <w:jc w:val="both"/>
        <w:rPr>
          <w:rFonts w:ascii="Times New Roman" w:hAnsi="Times New Roman"/>
          <w:sz w:val="20"/>
          <w:szCs w:val="20"/>
        </w:rPr>
      </w:pPr>
    </w:p>
    <w:p w14:paraId="0BC97DA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expect transaction activity patterns on our </w:t>
      </w:r>
      <w:r>
        <w:rPr>
          <w:rFonts w:ascii="Arial" w:eastAsia="宋体" w:hAnsi="Arial" w:cs="Arial"/>
          <w:sz w:val="20"/>
          <w:szCs w:val="20"/>
        </w:rPr>
        <w:t>platforms to mirror general consumer buying patterns and expect that these trends will continue. The following table sets forth, for the periods presented, our total net revenues and the sequential quarterly movements of these net revenues (in millions, ex</w:t>
      </w:r>
      <w:r>
        <w:rPr>
          <w:rFonts w:ascii="Arial" w:eastAsia="宋体" w:hAnsi="Arial" w:cs="Arial"/>
          <w:sz w:val="20"/>
          <w:szCs w:val="20"/>
        </w:rPr>
        <w:t>cept percentages):</w:t>
      </w:r>
    </w:p>
    <w:p w14:paraId="0BC97DAE" w14:textId="77777777" w:rsidR="009F0928" w:rsidRDefault="009F0928">
      <w:pPr>
        <w:spacing w:line="288" w:lineRule="auto"/>
        <w:jc w:val="both"/>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3571"/>
        <w:gridCol w:w="129"/>
        <w:gridCol w:w="747"/>
        <w:gridCol w:w="236"/>
        <w:gridCol w:w="130"/>
        <w:gridCol w:w="129"/>
        <w:gridCol w:w="747"/>
        <w:gridCol w:w="183"/>
        <w:gridCol w:w="130"/>
        <w:gridCol w:w="130"/>
        <w:gridCol w:w="768"/>
        <w:gridCol w:w="236"/>
        <w:gridCol w:w="130"/>
        <w:gridCol w:w="130"/>
        <w:gridCol w:w="727"/>
        <w:gridCol w:w="183"/>
      </w:tblGrid>
      <w:tr w:rsidR="009F0928" w14:paraId="0BC97DB0" w14:textId="77777777">
        <w:tc>
          <w:tcPr>
            <w:tcW w:w="0" w:type="auto"/>
            <w:gridSpan w:val="16"/>
            <w:shd w:val="clear" w:color="auto" w:fill="auto"/>
            <w:vAlign w:val="center"/>
          </w:tcPr>
          <w:p w14:paraId="0BC97DAF" w14:textId="77777777" w:rsidR="009F0928" w:rsidRDefault="009F0928">
            <w:pPr>
              <w:rPr>
                <w:rFonts w:ascii="Times New Roman" w:hAnsi="Times New Roman"/>
                <w:sz w:val="20"/>
                <w:szCs w:val="20"/>
              </w:rPr>
            </w:pPr>
          </w:p>
        </w:tc>
      </w:tr>
      <w:tr w:rsidR="009F0928" w14:paraId="0BC97DC1" w14:textId="77777777">
        <w:tc>
          <w:tcPr>
            <w:tcW w:w="2250" w:type="pct"/>
            <w:shd w:val="clear" w:color="auto" w:fill="auto"/>
            <w:vAlign w:val="center"/>
          </w:tcPr>
          <w:p w14:paraId="0BC97DB1" w14:textId="77777777" w:rsidR="009F0928" w:rsidRDefault="009F0928">
            <w:pPr>
              <w:rPr>
                <w:rFonts w:ascii="Times New Roman" w:hAnsi="Times New Roman"/>
                <w:sz w:val="20"/>
                <w:szCs w:val="20"/>
              </w:rPr>
            </w:pPr>
          </w:p>
        </w:tc>
        <w:tc>
          <w:tcPr>
            <w:tcW w:w="50" w:type="pct"/>
            <w:shd w:val="clear" w:color="auto" w:fill="auto"/>
            <w:vAlign w:val="center"/>
          </w:tcPr>
          <w:p w14:paraId="0BC97DB2" w14:textId="77777777" w:rsidR="009F0928" w:rsidRDefault="009F0928">
            <w:pPr>
              <w:rPr>
                <w:rFonts w:ascii="Times New Roman" w:hAnsi="Times New Roman"/>
                <w:sz w:val="20"/>
                <w:szCs w:val="20"/>
              </w:rPr>
            </w:pPr>
          </w:p>
        </w:tc>
        <w:tc>
          <w:tcPr>
            <w:tcW w:w="550" w:type="pct"/>
            <w:shd w:val="clear" w:color="auto" w:fill="auto"/>
            <w:vAlign w:val="center"/>
          </w:tcPr>
          <w:p w14:paraId="0BC97DB3" w14:textId="77777777" w:rsidR="009F0928" w:rsidRDefault="009F0928">
            <w:pPr>
              <w:rPr>
                <w:rFonts w:ascii="Times New Roman" w:hAnsi="Times New Roman"/>
                <w:sz w:val="20"/>
                <w:szCs w:val="20"/>
              </w:rPr>
            </w:pPr>
          </w:p>
        </w:tc>
        <w:tc>
          <w:tcPr>
            <w:tcW w:w="50" w:type="pct"/>
            <w:shd w:val="clear" w:color="auto" w:fill="auto"/>
            <w:vAlign w:val="center"/>
          </w:tcPr>
          <w:p w14:paraId="0BC97DB4" w14:textId="77777777" w:rsidR="009F0928" w:rsidRDefault="009F0928">
            <w:pPr>
              <w:rPr>
                <w:rFonts w:ascii="Times New Roman" w:hAnsi="Times New Roman"/>
                <w:sz w:val="20"/>
                <w:szCs w:val="20"/>
              </w:rPr>
            </w:pPr>
          </w:p>
        </w:tc>
        <w:tc>
          <w:tcPr>
            <w:tcW w:w="50" w:type="pct"/>
            <w:shd w:val="clear" w:color="auto" w:fill="auto"/>
            <w:vAlign w:val="center"/>
          </w:tcPr>
          <w:p w14:paraId="0BC97DB5" w14:textId="77777777" w:rsidR="009F0928" w:rsidRDefault="009F0928">
            <w:pPr>
              <w:rPr>
                <w:rFonts w:ascii="Times New Roman" w:hAnsi="Times New Roman"/>
                <w:sz w:val="20"/>
                <w:szCs w:val="20"/>
              </w:rPr>
            </w:pPr>
          </w:p>
        </w:tc>
        <w:tc>
          <w:tcPr>
            <w:tcW w:w="50" w:type="pct"/>
            <w:shd w:val="clear" w:color="auto" w:fill="auto"/>
            <w:vAlign w:val="center"/>
          </w:tcPr>
          <w:p w14:paraId="0BC97DB6" w14:textId="77777777" w:rsidR="009F0928" w:rsidRDefault="009F0928">
            <w:pPr>
              <w:rPr>
                <w:rFonts w:ascii="Times New Roman" w:hAnsi="Times New Roman"/>
                <w:sz w:val="20"/>
                <w:szCs w:val="20"/>
              </w:rPr>
            </w:pPr>
          </w:p>
        </w:tc>
        <w:tc>
          <w:tcPr>
            <w:tcW w:w="550" w:type="pct"/>
            <w:shd w:val="clear" w:color="auto" w:fill="auto"/>
            <w:vAlign w:val="center"/>
          </w:tcPr>
          <w:p w14:paraId="0BC97DB7" w14:textId="77777777" w:rsidR="009F0928" w:rsidRDefault="009F0928">
            <w:pPr>
              <w:rPr>
                <w:rFonts w:ascii="Times New Roman" w:hAnsi="Times New Roman"/>
                <w:sz w:val="20"/>
                <w:szCs w:val="20"/>
              </w:rPr>
            </w:pPr>
          </w:p>
        </w:tc>
        <w:tc>
          <w:tcPr>
            <w:tcW w:w="50" w:type="pct"/>
            <w:shd w:val="clear" w:color="auto" w:fill="auto"/>
            <w:vAlign w:val="center"/>
          </w:tcPr>
          <w:p w14:paraId="0BC97DB8" w14:textId="77777777" w:rsidR="009F0928" w:rsidRDefault="009F0928">
            <w:pPr>
              <w:rPr>
                <w:rFonts w:ascii="Times New Roman" w:hAnsi="Times New Roman"/>
                <w:sz w:val="20"/>
                <w:szCs w:val="20"/>
              </w:rPr>
            </w:pPr>
          </w:p>
        </w:tc>
        <w:tc>
          <w:tcPr>
            <w:tcW w:w="50" w:type="pct"/>
            <w:shd w:val="clear" w:color="auto" w:fill="auto"/>
            <w:vAlign w:val="center"/>
          </w:tcPr>
          <w:p w14:paraId="0BC97DB9" w14:textId="77777777" w:rsidR="009F0928" w:rsidRDefault="009F0928">
            <w:pPr>
              <w:rPr>
                <w:rFonts w:ascii="Times New Roman" w:hAnsi="Times New Roman"/>
                <w:sz w:val="20"/>
                <w:szCs w:val="20"/>
              </w:rPr>
            </w:pPr>
          </w:p>
        </w:tc>
        <w:tc>
          <w:tcPr>
            <w:tcW w:w="50" w:type="pct"/>
            <w:shd w:val="clear" w:color="auto" w:fill="auto"/>
            <w:vAlign w:val="center"/>
          </w:tcPr>
          <w:p w14:paraId="0BC97DBA" w14:textId="77777777" w:rsidR="009F0928" w:rsidRDefault="009F0928">
            <w:pPr>
              <w:rPr>
                <w:rFonts w:ascii="Times New Roman" w:hAnsi="Times New Roman"/>
                <w:sz w:val="20"/>
                <w:szCs w:val="20"/>
              </w:rPr>
            </w:pPr>
          </w:p>
        </w:tc>
        <w:tc>
          <w:tcPr>
            <w:tcW w:w="550" w:type="pct"/>
            <w:shd w:val="clear" w:color="auto" w:fill="auto"/>
            <w:vAlign w:val="center"/>
          </w:tcPr>
          <w:p w14:paraId="0BC97DBB" w14:textId="77777777" w:rsidR="009F0928" w:rsidRDefault="009F0928">
            <w:pPr>
              <w:rPr>
                <w:rFonts w:ascii="Times New Roman" w:hAnsi="Times New Roman"/>
                <w:sz w:val="20"/>
                <w:szCs w:val="20"/>
              </w:rPr>
            </w:pPr>
          </w:p>
        </w:tc>
        <w:tc>
          <w:tcPr>
            <w:tcW w:w="50" w:type="pct"/>
            <w:shd w:val="clear" w:color="auto" w:fill="auto"/>
            <w:vAlign w:val="center"/>
          </w:tcPr>
          <w:p w14:paraId="0BC97DBC" w14:textId="77777777" w:rsidR="009F0928" w:rsidRDefault="009F0928">
            <w:pPr>
              <w:rPr>
                <w:rFonts w:ascii="Times New Roman" w:hAnsi="Times New Roman"/>
                <w:sz w:val="20"/>
                <w:szCs w:val="20"/>
              </w:rPr>
            </w:pPr>
          </w:p>
        </w:tc>
        <w:tc>
          <w:tcPr>
            <w:tcW w:w="50" w:type="pct"/>
            <w:shd w:val="clear" w:color="auto" w:fill="auto"/>
            <w:vAlign w:val="center"/>
          </w:tcPr>
          <w:p w14:paraId="0BC97DBD" w14:textId="77777777" w:rsidR="009F0928" w:rsidRDefault="009F0928">
            <w:pPr>
              <w:rPr>
                <w:rFonts w:ascii="Times New Roman" w:hAnsi="Times New Roman"/>
                <w:sz w:val="20"/>
                <w:szCs w:val="20"/>
              </w:rPr>
            </w:pPr>
          </w:p>
        </w:tc>
        <w:tc>
          <w:tcPr>
            <w:tcW w:w="50" w:type="pct"/>
            <w:shd w:val="clear" w:color="auto" w:fill="auto"/>
            <w:vAlign w:val="center"/>
          </w:tcPr>
          <w:p w14:paraId="0BC97DBE" w14:textId="77777777" w:rsidR="009F0928" w:rsidRDefault="009F0928">
            <w:pPr>
              <w:rPr>
                <w:rFonts w:ascii="Times New Roman" w:hAnsi="Times New Roman"/>
                <w:sz w:val="20"/>
                <w:szCs w:val="20"/>
              </w:rPr>
            </w:pPr>
          </w:p>
        </w:tc>
        <w:tc>
          <w:tcPr>
            <w:tcW w:w="550" w:type="pct"/>
            <w:shd w:val="clear" w:color="auto" w:fill="auto"/>
            <w:vAlign w:val="center"/>
          </w:tcPr>
          <w:p w14:paraId="0BC97DBF" w14:textId="77777777" w:rsidR="009F0928" w:rsidRDefault="009F0928">
            <w:pPr>
              <w:rPr>
                <w:rFonts w:ascii="Times New Roman" w:hAnsi="Times New Roman"/>
                <w:sz w:val="20"/>
                <w:szCs w:val="20"/>
              </w:rPr>
            </w:pPr>
          </w:p>
        </w:tc>
        <w:tc>
          <w:tcPr>
            <w:tcW w:w="50" w:type="pct"/>
            <w:shd w:val="clear" w:color="auto" w:fill="auto"/>
            <w:vAlign w:val="center"/>
          </w:tcPr>
          <w:p w14:paraId="0BC97DC0" w14:textId="77777777" w:rsidR="009F0928" w:rsidRDefault="009F0928">
            <w:pPr>
              <w:rPr>
                <w:rFonts w:ascii="Times New Roman" w:hAnsi="Times New Roman"/>
                <w:sz w:val="20"/>
                <w:szCs w:val="20"/>
              </w:rPr>
            </w:pPr>
          </w:p>
        </w:tc>
      </w:tr>
      <w:tr w:rsidR="009F0928" w14:paraId="0BC97DC4" w14:textId="77777777">
        <w:tc>
          <w:tcPr>
            <w:tcW w:w="0" w:type="auto"/>
            <w:shd w:val="clear" w:color="auto" w:fill="auto"/>
            <w:tcMar>
              <w:top w:w="40" w:type="dxa"/>
              <w:left w:w="40" w:type="dxa"/>
              <w:bottom w:w="40" w:type="dxa"/>
              <w:right w:w="40" w:type="dxa"/>
            </w:tcMar>
            <w:vAlign w:val="bottom"/>
          </w:tcPr>
          <w:p w14:paraId="0BC97DC2"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0BC97DC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Quarter Ended</w:t>
            </w:r>
          </w:p>
        </w:tc>
      </w:tr>
      <w:tr w:rsidR="009F0928" w14:paraId="0BC97DCD" w14:textId="77777777">
        <w:tc>
          <w:tcPr>
            <w:tcW w:w="0" w:type="auto"/>
            <w:shd w:val="clear" w:color="auto" w:fill="auto"/>
            <w:tcMar>
              <w:top w:w="40" w:type="dxa"/>
              <w:left w:w="40" w:type="dxa"/>
              <w:bottom w:w="40" w:type="dxa"/>
              <w:right w:w="40" w:type="dxa"/>
            </w:tcMar>
            <w:vAlign w:val="bottom"/>
          </w:tcPr>
          <w:p w14:paraId="0BC97DC5"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7DC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March 31</w:t>
            </w:r>
          </w:p>
        </w:tc>
        <w:tc>
          <w:tcPr>
            <w:tcW w:w="0" w:type="auto"/>
            <w:shd w:val="clear" w:color="auto" w:fill="auto"/>
            <w:tcMar>
              <w:top w:w="40" w:type="dxa"/>
              <w:left w:w="40" w:type="dxa"/>
              <w:bottom w:w="40" w:type="dxa"/>
              <w:right w:w="40" w:type="dxa"/>
            </w:tcMar>
            <w:vAlign w:val="bottom"/>
          </w:tcPr>
          <w:p w14:paraId="0BC97DC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7DC8"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June 30</w:t>
            </w:r>
          </w:p>
        </w:tc>
        <w:tc>
          <w:tcPr>
            <w:tcW w:w="0" w:type="auto"/>
            <w:shd w:val="clear" w:color="auto" w:fill="auto"/>
            <w:tcMar>
              <w:top w:w="40" w:type="dxa"/>
              <w:left w:w="40" w:type="dxa"/>
              <w:bottom w:w="40" w:type="dxa"/>
              <w:right w:w="40" w:type="dxa"/>
            </w:tcMar>
            <w:vAlign w:val="bottom"/>
          </w:tcPr>
          <w:p w14:paraId="0BC97DC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7DCA"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September 30</w:t>
            </w:r>
          </w:p>
        </w:tc>
        <w:tc>
          <w:tcPr>
            <w:tcW w:w="0" w:type="auto"/>
            <w:shd w:val="clear" w:color="auto" w:fill="auto"/>
            <w:tcMar>
              <w:top w:w="40" w:type="dxa"/>
              <w:left w:w="40" w:type="dxa"/>
              <w:bottom w:w="40" w:type="dxa"/>
              <w:right w:w="40" w:type="dxa"/>
            </w:tcMar>
            <w:vAlign w:val="bottom"/>
          </w:tcPr>
          <w:p w14:paraId="0BC97DC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7DC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w:t>
            </w:r>
          </w:p>
        </w:tc>
      </w:tr>
      <w:tr w:rsidR="009F0928" w14:paraId="0BC97DD6" w14:textId="77777777">
        <w:tc>
          <w:tcPr>
            <w:tcW w:w="0" w:type="auto"/>
            <w:shd w:val="clear" w:color="auto" w:fill="auto"/>
            <w:tcMar>
              <w:top w:w="40" w:type="dxa"/>
              <w:left w:w="40" w:type="dxa"/>
              <w:bottom w:w="40" w:type="dxa"/>
              <w:right w:w="40" w:type="dxa"/>
            </w:tcMar>
            <w:vAlign w:val="bottom"/>
          </w:tcPr>
          <w:p w14:paraId="0BC97DCE" w14:textId="77777777" w:rsidR="009F0928" w:rsidRDefault="002112BD">
            <w:pPr>
              <w:textAlignment w:val="bottom"/>
              <w:rPr>
                <w:rFonts w:ascii="Times New Roman" w:hAnsi="Times New Roman"/>
                <w:sz w:val="16"/>
                <w:szCs w:val="16"/>
              </w:rPr>
            </w:pPr>
            <w:r>
              <w:rPr>
                <w:rFonts w:ascii="Arial" w:eastAsia="宋体" w:hAnsi="Arial" w:cs="Arial"/>
                <w:b/>
                <w:bCs/>
                <w:sz w:val="16"/>
                <w:szCs w:val="16"/>
              </w:rPr>
              <w:t>2017</w:t>
            </w:r>
          </w:p>
        </w:tc>
        <w:tc>
          <w:tcPr>
            <w:tcW w:w="0" w:type="auto"/>
            <w:gridSpan w:val="3"/>
            <w:shd w:val="clear" w:color="auto" w:fill="auto"/>
            <w:tcMar>
              <w:top w:w="40" w:type="dxa"/>
              <w:left w:w="40" w:type="dxa"/>
              <w:bottom w:w="40" w:type="dxa"/>
              <w:right w:w="40" w:type="dxa"/>
            </w:tcMar>
            <w:vAlign w:val="bottom"/>
          </w:tcPr>
          <w:p w14:paraId="0BC97D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D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DD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DD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D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DD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DD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7DE7" w14:textId="77777777">
        <w:tc>
          <w:tcPr>
            <w:tcW w:w="0" w:type="auto"/>
            <w:shd w:val="clear" w:color="auto" w:fill="E2E2E2"/>
            <w:tcMar>
              <w:top w:w="40" w:type="dxa"/>
              <w:left w:w="240" w:type="dxa"/>
              <w:bottom w:w="40" w:type="dxa"/>
              <w:right w:w="40" w:type="dxa"/>
            </w:tcMar>
            <w:vAlign w:val="bottom"/>
          </w:tcPr>
          <w:p w14:paraId="0BC97DD7" w14:textId="77777777" w:rsidR="009F0928" w:rsidRDefault="002112BD">
            <w:pPr>
              <w:textAlignment w:val="bottom"/>
              <w:rPr>
                <w:rFonts w:ascii="Times New Roman" w:hAnsi="Times New Roman"/>
                <w:sz w:val="16"/>
                <w:szCs w:val="16"/>
              </w:rPr>
            </w:pPr>
            <w:r>
              <w:rPr>
                <w:rFonts w:ascii="Arial" w:eastAsia="宋体" w:hAnsi="Arial" w:cs="Arial"/>
                <w:sz w:val="16"/>
                <w:szCs w:val="16"/>
              </w:rPr>
              <w:t>Net revenues</w:t>
            </w:r>
          </w:p>
        </w:tc>
        <w:tc>
          <w:tcPr>
            <w:tcW w:w="0" w:type="auto"/>
            <w:shd w:val="clear" w:color="auto" w:fill="E2E2E2"/>
            <w:tcMar>
              <w:top w:w="40" w:type="dxa"/>
              <w:left w:w="40" w:type="dxa"/>
              <w:bottom w:w="40" w:type="dxa"/>
            </w:tcMar>
            <w:vAlign w:val="bottom"/>
          </w:tcPr>
          <w:p w14:paraId="0BC97DD8"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7DD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2,303</w:t>
            </w:r>
          </w:p>
        </w:tc>
        <w:tc>
          <w:tcPr>
            <w:tcW w:w="0" w:type="auto"/>
            <w:shd w:val="clear" w:color="auto" w:fill="E2E2E2"/>
            <w:vAlign w:val="bottom"/>
          </w:tcPr>
          <w:p w14:paraId="0BC97DD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DD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DDC"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7DDD"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2,419</w:t>
            </w:r>
          </w:p>
        </w:tc>
        <w:tc>
          <w:tcPr>
            <w:tcW w:w="0" w:type="auto"/>
            <w:shd w:val="clear" w:color="auto" w:fill="E2E2E2"/>
            <w:vAlign w:val="bottom"/>
          </w:tcPr>
          <w:p w14:paraId="0BC97DD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DD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DE0"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7DE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2,498</w:t>
            </w:r>
          </w:p>
        </w:tc>
        <w:tc>
          <w:tcPr>
            <w:tcW w:w="0" w:type="auto"/>
            <w:shd w:val="clear" w:color="auto" w:fill="E2E2E2"/>
            <w:vAlign w:val="bottom"/>
          </w:tcPr>
          <w:p w14:paraId="0BC97DE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D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DE4"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7DE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2,707</w:t>
            </w:r>
          </w:p>
        </w:tc>
        <w:tc>
          <w:tcPr>
            <w:tcW w:w="0" w:type="auto"/>
            <w:shd w:val="clear" w:color="auto" w:fill="E2E2E2"/>
            <w:vAlign w:val="bottom"/>
          </w:tcPr>
          <w:p w14:paraId="0BC97DE6" w14:textId="77777777" w:rsidR="009F0928" w:rsidRDefault="009F0928">
            <w:pPr>
              <w:textAlignment w:val="bottom"/>
              <w:rPr>
                <w:rFonts w:ascii="Times New Roman" w:hAnsi="Times New Roman"/>
                <w:sz w:val="20"/>
                <w:szCs w:val="20"/>
              </w:rPr>
            </w:pPr>
          </w:p>
        </w:tc>
      </w:tr>
      <w:tr w:rsidR="009F0928" w14:paraId="0BC97DF4" w14:textId="77777777">
        <w:tc>
          <w:tcPr>
            <w:tcW w:w="0" w:type="auto"/>
            <w:shd w:val="clear" w:color="auto" w:fill="auto"/>
            <w:tcMar>
              <w:top w:w="40" w:type="dxa"/>
              <w:left w:w="240" w:type="dxa"/>
              <w:bottom w:w="40" w:type="dxa"/>
              <w:right w:w="40" w:type="dxa"/>
            </w:tcMar>
            <w:vAlign w:val="bottom"/>
          </w:tcPr>
          <w:p w14:paraId="0BC97DE8" w14:textId="77777777" w:rsidR="009F0928" w:rsidRDefault="002112BD">
            <w:pPr>
              <w:textAlignment w:val="bottom"/>
              <w:rPr>
                <w:rFonts w:ascii="Times New Roman" w:hAnsi="Times New Roman"/>
                <w:sz w:val="16"/>
                <w:szCs w:val="16"/>
              </w:rPr>
            </w:pPr>
            <w:r>
              <w:rPr>
                <w:rFonts w:ascii="Arial" w:eastAsia="宋体" w:hAnsi="Arial" w:cs="Arial"/>
                <w:sz w:val="16"/>
                <w:szCs w:val="16"/>
              </w:rPr>
              <w:t>Percent change from prior quarter</w:t>
            </w:r>
          </w:p>
        </w:tc>
        <w:tc>
          <w:tcPr>
            <w:tcW w:w="0" w:type="auto"/>
            <w:gridSpan w:val="2"/>
            <w:shd w:val="clear" w:color="auto" w:fill="auto"/>
            <w:tcMar>
              <w:top w:w="40" w:type="dxa"/>
              <w:left w:w="40" w:type="dxa"/>
              <w:bottom w:w="40" w:type="dxa"/>
            </w:tcMar>
            <w:vAlign w:val="bottom"/>
          </w:tcPr>
          <w:p w14:paraId="0BC97DE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w:t>
            </w:r>
          </w:p>
        </w:tc>
        <w:tc>
          <w:tcPr>
            <w:tcW w:w="0" w:type="auto"/>
            <w:shd w:val="clear" w:color="auto" w:fill="auto"/>
            <w:tcMar>
              <w:top w:w="40" w:type="dxa"/>
              <w:bottom w:w="40" w:type="dxa"/>
              <w:right w:w="40" w:type="dxa"/>
            </w:tcMar>
            <w:vAlign w:val="bottom"/>
          </w:tcPr>
          <w:p w14:paraId="0BC97DEA"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7DE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DE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auto"/>
            <w:tcMar>
              <w:top w:w="40" w:type="dxa"/>
              <w:bottom w:w="40" w:type="dxa"/>
              <w:right w:w="40" w:type="dxa"/>
            </w:tcMar>
            <w:vAlign w:val="bottom"/>
          </w:tcPr>
          <w:p w14:paraId="0BC97DE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7DE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DE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w:t>
            </w:r>
          </w:p>
        </w:tc>
        <w:tc>
          <w:tcPr>
            <w:tcW w:w="0" w:type="auto"/>
            <w:shd w:val="clear" w:color="auto" w:fill="auto"/>
            <w:tcMar>
              <w:top w:w="40" w:type="dxa"/>
              <w:bottom w:w="40" w:type="dxa"/>
              <w:right w:w="40" w:type="dxa"/>
            </w:tcMar>
            <w:vAlign w:val="bottom"/>
          </w:tcPr>
          <w:p w14:paraId="0BC97DF0"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7DF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DF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w:t>
            </w:r>
          </w:p>
        </w:tc>
        <w:tc>
          <w:tcPr>
            <w:tcW w:w="0" w:type="auto"/>
            <w:shd w:val="clear" w:color="auto" w:fill="auto"/>
            <w:tcMar>
              <w:top w:w="40" w:type="dxa"/>
              <w:bottom w:w="40" w:type="dxa"/>
              <w:right w:w="40" w:type="dxa"/>
            </w:tcMar>
            <w:vAlign w:val="bottom"/>
          </w:tcPr>
          <w:p w14:paraId="0BC97DF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7DFD" w14:textId="77777777">
        <w:tc>
          <w:tcPr>
            <w:tcW w:w="0" w:type="auto"/>
            <w:shd w:val="clear" w:color="auto" w:fill="E2E2E2"/>
            <w:tcMar>
              <w:top w:w="40" w:type="dxa"/>
              <w:left w:w="40" w:type="dxa"/>
              <w:bottom w:w="40" w:type="dxa"/>
              <w:right w:w="40" w:type="dxa"/>
            </w:tcMar>
            <w:vAlign w:val="bottom"/>
          </w:tcPr>
          <w:p w14:paraId="0BC97DF5" w14:textId="77777777" w:rsidR="009F0928" w:rsidRDefault="002112BD">
            <w:pPr>
              <w:textAlignment w:val="bottom"/>
              <w:rPr>
                <w:rFonts w:ascii="Times New Roman" w:hAnsi="Times New Roman"/>
                <w:sz w:val="16"/>
                <w:szCs w:val="16"/>
              </w:rPr>
            </w:pPr>
            <w:r>
              <w:rPr>
                <w:rFonts w:ascii="Arial" w:eastAsia="宋体" w:hAnsi="Arial" w:cs="Arial"/>
                <w:b/>
                <w:bCs/>
                <w:sz w:val="16"/>
                <w:szCs w:val="16"/>
              </w:rPr>
              <w:t>2018</w:t>
            </w:r>
          </w:p>
        </w:tc>
        <w:tc>
          <w:tcPr>
            <w:tcW w:w="0" w:type="auto"/>
            <w:gridSpan w:val="3"/>
            <w:shd w:val="clear" w:color="auto" w:fill="E2E2E2"/>
            <w:tcMar>
              <w:top w:w="40" w:type="dxa"/>
              <w:left w:w="40" w:type="dxa"/>
              <w:bottom w:w="40" w:type="dxa"/>
              <w:right w:w="40" w:type="dxa"/>
            </w:tcMar>
            <w:vAlign w:val="bottom"/>
          </w:tcPr>
          <w:p w14:paraId="0BC97D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DF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7DF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D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7DF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DF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7DF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7E0E" w14:textId="77777777">
        <w:tc>
          <w:tcPr>
            <w:tcW w:w="0" w:type="auto"/>
            <w:shd w:val="clear" w:color="auto" w:fill="auto"/>
            <w:tcMar>
              <w:top w:w="40" w:type="dxa"/>
              <w:left w:w="240" w:type="dxa"/>
              <w:bottom w:w="40" w:type="dxa"/>
              <w:right w:w="40" w:type="dxa"/>
            </w:tcMar>
            <w:vAlign w:val="bottom"/>
          </w:tcPr>
          <w:p w14:paraId="0BC97DFE" w14:textId="77777777" w:rsidR="009F0928" w:rsidRDefault="002112BD">
            <w:pPr>
              <w:textAlignment w:val="bottom"/>
              <w:rPr>
                <w:rFonts w:ascii="Times New Roman" w:hAnsi="Times New Roman"/>
                <w:sz w:val="16"/>
                <w:szCs w:val="16"/>
              </w:rPr>
            </w:pPr>
            <w:r>
              <w:rPr>
                <w:rFonts w:ascii="Arial" w:eastAsia="宋体" w:hAnsi="Arial" w:cs="Arial"/>
                <w:sz w:val="16"/>
                <w:szCs w:val="16"/>
              </w:rPr>
              <w:t>Net revenues</w:t>
            </w:r>
          </w:p>
        </w:tc>
        <w:tc>
          <w:tcPr>
            <w:tcW w:w="0" w:type="auto"/>
            <w:shd w:val="clear" w:color="auto" w:fill="auto"/>
            <w:tcMar>
              <w:top w:w="40" w:type="dxa"/>
              <w:left w:w="40" w:type="dxa"/>
              <w:bottom w:w="40" w:type="dxa"/>
            </w:tcMar>
            <w:vAlign w:val="bottom"/>
          </w:tcPr>
          <w:p w14:paraId="0BC97DF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7E0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2,580</w:t>
            </w:r>
          </w:p>
        </w:tc>
        <w:tc>
          <w:tcPr>
            <w:tcW w:w="0" w:type="auto"/>
            <w:shd w:val="clear" w:color="auto" w:fill="auto"/>
            <w:vAlign w:val="bottom"/>
          </w:tcPr>
          <w:p w14:paraId="0BC97E0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E0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E0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7E0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2,640</w:t>
            </w:r>
          </w:p>
        </w:tc>
        <w:tc>
          <w:tcPr>
            <w:tcW w:w="0" w:type="auto"/>
            <w:shd w:val="clear" w:color="auto" w:fill="auto"/>
            <w:vAlign w:val="bottom"/>
          </w:tcPr>
          <w:p w14:paraId="0BC97E0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E0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E0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7E0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2,649</w:t>
            </w:r>
          </w:p>
        </w:tc>
        <w:tc>
          <w:tcPr>
            <w:tcW w:w="0" w:type="auto"/>
            <w:shd w:val="clear" w:color="auto" w:fill="auto"/>
            <w:vAlign w:val="bottom"/>
          </w:tcPr>
          <w:p w14:paraId="0BC97E0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E0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E0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7E0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2,877</w:t>
            </w:r>
          </w:p>
        </w:tc>
        <w:tc>
          <w:tcPr>
            <w:tcW w:w="0" w:type="auto"/>
            <w:shd w:val="clear" w:color="auto" w:fill="auto"/>
            <w:vAlign w:val="bottom"/>
          </w:tcPr>
          <w:p w14:paraId="0BC97E0D" w14:textId="77777777" w:rsidR="009F0928" w:rsidRDefault="009F0928">
            <w:pPr>
              <w:textAlignment w:val="bottom"/>
              <w:rPr>
                <w:rFonts w:ascii="Times New Roman" w:hAnsi="Times New Roman"/>
                <w:sz w:val="20"/>
                <w:szCs w:val="20"/>
              </w:rPr>
            </w:pPr>
          </w:p>
        </w:tc>
      </w:tr>
      <w:tr w:rsidR="009F0928" w14:paraId="0BC97E1B" w14:textId="77777777">
        <w:tc>
          <w:tcPr>
            <w:tcW w:w="0" w:type="auto"/>
            <w:shd w:val="clear" w:color="auto" w:fill="E2E2E2"/>
            <w:tcMar>
              <w:top w:w="40" w:type="dxa"/>
              <w:left w:w="240" w:type="dxa"/>
              <w:bottom w:w="40" w:type="dxa"/>
              <w:right w:w="40" w:type="dxa"/>
            </w:tcMar>
            <w:vAlign w:val="bottom"/>
          </w:tcPr>
          <w:p w14:paraId="0BC97E0F" w14:textId="77777777" w:rsidR="009F0928" w:rsidRDefault="002112BD">
            <w:pPr>
              <w:textAlignment w:val="bottom"/>
              <w:rPr>
                <w:rFonts w:ascii="Times New Roman" w:hAnsi="Times New Roman"/>
                <w:sz w:val="16"/>
                <w:szCs w:val="16"/>
              </w:rPr>
            </w:pPr>
            <w:r>
              <w:rPr>
                <w:rFonts w:ascii="Arial" w:eastAsia="宋体" w:hAnsi="Arial" w:cs="Arial"/>
                <w:sz w:val="16"/>
                <w:szCs w:val="16"/>
              </w:rPr>
              <w:t>Percent change from prior quarter</w:t>
            </w:r>
          </w:p>
        </w:tc>
        <w:tc>
          <w:tcPr>
            <w:tcW w:w="0" w:type="auto"/>
            <w:gridSpan w:val="2"/>
            <w:shd w:val="clear" w:color="auto" w:fill="E2E2E2"/>
            <w:tcMar>
              <w:top w:w="40" w:type="dxa"/>
              <w:left w:w="40" w:type="dxa"/>
              <w:bottom w:w="40" w:type="dxa"/>
            </w:tcMar>
            <w:vAlign w:val="bottom"/>
          </w:tcPr>
          <w:p w14:paraId="0BC97E1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E2E2E2"/>
            <w:tcMar>
              <w:top w:w="40" w:type="dxa"/>
              <w:bottom w:w="40" w:type="dxa"/>
              <w:right w:w="40" w:type="dxa"/>
            </w:tcMar>
            <w:vAlign w:val="bottom"/>
          </w:tcPr>
          <w:p w14:paraId="0BC97E11"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7E1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E13"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w:t>
            </w:r>
          </w:p>
        </w:tc>
        <w:tc>
          <w:tcPr>
            <w:tcW w:w="0" w:type="auto"/>
            <w:shd w:val="clear" w:color="auto" w:fill="E2E2E2"/>
            <w:tcMar>
              <w:top w:w="40" w:type="dxa"/>
              <w:bottom w:w="40" w:type="dxa"/>
              <w:right w:w="40" w:type="dxa"/>
            </w:tcMar>
            <w:vAlign w:val="bottom"/>
          </w:tcPr>
          <w:p w14:paraId="0BC97E14"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7E1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E1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0</w:t>
            </w:r>
          </w:p>
        </w:tc>
        <w:tc>
          <w:tcPr>
            <w:tcW w:w="0" w:type="auto"/>
            <w:shd w:val="clear" w:color="auto" w:fill="E2E2E2"/>
            <w:tcMar>
              <w:top w:w="40" w:type="dxa"/>
              <w:bottom w:w="40" w:type="dxa"/>
              <w:right w:w="40" w:type="dxa"/>
            </w:tcMar>
            <w:vAlign w:val="bottom"/>
          </w:tcPr>
          <w:p w14:paraId="0BC97E17"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7E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E1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w:t>
            </w:r>
          </w:p>
        </w:tc>
        <w:tc>
          <w:tcPr>
            <w:tcW w:w="0" w:type="auto"/>
            <w:shd w:val="clear" w:color="auto" w:fill="E2E2E2"/>
            <w:tcMar>
              <w:top w:w="40" w:type="dxa"/>
              <w:bottom w:w="40" w:type="dxa"/>
              <w:right w:w="40" w:type="dxa"/>
            </w:tcMar>
            <w:vAlign w:val="bottom"/>
          </w:tcPr>
          <w:p w14:paraId="0BC97E1A"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7E24" w14:textId="77777777">
        <w:tc>
          <w:tcPr>
            <w:tcW w:w="0" w:type="auto"/>
            <w:shd w:val="clear" w:color="auto" w:fill="auto"/>
            <w:tcMar>
              <w:top w:w="40" w:type="dxa"/>
              <w:left w:w="40" w:type="dxa"/>
              <w:bottom w:w="40" w:type="dxa"/>
              <w:right w:w="40" w:type="dxa"/>
            </w:tcMar>
            <w:vAlign w:val="bottom"/>
          </w:tcPr>
          <w:p w14:paraId="0BC97E1C" w14:textId="77777777" w:rsidR="009F0928" w:rsidRDefault="002112BD">
            <w:pPr>
              <w:textAlignment w:val="bottom"/>
              <w:rPr>
                <w:rFonts w:ascii="Times New Roman" w:hAnsi="Times New Roman"/>
                <w:sz w:val="16"/>
                <w:szCs w:val="16"/>
              </w:rPr>
            </w:pPr>
            <w:r>
              <w:rPr>
                <w:rFonts w:ascii="Arial" w:eastAsia="宋体" w:hAnsi="Arial" w:cs="Arial"/>
                <w:b/>
                <w:bCs/>
                <w:sz w:val="16"/>
                <w:szCs w:val="16"/>
              </w:rPr>
              <w:t>2019</w:t>
            </w:r>
          </w:p>
        </w:tc>
        <w:tc>
          <w:tcPr>
            <w:tcW w:w="0" w:type="auto"/>
            <w:gridSpan w:val="3"/>
            <w:shd w:val="clear" w:color="auto" w:fill="auto"/>
            <w:tcMar>
              <w:top w:w="40" w:type="dxa"/>
              <w:left w:w="40" w:type="dxa"/>
              <w:bottom w:w="40" w:type="dxa"/>
              <w:right w:w="40" w:type="dxa"/>
            </w:tcMar>
            <w:vAlign w:val="bottom"/>
          </w:tcPr>
          <w:p w14:paraId="0BC97E1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E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E1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E2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E2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E2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E2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7E35" w14:textId="77777777">
        <w:tc>
          <w:tcPr>
            <w:tcW w:w="0" w:type="auto"/>
            <w:shd w:val="clear" w:color="auto" w:fill="E2E2E2"/>
            <w:tcMar>
              <w:top w:w="40" w:type="dxa"/>
              <w:left w:w="240" w:type="dxa"/>
              <w:bottom w:w="40" w:type="dxa"/>
              <w:right w:w="40" w:type="dxa"/>
            </w:tcMar>
            <w:vAlign w:val="bottom"/>
          </w:tcPr>
          <w:p w14:paraId="0BC97E25" w14:textId="77777777" w:rsidR="009F0928" w:rsidRDefault="002112BD">
            <w:pPr>
              <w:textAlignment w:val="bottom"/>
              <w:rPr>
                <w:rFonts w:ascii="Times New Roman" w:hAnsi="Times New Roman"/>
                <w:sz w:val="16"/>
                <w:szCs w:val="16"/>
              </w:rPr>
            </w:pPr>
            <w:r>
              <w:rPr>
                <w:rFonts w:ascii="Arial" w:eastAsia="宋体" w:hAnsi="Arial" w:cs="Arial"/>
                <w:sz w:val="16"/>
                <w:szCs w:val="16"/>
              </w:rPr>
              <w:t>Net revenues</w:t>
            </w:r>
          </w:p>
        </w:tc>
        <w:tc>
          <w:tcPr>
            <w:tcW w:w="0" w:type="auto"/>
            <w:shd w:val="clear" w:color="auto" w:fill="E2E2E2"/>
            <w:tcMar>
              <w:top w:w="40" w:type="dxa"/>
              <w:left w:w="40" w:type="dxa"/>
              <w:bottom w:w="40" w:type="dxa"/>
            </w:tcMar>
            <w:vAlign w:val="bottom"/>
          </w:tcPr>
          <w:p w14:paraId="0BC97E26"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7E2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2,643</w:t>
            </w:r>
          </w:p>
        </w:tc>
        <w:tc>
          <w:tcPr>
            <w:tcW w:w="0" w:type="auto"/>
            <w:shd w:val="clear" w:color="auto" w:fill="E2E2E2"/>
            <w:vAlign w:val="bottom"/>
          </w:tcPr>
          <w:p w14:paraId="0BC97E2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E2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E2A"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7E2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2,687</w:t>
            </w:r>
          </w:p>
        </w:tc>
        <w:tc>
          <w:tcPr>
            <w:tcW w:w="0" w:type="auto"/>
            <w:shd w:val="clear" w:color="auto" w:fill="E2E2E2"/>
            <w:vAlign w:val="bottom"/>
          </w:tcPr>
          <w:p w14:paraId="0BC97E2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E2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E2E"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7E2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2,649</w:t>
            </w:r>
          </w:p>
        </w:tc>
        <w:tc>
          <w:tcPr>
            <w:tcW w:w="0" w:type="auto"/>
            <w:shd w:val="clear" w:color="auto" w:fill="E2E2E2"/>
            <w:vAlign w:val="bottom"/>
          </w:tcPr>
          <w:p w14:paraId="0BC97E3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E3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E32"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7E33"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2,821</w:t>
            </w:r>
          </w:p>
        </w:tc>
        <w:tc>
          <w:tcPr>
            <w:tcW w:w="0" w:type="auto"/>
            <w:shd w:val="clear" w:color="auto" w:fill="E2E2E2"/>
            <w:vAlign w:val="bottom"/>
          </w:tcPr>
          <w:p w14:paraId="0BC97E34" w14:textId="77777777" w:rsidR="009F0928" w:rsidRDefault="009F0928">
            <w:pPr>
              <w:textAlignment w:val="bottom"/>
              <w:rPr>
                <w:rFonts w:ascii="Times New Roman" w:hAnsi="Times New Roman"/>
                <w:sz w:val="20"/>
                <w:szCs w:val="20"/>
              </w:rPr>
            </w:pPr>
          </w:p>
        </w:tc>
      </w:tr>
      <w:tr w:rsidR="009F0928" w14:paraId="0BC97E42" w14:textId="77777777">
        <w:tc>
          <w:tcPr>
            <w:tcW w:w="0" w:type="auto"/>
            <w:shd w:val="clear" w:color="auto" w:fill="auto"/>
            <w:tcMar>
              <w:top w:w="40" w:type="dxa"/>
              <w:left w:w="240" w:type="dxa"/>
              <w:bottom w:w="40" w:type="dxa"/>
              <w:right w:w="40" w:type="dxa"/>
            </w:tcMar>
            <w:vAlign w:val="bottom"/>
          </w:tcPr>
          <w:p w14:paraId="0BC97E36" w14:textId="77777777" w:rsidR="009F0928" w:rsidRDefault="002112BD">
            <w:pPr>
              <w:textAlignment w:val="bottom"/>
              <w:rPr>
                <w:rFonts w:ascii="Times New Roman" w:hAnsi="Times New Roman"/>
                <w:sz w:val="16"/>
                <w:szCs w:val="16"/>
              </w:rPr>
            </w:pPr>
            <w:r>
              <w:rPr>
                <w:rFonts w:ascii="Arial" w:eastAsia="宋体" w:hAnsi="Arial" w:cs="Arial"/>
                <w:sz w:val="16"/>
                <w:szCs w:val="16"/>
              </w:rPr>
              <w:t>Percent change from prior quarter</w:t>
            </w:r>
          </w:p>
        </w:tc>
        <w:tc>
          <w:tcPr>
            <w:tcW w:w="0" w:type="auto"/>
            <w:gridSpan w:val="2"/>
            <w:shd w:val="clear" w:color="auto" w:fill="auto"/>
            <w:tcMar>
              <w:top w:w="40" w:type="dxa"/>
              <w:left w:w="40" w:type="dxa"/>
              <w:bottom w:w="40" w:type="dxa"/>
            </w:tcMar>
            <w:vAlign w:val="bottom"/>
          </w:tcPr>
          <w:p w14:paraId="0BC97E3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w:t>
            </w:r>
          </w:p>
        </w:tc>
        <w:tc>
          <w:tcPr>
            <w:tcW w:w="0" w:type="auto"/>
            <w:shd w:val="clear" w:color="auto" w:fill="auto"/>
            <w:tcMar>
              <w:top w:w="40" w:type="dxa"/>
              <w:bottom w:w="40" w:type="dxa"/>
              <w:right w:w="40" w:type="dxa"/>
            </w:tcMar>
            <w:vAlign w:val="bottom"/>
          </w:tcPr>
          <w:p w14:paraId="0BC97E38"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7E3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E3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w:t>
            </w:r>
          </w:p>
        </w:tc>
        <w:tc>
          <w:tcPr>
            <w:tcW w:w="0" w:type="auto"/>
            <w:shd w:val="clear" w:color="auto" w:fill="auto"/>
            <w:tcMar>
              <w:top w:w="40" w:type="dxa"/>
              <w:bottom w:w="40" w:type="dxa"/>
              <w:right w:w="40" w:type="dxa"/>
            </w:tcMar>
            <w:vAlign w:val="bottom"/>
          </w:tcPr>
          <w:p w14:paraId="0BC97E3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7E3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E3D"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auto"/>
            <w:tcMar>
              <w:top w:w="40" w:type="dxa"/>
              <w:bottom w:w="40" w:type="dxa"/>
              <w:right w:w="40" w:type="dxa"/>
            </w:tcMar>
            <w:vAlign w:val="bottom"/>
          </w:tcPr>
          <w:p w14:paraId="0BC97E3E"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7E3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E4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w:t>
            </w:r>
          </w:p>
        </w:tc>
        <w:tc>
          <w:tcPr>
            <w:tcW w:w="0" w:type="auto"/>
            <w:shd w:val="clear" w:color="auto" w:fill="auto"/>
            <w:tcMar>
              <w:top w:w="40" w:type="dxa"/>
              <w:bottom w:w="40" w:type="dxa"/>
              <w:right w:w="40" w:type="dxa"/>
            </w:tcMar>
            <w:vAlign w:val="bottom"/>
          </w:tcPr>
          <w:p w14:paraId="0BC97E41"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bl>
    <w:p w14:paraId="0BC97E43" w14:textId="77777777" w:rsidR="009F0928" w:rsidRDefault="009F0928">
      <w:pPr>
        <w:spacing w:line="288" w:lineRule="auto"/>
        <w:ind w:firstLine="720"/>
        <w:jc w:val="both"/>
        <w:rPr>
          <w:rFonts w:ascii="Times New Roman" w:hAnsi="Times New Roman"/>
          <w:sz w:val="20"/>
          <w:szCs w:val="20"/>
        </w:rPr>
      </w:pPr>
    </w:p>
    <w:p w14:paraId="0BC97E44"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b/>
          <w:bCs/>
          <w:sz w:val="20"/>
          <w:szCs w:val="20"/>
        </w:rPr>
        <w:t>Net Revenues by Geography</w:t>
      </w:r>
    </w:p>
    <w:p w14:paraId="0BC97E45" w14:textId="77777777" w:rsidR="009F0928" w:rsidRDefault="009F0928">
      <w:pPr>
        <w:spacing w:line="288" w:lineRule="auto"/>
        <w:ind w:firstLine="720"/>
        <w:jc w:val="both"/>
        <w:rPr>
          <w:rFonts w:ascii="Times New Roman" w:hAnsi="Times New Roman"/>
          <w:sz w:val="20"/>
          <w:szCs w:val="20"/>
        </w:rPr>
      </w:pPr>
    </w:p>
    <w:p w14:paraId="0BC97E4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Revenues are attributed to U.S. and international geographies primarily based upon the country in which the seller, platform that displays advertising, other service provider or customer, as the case may be, is </w:t>
      </w:r>
      <w:r>
        <w:rPr>
          <w:rFonts w:ascii="Arial" w:eastAsia="宋体" w:hAnsi="Arial" w:cs="Arial"/>
          <w:sz w:val="20"/>
          <w:szCs w:val="20"/>
        </w:rPr>
        <w:t>located. The following table presents net revenues by geography for the periods presented (in millions, except percentages):</w:t>
      </w:r>
    </w:p>
    <w:tbl>
      <w:tblPr>
        <w:tblW w:w="5000" w:type="pct"/>
        <w:tblCellMar>
          <w:left w:w="0" w:type="dxa"/>
          <w:right w:w="0" w:type="dxa"/>
        </w:tblCellMar>
        <w:tblLook w:val="04A0" w:firstRow="1" w:lastRow="0" w:firstColumn="1" w:lastColumn="0" w:noHBand="0" w:noVBand="1"/>
      </w:tblPr>
      <w:tblGrid>
        <w:gridCol w:w="3786"/>
        <w:gridCol w:w="129"/>
        <w:gridCol w:w="490"/>
        <w:gridCol w:w="183"/>
        <w:gridCol w:w="169"/>
        <w:gridCol w:w="593"/>
        <w:gridCol w:w="236"/>
        <w:gridCol w:w="130"/>
        <w:gridCol w:w="129"/>
        <w:gridCol w:w="490"/>
        <w:gridCol w:w="183"/>
        <w:gridCol w:w="169"/>
        <w:gridCol w:w="593"/>
        <w:gridCol w:w="183"/>
        <w:gridCol w:w="130"/>
        <w:gridCol w:w="129"/>
        <w:gridCol w:w="401"/>
        <w:gridCol w:w="183"/>
      </w:tblGrid>
      <w:tr w:rsidR="009F0928" w14:paraId="0BC97E48" w14:textId="77777777">
        <w:tc>
          <w:tcPr>
            <w:tcW w:w="0" w:type="auto"/>
            <w:gridSpan w:val="18"/>
            <w:shd w:val="clear" w:color="auto" w:fill="auto"/>
            <w:vAlign w:val="center"/>
          </w:tcPr>
          <w:p w14:paraId="0BC97E47" w14:textId="77777777" w:rsidR="009F0928" w:rsidRDefault="009F0928">
            <w:pPr>
              <w:rPr>
                <w:rFonts w:ascii="Times New Roman" w:hAnsi="Times New Roman"/>
                <w:sz w:val="20"/>
                <w:szCs w:val="20"/>
              </w:rPr>
            </w:pPr>
          </w:p>
        </w:tc>
      </w:tr>
      <w:tr w:rsidR="009F0928" w14:paraId="0BC97E5B" w14:textId="77777777">
        <w:tc>
          <w:tcPr>
            <w:tcW w:w="2550" w:type="pct"/>
            <w:shd w:val="clear" w:color="auto" w:fill="auto"/>
            <w:vAlign w:val="center"/>
          </w:tcPr>
          <w:p w14:paraId="0BC97E49" w14:textId="77777777" w:rsidR="009F0928" w:rsidRDefault="009F0928">
            <w:pPr>
              <w:rPr>
                <w:rFonts w:ascii="Times New Roman" w:hAnsi="Times New Roman"/>
                <w:sz w:val="20"/>
                <w:szCs w:val="20"/>
              </w:rPr>
            </w:pPr>
          </w:p>
        </w:tc>
        <w:tc>
          <w:tcPr>
            <w:tcW w:w="50" w:type="pct"/>
            <w:shd w:val="clear" w:color="auto" w:fill="auto"/>
            <w:vAlign w:val="center"/>
          </w:tcPr>
          <w:p w14:paraId="0BC97E4A" w14:textId="77777777" w:rsidR="009F0928" w:rsidRDefault="009F0928">
            <w:pPr>
              <w:rPr>
                <w:rFonts w:ascii="Times New Roman" w:hAnsi="Times New Roman"/>
                <w:sz w:val="20"/>
                <w:szCs w:val="20"/>
              </w:rPr>
            </w:pPr>
          </w:p>
        </w:tc>
        <w:tc>
          <w:tcPr>
            <w:tcW w:w="350" w:type="pct"/>
            <w:shd w:val="clear" w:color="auto" w:fill="auto"/>
            <w:vAlign w:val="center"/>
          </w:tcPr>
          <w:p w14:paraId="0BC97E4B" w14:textId="77777777" w:rsidR="009F0928" w:rsidRDefault="009F0928">
            <w:pPr>
              <w:rPr>
                <w:rFonts w:ascii="Times New Roman" w:hAnsi="Times New Roman"/>
                <w:sz w:val="20"/>
                <w:szCs w:val="20"/>
              </w:rPr>
            </w:pPr>
          </w:p>
        </w:tc>
        <w:tc>
          <w:tcPr>
            <w:tcW w:w="50" w:type="pct"/>
            <w:shd w:val="clear" w:color="auto" w:fill="auto"/>
            <w:vAlign w:val="center"/>
          </w:tcPr>
          <w:p w14:paraId="0BC97E4C" w14:textId="77777777" w:rsidR="009F0928" w:rsidRDefault="009F0928">
            <w:pPr>
              <w:rPr>
                <w:rFonts w:ascii="Times New Roman" w:hAnsi="Times New Roman"/>
                <w:sz w:val="20"/>
                <w:szCs w:val="20"/>
              </w:rPr>
            </w:pPr>
          </w:p>
        </w:tc>
        <w:tc>
          <w:tcPr>
            <w:tcW w:w="50" w:type="pct"/>
            <w:shd w:val="clear" w:color="auto" w:fill="auto"/>
            <w:vAlign w:val="center"/>
          </w:tcPr>
          <w:p w14:paraId="0BC97E4D" w14:textId="77777777" w:rsidR="009F0928" w:rsidRDefault="009F0928">
            <w:pPr>
              <w:rPr>
                <w:rFonts w:ascii="Times New Roman" w:hAnsi="Times New Roman"/>
                <w:sz w:val="20"/>
                <w:szCs w:val="20"/>
              </w:rPr>
            </w:pPr>
          </w:p>
        </w:tc>
        <w:tc>
          <w:tcPr>
            <w:tcW w:w="400" w:type="pct"/>
            <w:shd w:val="clear" w:color="auto" w:fill="auto"/>
            <w:vAlign w:val="center"/>
          </w:tcPr>
          <w:p w14:paraId="0BC97E4E" w14:textId="77777777" w:rsidR="009F0928" w:rsidRDefault="009F0928">
            <w:pPr>
              <w:rPr>
                <w:rFonts w:ascii="Times New Roman" w:hAnsi="Times New Roman"/>
                <w:sz w:val="20"/>
                <w:szCs w:val="20"/>
              </w:rPr>
            </w:pPr>
          </w:p>
        </w:tc>
        <w:tc>
          <w:tcPr>
            <w:tcW w:w="50" w:type="pct"/>
            <w:shd w:val="clear" w:color="auto" w:fill="auto"/>
            <w:vAlign w:val="center"/>
          </w:tcPr>
          <w:p w14:paraId="0BC97E4F" w14:textId="77777777" w:rsidR="009F0928" w:rsidRDefault="009F0928">
            <w:pPr>
              <w:rPr>
                <w:rFonts w:ascii="Times New Roman" w:hAnsi="Times New Roman"/>
                <w:sz w:val="20"/>
                <w:szCs w:val="20"/>
              </w:rPr>
            </w:pPr>
          </w:p>
        </w:tc>
        <w:tc>
          <w:tcPr>
            <w:tcW w:w="50" w:type="pct"/>
            <w:shd w:val="clear" w:color="auto" w:fill="auto"/>
            <w:vAlign w:val="center"/>
          </w:tcPr>
          <w:p w14:paraId="0BC97E50" w14:textId="77777777" w:rsidR="009F0928" w:rsidRDefault="009F0928">
            <w:pPr>
              <w:rPr>
                <w:rFonts w:ascii="Times New Roman" w:hAnsi="Times New Roman"/>
                <w:sz w:val="20"/>
                <w:szCs w:val="20"/>
              </w:rPr>
            </w:pPr>
          </w:p>
        </w:tc>
        <w:tc>
          <w:tcPr>
            <w:tcW w:w="50" w:type="pct"/>
            <w:shd w:val="clear" w:color="auto" w:fill="auto"/>
            <w:vAlign w:val="center"/>
          </w:tcPr>
          <w:p w14:paraId="0BC97E51" w14:textId="77777777" w:rsidR="009F0928" w:rsidRDefault="009F0928">
            <w:pPr>
              <w:rPr>
                <w:rFonts w:ascii="Times New Roman" w:hAnsi="Times New Roman"/>
                <w:sz w:val="20"/>
                <w:szCs w:val="20"/>
              </w:rPr>
            </w:pPr>
          </w:p>
        </w:tc>
        <w:tc>
          <w:tcPr>
            <w:tcW w:w="350" w:type="pct"/>
            <w:shd w:val="clear" w:color="auto" w:fill="auto"/>
            <w:vAlign w:val="center"/>
          </w:tcPr>
          <w:p w14:paraId="0BC97E52" w14:textId="77777777" w:rsidR="009F0928" w:rsidRDefault="009F0928">
            <w:pPr>
              <w:rPr>
                <w:rFonts w:ascii="Times New Roman" w:hAnsi="Times New Roman"/>
                <w:sz w:val="20"/>
                <w:szCs w:val="20"/>
              </w:rPr>
            </w:pPr>
          </w:p>
        </w:tc>
        <w:tc>
          <w:tcPr>
            <w:tcW w:w="50" w:type="pct"/>
            <w:shd w:val="clear" w:color="auto" w:fill="auto"/>
            <w:vAlign w:val="center"/>
          </w:tcPr>
          <w:p w14:paraId="0BC97E53" w14:textId="77777777" w:rsidR="009F0928" w:rsidRDefault="009F0928">
            <w:pPr>
              <w:rPr>
                <w:rFonts w:ascii="Times New Roman" w:hAnsi="Times New Roman"/>
                <w:sz w:val="20"/>
                <w:szCs w:val="20"/>
              </w:rPr>
            </w:pPr>
          </w:p>
        </w:tc>
        <w:tc>
          <w:tcPr>
            <w:tcW w:w="50" w:type="pct"/>
            <w:shd w:val="clear" w:color="auto" w:fill="auto"/>
            <w:vAlign w:val="center"/>
          </w:tcPr>
          <w:p w14:paraId="0BC97E54" w14:textId="77777777" w:rsidR="009F0928" w:rsidRDefault="009F0928">
            <w:pPr>
              <w:rPr>
                <w:rFonts w:ascii="Times New Roman" w:hAnsi="Times New Roman"/>
                <w:sz w:val="20"/>
                <w:szCs w:val="20"/>
              </w:rPr>
            </w:pPr>
          </w:p>
        </w:tc>
        <w:tc>
          <w:tcPr>
            <w:tcW w:w="400" w:type="pct"/>
            <w:shd w:val="clear" w:color="auto" w:fill="auto"/>
            <w:vAlign w:val="center"/>
          </w:tcPr>
          <w:p w14:paraId="0BC97E55" w14:textId="77777777" w:rsidR="009F0928" w:rsidRDefault="009F0928">
            <w:pPr>
              <w:rPr>
                <w:rFonts w:ascii="Times New Roman" w:hAnsi="Times New Roman"/>
                <w:sz w:val="20"/>
                <w:szCs w:val="20"/>
              </w:rPr>
            </w:pPr>
          </w:p>
        </w:tc>
        <w:tc>
          <w:tcPr>
            <w:tcW w:w="50" w:type="pct"/>
            <w:shd w:val="clear" w:color="auto" w:fill="auto"/>
            <w:vAlign w:val="center"/>
          </w:tcPr>
          <w:p w14:paraId="0BC97E56" w14:textId="77777777" w:rsidR="009F0928" w:rsidRDefault="009F0928">
            <w:pPr>
              <w:rPr>
                <w:rFonts w:ascii="Times New Roman" w:hAnsi="Times New Roman"/>
                <w:sz w:val="20"/>
                <w:szCs w:val="20"/>
              </w:rPr>
            </w:pPr>
          </w:p>
        </w:tc>
        <w:tc>
          <w:tcPr>
            <w:tcW w:w="50" w:type="pct"/>
            <w:shd w:val="clear" w:color="auto" w:fill="auto"/>
            <w:vAlign w:val="center"/>
          </w:tcPr>
          <w:p w14:paraId="0BC97E57" w14:textId="77777777" w:rsidR="009F0928" w:rsidRDefault="009F0928">
            <w:pPr>
              <w:rPr>
                <w:rFonts w:ascii="Times New Roman" w:hAnsi="Times New Roman"/>
                <w:sz w:val="20"/>
                <w:szCs w:val="20"/>
              </w:rPr>
            </w:pPr>
          </w:p>
        </w:tc>
        <w:tc>
          <w:tcPr>
            <w:tcW w:w="50" w:type="pct"/>
            <w:shd w:val="clear" w:color="auto" w:fill="auto"/>
            <w:vAlign w:val="center"/>
          </w:tcPr>
          <w:p w14:paraId="0BC97E58" w14:textId="77777777" w:rsidR="009F0928" w:rsidRDefault="009F0928">
            <w:pPr>
              <w:rPr>
                <w:rFonts w:ascii="Times New Roman" w:hAnsi="Times New Roman"/>
                <w:sz w:val="20"/>
                <w:szCs w:val="20"/>
              </w:rPr>
            </w:pPr>
          </w:p>
        </w:tc>
        <w:tc>
          <w:tcPr>
            <w:tcW w:w="350" w:type="pct"/>
            <w:shd w:val="clear" w:color="auto" w:fill="auto"/>
            <w:vAlign w:val="center"/>
          </w:tcPr>
          <w:p w14:paraId="0BC97E59" w14:textId="77777777" w:rsidR="009F0928" w:rsidRDefault="009F0928">
            <w:pPr>
              <w:rPr>
                <w:rFonts w:ascii="Times New Roman" w:hAnsi="Times New Roman"/>
                <w:sz w:val="20"/>
                <w:szCs w:val="20"/>
              </w:rPr>
            </w:pPr>
          </w:p>
        </w:tc>
        <w:tc>
          <w:tcPr>
            <w:tcW w:w="50" w:type="pct"/>
            <w:shd w:val="clear" w:color="auto" w:fill="auto"/>
            <w:vAlign w:val="center"/>
          </w:tcPr>
          <w:p w14:paraId="0BC97E5A" w14:textId="77777777" w:rsidR="009F0928" w:rsidRDefault="009F0928">
            <w:pPr>
              <w:rPr>
                <w:rFonts w:ascii="Times New Roman" w:hAnsi="Times New Roman"/>
                <w:sz w:val="20"/>
                <w:szCs w:val="20"/>
              </w:rPr>
            </w:pPr>
          </w:p>
        </w:tc>
      </w:tr>
      <w:tr w:rsidR="009F0928" w14:paraId="0BC97E5E" w14:textId="77777777">
        <w:tc>
          <w:tcPr>
            <w:tcW w:w="0" w:type="auto"/>
            <w:shd w:val="clear" w:color="auto" w:fill="auto"/>
            <w:tcMar>
              <w:top w:w="40" w:type="dxa"/>
              <w:left w:w="560" w:type="dxa"/>
              <w:bottom w:w="40" w:type="dxa"/>
              <w:right w:w="40" w:type="dxa"/>
            </w:tcMar>
            <w:vAlign w:val="bottom"/>
          </w:tcPr>
          <w:p w14:paraId="0BC97E5C"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17"/>
            <w:tcBorders>
              <w:bottom w:val="single" w:sz="8" w:space="0" w:color="000000"/>
            </w:tcBorders>
            <w:shd w:val="clear" w:color="auto" w:fill="auto"/>
            <w:tcMar>
              <w:top w:w="40" w:type="dxa"/>
              <w:left w:w="40" w:type="dxa"/>
              <w:bottom w:w="40" w:type="dxa"/>
            </w:tcMar>
            <w:vAlign w:val="bottom"/>
          </w:tcPr>
          <w:p w14:paraId="0BC97E5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w:t>
            </w:r>
          </w:p>
        </w:tc>
      </w:tr>
      <w:tr w:rsidR="009F0928" w14:paraId="0BC97E69" w14:textId="77777777">
        <w:tc>
          <w:tcPr>
            <w:tcW w:w="0" w:type="auto"/>
            <w:shd w:val="clear" w:color="auto" w:fill="auto"/>
            <w:tcMar>
              <w:top w:w="40" w:type="dxa"/>
              <w:left w:w="40" w:type="dxa"/>
              <w:bottom w:w="40" w:type="dxa"/>
              <w:right w:w="40" w:type="dxa"/>
            </w:tcMar>
            <w:vAlign w:val="bottom"/>
          </w:tcPr>
          <w:p w14:paraId="0BC97E5F"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E6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0BC97E6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E62"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Change</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E6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E64"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0BC97E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E6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Change</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E6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E68"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2017</w:t>
            </w:r>
          </w:p>
        </w:tc>
      </w:tr>
      <w:tr w:rsidR="009F0928" w14:paraId="0BC97E7B" w14:textId="77777777">
        <w:tc>
          <w:tcPr>
            <w:tcW w:w="0" w:type="auto"/>
            <w:shd w:val="clear" w:color="auto" w:fill="E2E2E2"/>
            <w:tcMar>
              <w:top w:w="40" w:type="dxa"/>
              <w:left w:w="40" w:type="dxa"/>
              <w:bottom w:w="40" w:type="dxa"/>
              <w:right w:w="40" w:type="dxa"/>
            </w:tcMar>
            <w:vAlign w:val="bottom"/>
          </w:tcPr>
          <w:p w14:paraId="0BC97E6A" w14:textId="77777777" w:rsidR="009F0928" w:rsidRDefault="002112BD">
            <w:pPr>
              <w:textAlignment w:val="bottom"/>
              <w:rPr>
                <w:rFonts w:ascii="Times New Roman" w:hAnsi="Times New Roman"/>
                <w:sz w:val="16"/>
                <w:szCs w:val="16"/>
              </w:rPr>
            </w:pPr>
            <w:r>
              <w:rPr>
                <w:rFonts w:ascii="Arial" w:eastAsia="宋体" w:hAnsi="Arial" w:cs="Arial"/>
                <w:sz w:val="16"/>
                <w:szCs w:val="16"/>
              </w:rPr>
              <w:t>U.S.</w:t>
            </w:r>
          </w:p>
        </w:tc>
        <w:tc>
          <w:tcPr>
            <w:tcW w:w="0" w:type="auto"/>
            <w:tcBorders>
              <w:top w:val="single" w:sz="8" w:space="0" w:color="000000"/>
            </w:tcBorders>
            <w:shd w:val="clear" w:color="auto" w:fill="E2E2E2"/>
            <w:tcMar>
              <w:top w:w="40" w:type="dxa"/>
              <w:left w:w="40" w:type="dxa"/>
              <w:bottom w:w="40" w:type="dxa"/>
            </w:tcMar>
            <w:vAlign w:val="bottom"/>
          </w:tcPr>
          <w:p w14:paraId="0BC97E6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E2E2E2"/>
            <w:tcMar>
              <w:top w:w="40" w:type="dxa"/>
              <w:bottom w:w="40" w:type="dxa"/>
            </w:tcMar>
            <w:vAlign w:val="bottom"/>
          </w:tcPr>
          <w:p w14:paraId="0BC97E6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4,337</w:t>
            </w:r>
          </w:p>
        </w:tc>
        <w:tc>
          <w:tcPr>
            <w:tcW w:w="0" w:type="auto"/>
            <w:tcBorders>
              <w:top w:val="single" w:sz="8" w:space="0" w:color="000000"/>
            </w:tcBorders>
            <w:shd w:val="clear" w:color="auto" w:fill="E2E2E2"/>
            <w:vAlign w:val="bottom"/>
          </w:tcPr>
          <w:p w14:paraId="0BC97E6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E6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  </w:t>
            </w:r>
          </w:p>
        </w:tc>
        <w:tc>
          <w:tcPr>
            <w:tcW w:w="0" w:type="auto"/>
            <w:tcBorders>
              <w:top w:val="single" w:sz="8" w:space="0" w:color="000000"/>
            </w:tcBorders>
            <w:shd w:val="clear" w:color="auto" w:fill="E2E2E2"/>
            <w:tcMar>
              <w:top w:w="40" w:type="dxa"/>
              <w:left w:w="40" w:type="dxa"/>
              <w:bottom w:w="40" w:type="dxa"/>
            </w:tcMar>
            <w:vAlign w:val="bottom"/>
          </w:tcPr>
          <w:p w14:paraId="0BC97E6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top w:val="single" w:sz="8" w:space="0" w:color="000000"/>
            </w:tcBorders>
            <w:shd w:val="clear" w:color="auto" w:fill="E2E2E2"/>
            <w:tcMar>
              <w:top w:w="40" w:type="dxa"/>
              <w:bottom w:w="40" w:type="dxa"/>
              <w:right w:w="40" w:type="dxa"/>
            </w:tcMar>
            <w:vAlign w:val="bottom"/>
          </w:tcPr>
          <w:p w14:paraId="0BC97E70"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E2E2E2"/>
            <w:tcMar>
              <w:top w:w="40" w:type="dxa"/>
              <w:left w:w="40" w:type="dxa"/>
              <w:bottom w:w="40" w:type="dxa"/>
              <w:right w:w="40" w:type="dxa"/>
            </w:tcMar>
            <w:vAlign w:val="bottom"/>
          </w:tcPr>
          <w:p w14:paraId="0BC97E7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2E2E2"/>
            <w:tcMar>
              <w:top w:w="40" w:type="dxa"/>
              <w:left w:w="40" w:type="dxa"/>
              <w:bottom w:w="40" w:type="dxa"/>
            </w:tcMar>
            <w:vAlign w:val="bottom"/>
          </w:tcPr>
          <w:p w14:paraId="0BC97E7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4,373</w:t>
            </w:r>
          </w:p>
        </w:tc>
        <w:tc>
          <w:tcPr>
            <w:tcW w:w="0" w:type="auto"/>
            <w:tcBorders>
              <w:top w:val="single" w:sz="8" w:space="0" w:color="000000"/>
            </w:tcBorders>
            <w:shd w:val="clear" w:color="auto" w:fill="E2E2E2"/>
            <w:vAlign w:val="bottom"/>
          </w:tcPr>
          <w:p w14:paraId="0BC97E7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E7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  </w:t>
            </w:r>
          </w:p>
        </w:tc>
        <w:tc>
          <w:tcPr>
            <w:tcW w:w="0" w:type="auto"/>
            <w:tcBorders>
              <w:top w:val="single" w:sz="8" w:space="0" w:color="000000"/>
            </w:tcBorders>
            <w:shd w:val="clear" w:color="auto" w:fill="E2E2E2"/>
            <w:tcMar>
              <w:top w:w="40" w:type="dxa"/>
              <w:left w:w="40" w:type="dxa"/>
              <w:bottom w:w="40" w:type="dxa"/>
            </w:tcMar>
            <w:vAlign w:val="bottom"/>
          </w:tcPr>
          <w:p w14:paraId="0BC97E7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w:t>
            </w:r>
          </w:p>
        </w:tc>
        <w:tc>
          <w:tcPr>
            <w:tcW w:w="0" w:type="auto"/>
            <w:tcBorders>
              <w:top w:val="single" w:sz="8" w:space="0" w:color="000000"/>
            </w:tcBorders>
            <w:shd w:val="clear" w:color="auto" w:fill="E2E2E2"/>
            <w:tcMar>
              <w:top w:w="40" w:type="dxa"/>
              <w:bottom w:w="40" w:type="dxa"/>
              <w:right w:w="40" w:type="dxa"/>
            </w:tcMar>
            <w:vAlign w:val="bottom"/>
          </w:tcPr>
          <w:p w14:paraId="0BC97E76"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E2E2E2"/>
            <w:tcMar>
              <w:top w:w="40" w:type="dxa"/>
              <w:left w:w="40" w:type="dxa"/>
              <w:bottom w:w="40" w:type="dxa"/>
              <w:right w:w="40" w:type="dxa"/>
            </w:tcMar>
            <w:vAlign w:val="bottom"/>
          </w:tcPr>
          <w:p w14:paraId="0BC97E7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7E78"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E2E2E2"/>
            <w:tcMar>
              <w:top w:w="40" w:type="dxa"/>
              <w:bottom w:w="40" w:type="dxa"/>
            </w:tcMar>
            <w:vAlign w:val="bottom"/>
          </w:tcPr>
          <w:p w14:paraId="0BC97E7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4,187</w:t>
            </w:r>
          </w:p>
        </w:tc>
        <w:tc>
          <w:tcPr>
            <w:tcW w:w="0" w:type="auto"/>
            <w:tcBorders>
              <w:top w:val="single" w:sz="8" w:space="0" w:color="000000"/>
            </w:tcBorders>
            <w:shd w:val="clear" w:color="auto" w:fill="E2E2E2"/>
            <w:vAlign w:val="bottom"/>
          </w:tcPr>
          <w:p w14:paraId="0BC97E7A" w14:textId="77777777" w:rsidR="009F0928" w:rsidRDefault="009F0928">
            <w:pPr>
              <w:textAlignment w:val="bottom"/>
              <w:rPr>
                <w:rFonts w:ascii="Times New Roman" w:hAnsi="Times New Roman"/>
                <w:sz w:val="20"/>
                <w:szCs w:val="20"/>
              </w:rPr>
            </w:pPr>
          </w:p>
        </w:tc>
      </w:tr>
      <w:tr w:rsidR="009F0928" w14:paraId="0BC97E89" w14:textId="77777777">
        <w:tc>
          <w:tcPr>
            <w:tcW w:w="0" w:type="auto"/>
            <w:shd w:val="clear" w:color="auto" w:fill="auto"/>
            <w:tcMar>
              <w:top w:w="40" w:type="dxa"/>
              <w:left w:w="40" w:type="dxa"/>
              <w:bottom w:w="40" w:type="dxa"/>
              <w:right w:w="40" w:type="dxa"/>
            </w:tcMar>
            <w:vAlign w:val="bottom"/>
          </w:tcPr>
          <w:p w14:paraId="0BC97E7C"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Percentage of net revenues</w:t>
            </w:r>
          </w:p>
        </w:tc>
        <w:tc>
          <w:tcPr>
            <w:tcW w:w="0" w:type="auto"/>
            <w:gridSpan w:val="2"/>
            <w:shd w:val="clear" w:color="auto" w:fill="auto"/>
            <w:tcMar>
              <w:top w:w="40" w:type="dxa"/>
              <w:left w:w="40" w:type="dxa"/>
              <w:bottom w:w="40" w:type="dxa"/>
            </w:tcMar>
            <w:vAlign w:val="bottom"/>
          </w:tcPr>
          <w:p w14:paraId="0BC97E7D"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40</w:t>
            </w:r>
          </w:p>
        </w:tc>
        <w:tc>
          <w:tcPr>
            <w:tcW w:w="0" w:type="auto"/>
            <w:shd w:val="clear" w:color="auto" w:fill="auto"/>
            <w:tcMar>
              <w:top w:w="40" w:type="dxa"/>
              <w:bottom w:w="40" w:type="dxa"/>
              <w:right w:w="40" w:type="dxa"/>
            </w:tcMar>
            <w:vAlign w:val="bottom"/>
          </w:tcPr>
          <w:p w14:paraId="0BC97E7E"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c>
          <w:tcPr>
            <w:tcW w:w="0" w:type="auto"/>
            <w:shd w:val="clear" w:color="auto" w:fill="auto"/>
            <w:tcMar>
              <w:top w:w="40" w:type="dxa"/>
              <w:left w:w="40" w:type="dxa"/>
              <w:bottom w:w="40" w:type="dxa"/>
              <w:right w:w="40" w:type="dxa"/>
            </w:tcMar>
            <w:vAlign w:val="bottom"/>
          </w:tcPr>
          <w:p w14:paraId="0BC97E7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7E8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E8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E82"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41</w:t>
            </w:r>
          </w:p>
        </w:tc>
        <w:tc>
          <w:tcPr>
            <w:tcW w:w="0" w:type="auto"/>
            <w:shd w:val="clear" w:color="auto" w:fill="auto"/>
            <w:tcMar>
              <w:top w:w="40" w:type="dxa"/>
              <w:bottom w:w="40" w:type="dxa"/>
              <w:right w:w="40" w:type="dxa"/>
            </w:tcMar>
            <w:vAlign w:val="bottom"/>
          </w:tcPr>
          <w:p w14:paraId="0BC97E83"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c>
          <w:tcPr>
            <w:tcW w:w="0" w:type="auto"/>
            <w:shd w:val="clear" w:color="auto" w:fill="auto"/>
            <w:tcMar>
              <w:top w:w="40" w:type="dxa"/>
              <w:left w:w="40" w:type="dxa"/>
              <w:bottom w:w="40" w:type="dxa"/>
              <w:right w:w="40" w:type="dxa"/>
            </w:tcMar>
            <w:vAlign w:val="bottom"/>
          </w:tcPr>
          <w:p w14:paraId="0BC97E8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7E8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E8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E87"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42</w:t>
            </w:r>
          </w:p>
        </w:tc>
        <w:tc>
          <w:tcPr>
            <w:tcW w:w="0" w:type="auto"/>
            <w:shd w:val="clear" w:color="auto" w:fill="auto"/>
            <w:tcMar>
              <w:top w:w="40" w:type="dxa"/>
              <w:bottom w:w="40" w:type="dxa"/>
              <w:right w:w="40" w:type="dxa"/>
            </w:tcMar>
            <w:vAlign w:val="bottom"/>
          </w:tcPr>
          <w:p w14:paraId="0BC97E88"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r>
      <w:tr w:rsidR="009F0928" w14:paraId="0BC97E94" w14:textId="77777777">
        <w:tc>
          <w:tcPr>
            <w:tcW w:w="0" w:type="auto"/>
            <w:shd w:val="clear" w:color="auto" w:fill="E2E2E2"/>
            <w:tcMar>
              <w:top w:w="40" w:type="dxa"/>
              <w:left w:w="40" w:type="dxa"/>
              <w:bottom w:w="40" w:type="dxa"/>
              <w:right w:w="40" w:type="dxa"/>
            </w:tcMar>
            <w:vAlign w:val="bottom"/>
          </w:tcPr>
          <w:p w14:paraId="0BC97E8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7E8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E8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7E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E8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7E8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E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7E9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E9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7E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7EA4" w14:textId="77777777">
        <w:tc>
          <w:tcPr>
            <w:tcW w:w="0" w:type="auto"/>
            <w:shd w:val="clear" w:color="auto" w:fill="auto"/>
            <w:tcMar>
              <w:top w:w="40" w:type="dxa"/>
              <w:left w:w="40" w:type="dxa"/>
              <w:bottom w:w="40" w:type="dxa"/>
              <w:right w:w="40" w:type="dxa"/>
            </w:tcMar>
            <w:vAlign w:val="bottom"/>
          </w:tcPr>
          <w:p w14:paraId="0BC97E95" w14:textId="77777777" w:rsidR="009F0928" w:rsidRDefault="002112BD">
            <w:pPr>
              <w:textAlignment w:val="bottom"/>
              <w:rPr>
                <w:rFonts w:ascii="Times New Roman" w:hAnsi="Times New Roman"/>
                <w:sz w:val="16"/>
                <w:szCs w:val="16"/>
              </w:rPr>
            </w:pPr>
            <w:r>
              <w:rPr>
                <w:rFonts w:ascii="Arial" w:eastAsia="宋体" w:hAnsi="Arial" w:cs="Arial"/>
                <w:sz w:val="16"/>
                <w:szCs w:val="16"/>
              </w:rPr>
              <w:t>International</w:t>
            </w:r>
          </w:p>
        </w:tc>
        <w:tc>
          <w:tcPr>
            <w:tcW w:w="0" w:type="auto"/>
            <w:gridSpan w:val="2"/>
            <w:shd w:val="clear" w:color="auto" w:fill="auto"/>
            <w:tcMar>
              <w:top w:w="40" w:type="dxa"/>
              <w:left w:w="40" w:type="dxa"/>
              <w:bottom w:w="40" w:type="dxa"/>
            </w:tcMar>
            <w:vAlign w:val="bottom"/>
          </w:tcPr>
          <w:p w14:paraId="0BC97E9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6,463</w:t>
            </w:r>
          </w:p>
        </w:tc>
        <w:tc>
          <w:tcPr>
            <w:tcW w:w="0" w:type="auto"/>
            <w:shd w:val="clear" w:color="auto" w:fill="auto"/>
            <w:vAlign w:val="bottom"/>
          </w:tcPr>
          <w:p w14:paraId="0BC97E9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E9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E9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auto"/>
            <w:tcMar>
              <w:top w:w="40" w:type="dxa"/>
              <w:bottom w:w="40" w:type="dxa"/>
              <w:right w:w="40" w:type="dxa"/>
            </w:tcMar>
            <w:vAlign w:val="bottom"/>
          </w:tcPr>
          <w:p w14:paraId="0BC97E9A"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7E9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E9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6,373</w:t>
            </w:r>
          </w:p>
        </w:tc>
        <w:tc>
          <w:tcPr>
            <w:tcW w:w="0" w:type="auto"/>
            <w:shd w:val="clear" w:color="auto" w:fill="auto"/>
            <w:vAlign w:val="bottom"/>
          </w:tcPr>
          <w:p w14:paraId="0BC97E9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E9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E9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11</w:t>
            </w:r>
          </w:p>
        </w:tc>
        <w:tc>
          <w:tcPr>
            <w:tcW w:w="0" w:type="auto"/>
            <w:shd w:val="clear" w:color="auto" w:fill="auto"/>
            <w:tcMar>
              <w:top w:w="40" w:type="dxa"/>
              <w:bottom w:w="40" w:type="dxa"/>
              <w:right w:w="40" w:type="dxa"/>
            </w:tcMar>
            <w:vAlign w:val="bottom"/>
          </w:tcPr>
          <w:p w14:paraId="0BC97EA0"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7EA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EA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5,740</w:t>
            </w:r>
          </w:p>
        </w:tc>
        <w:tc>
          <w:tcPr>
            <w:tcW w:w="0" w:type="auto"/>
            <w:shd w:val="clear" w:color="auto" w:fill="auto"/>
            <w:vAlign w:val="bottom"/>
          </w:tcPr>
          <w:p w14:paraId="0BC97EA3" w14:textId="77777777" w:rsidR="009F0928" w:rsidRDefault="009F0928">
            <w:pPr>
              <w:textAlignment w:val="bottom"/>
              <w:rPr>
                <w:rFonts w:ascii="Times New Roman" w:hAnsi="Times New Roman"/>
                <w:sz w:val="20"/>
                <w:szCs w:val="20"/>
              </w:rPr>
            </w:pPr>
          </w:p>
        </w:tc>
      </w:tr>
      <w:tr w:rsidR="009F0928" w14:paraId="0BC97EB2" w14:textId="77777777">
        <w:tc>
          <w:tcPr>
            <w:tcW w:w="0" w:type="auto"/>
            <w:shd w:val="clear" w:color="auto" w:fill="E2E2E2"/>
            <w:tcMar>
              <w:top w:w="40" w:type="dxa"/>
              <w:left w:w="40" w:type="dxa"/>
              <w:bottom w:w="40" w:type="dxa"/>
              <w:right w:w="40" w:type="dxa"/>
            </w:tcMar>
            <w:vAlign w:val="bottom"/>
          </w:tcPr>
          <w:p w14:paraId="0BC97EA5"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Percentage of net revenues</w:t>
            </w:r>
          </w:p>
        </w:tc>
        <w:tc>
          <w:tcPr>
            <w:tcW w:w="0" w:type="auto"/>
            <w:gridSpan w:val="2"/>
            <w:shd w:val="clear" w:color="auto" w:fill="E2E2E2"/>
            <w:tcMar>
              <w:top w:w="40" w:type="dxa"/>
              <w:left w:w="40" w:type="dxa"/>
              <w:bottom w:w="40" w:type="dxa"/>
            </w:tcMar>
            <w:vAlign w:val="bottom"/>
          </w:tcPr>
          <w:p w14:paraId="0BC97EA6"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60</w:t>
            </w:r>
          </w:p>
        </w:tc>
        <w:tc>
          <w:tcPr>
            <w:tcW w:w="0" w:type="auto"/>
            <w:shd w:val="clear" w:color="auto" w:fill="E2E2E2"/>
            <w:tcMar>
              <w:top w:w="40" w:type="dxa"/>
              <w:bottom w:w="40" w:type="dxa"/>
              <w:right w:w="40" w:type="dxa"/>
            </w:tcMar>
            <w:vAlign w:val="bottom"/>
          </w:tcPr>
          <w:p w14:paraId="0BC97EA7"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c>
          <w:tcPr>
            <w:tcW w:w="0" w:type="auto"/>
            <w:shd w:val="clear" w:color="auto" w:fill="E2E2E2"/>
            <w:tcMar>
              <w:top w:w="40" w:type="dxa"/>
              <w:left w:w="40" w:type="dxa"/>
              <w:bottom w:w="40" w:type="dxa"/>
              <w:right w:w="40" w:type="dxa"/>
            </w:tcMar>
            <w:vAlign w:val="bottom"/>
          </w:tcPr>
          <w:p w14:paraId="0BC97E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7E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EA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EAB"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59</w:t>
            </w:r>
          </w:p>
        </w:tc>
        <w:tc>
          <w:tcPr>
            <w:tcW w:w="0" w:type="auto"/>
            <w:shd w:val="clear" w:color="auto" w:fill="E2E2E2"/>
            <w:tcMar>
              <w:top w:w="40" w:type="dxa"/>
              <w:bottom w:w="40" w:type="dxa"/>
              <w:right w:w="40" w:type="dxa"/>
            </w:tcMar>
            <w:vAlign w:val="bottom"/>
          </w:tcPr>
          <w:p w14:paraId="0BC97EAC"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c>
          <w:tcPr>
            <w:tcW w:w="0" w:type="auto"/>
            <w:shd w:val="clear" w:color="auto" w:fill="E2E2E2"/>
            <w:tcMar>
              <w:top w:w="40" w:type="dxa"/>
              <w:left w:w="40" w:type="dxa"/>
              <w:bottom w:w="40" w:type="dxa"/>
              <w:right w:w="40" w:type="dxa"/>
            </w:tcMar>
            <w:vAlign w:val="bottom"/>
          </w:tcPr>
          <w:p w14:paraId="0BC97EA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7EA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7EA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EB0"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58</w:t>
            </w:r>
          </w:p>
        </w:tc>
        <w:tc>
          <w:tcPr>
            <w:tcW w:w="0" w:type="auto"/>
            <w:shd w:val="clear" w:color="auto" w:fill="E2E2E2"/>
            <w:tcMar>
              <w:top w:w="40" w:type="dxa"/>
              <w:bottom w:w="40" w:type="dxa"/>
              <w:right w:w="40" w:type="dxa"/>
            </w:tcMar>
            <w:vAlign w:val="bottom"/>
          </w:tcPr>
          <w:p w14:paraId="0BC97EB1"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r>
      <w:tr w:rsidR="009F0928" w14:paraId="0BC97EBD" w14:textId="77777777">
        <w:tc>
          <w:tcPr>
            <w:tcW w:w="0" w:type="auto"/>
            <w:shd w:val="clear" w:color="auto" w:fill="auto"/>
            <w:tcMar>
              <w:top w:w="40" w:type="dxa"/>
              <w:left w:w="40" w:type="dxa"/>
              <w:bottom w:w="40" w:type="dxa"/>
              <w:right w:w="40" w:type="dxa"/>
            </w:tcMar>
            <w:vAlign w:val="bottom"/>
          </w:tcPr>
          <w:p w14:paraId="0BC97E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E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EB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7E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EB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EB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EB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7EB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EB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EB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7ED0" w14:textId="77777777">
        <w:tc>
          <w:tcPr>
            <w:tcW w:w="0" w:type="auto"/>
            <w:shd w:val="clear" w:color="auto" w:fill="E2E2E2"/>
            <w:tcMar>
              <w:top w:w="40" w:type="dxa"/>
              <w:left w:w="240" w:type="dxa"/>
              <w:bottom w:w="40" w:type="dxa"/>
              <w:right w:w="40" w:type="dxa"/>
            </w:tcMar>
            <w:vAlign w:val="bottom"/>
          </w:tcPr>
          <w:p w14:paraId="0BC97EBE" w14:textId="77777777" w:rsidR="009F0928" w:rsidRDefault="002112BD">
            <w:pPr>
              <w:textAlignment w:val="bottom"/>
              <w:rPr>
                <w:rFonts w:ascii="Times New Roman" w:hAnsi="Times New Roman"/>
                <w:sz w:val="16"/>
                <w:szCs w:val="16"/>
              </w:rPr>
            </w:pPr>
            <w:r>
              <w:rPr>
                <w:rFonts w:ascii="Arial" w:eastAsia="宋体" w:hAnsi="Arial" w:cs="Arial"/>
                <w:sz w:val="16"/>
                <w:szCs w:val="16"/>
              </w:rPr>
              <w:t>Total net revenues</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7EB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7EC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10,800</w:t>
            </w:r>
          </w:p>
        </w:tc>
        <w:tc>
          <w:tcPr>
            <w:tcW w:w="0" w:type="auto"/>
            <w:tcBorders>
              <w:top w:val="single" w:sz="8" w:space="0" w:color="000000"/>
              <w:bottom w:val="double" w:sz="6" w:space="0" w:color="000000"/>
            </w:tcBorders>
            <w:shd w:val="clear" w:color="auto" w:fill="E2E2E2"/>
            <w:vAlign w:val="bottom"/>
          </w:tcPr>
          <w:p w14:paraId="0BC97EC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EC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EC3"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E2E2E2"/>
            <w:tcMar>
              <w:top w:w="40" w:type="dxa"/>
              <w:bottom w:w="40" w:type="dxa"/>
              <w:right w:w="40" w:type="dxa"/>
            </w:tcMar>
            <w:vAlign w:val="bottom"/>
          </w:tcPr>
          <w:p w14:paraId="0BC97EC4"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7EC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7EC6"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7EC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10,746</w:t>
            </w:r>
          </w:p>
        </w:tc>
        <w:tc>
          <w:tcPr>
            <w:tcW w:w="0" w:type="auto"/>
            <w:tcBorders>
              <w:top w:val="single" w:sz="8" w:space="0" w:color="000000"/>
              <w:bottom w:val="double" w:sz="6" w:space="0" w:color="000000"/>
            </w:tcBorders>
            <w:shd w:val="clear" w:color="auto" w:fill="E2E2E2"/>
            <w:vAlign w:val="bottom"/>
          </w:tcPr>
          <w:p w14:paraId="0BC97EC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EC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EC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w:t>
            </w:r>
          </w:p>
        </w:tc>
        <w:tc>
          <w:tcPr>
            <w:tcW w:w="0" w:type="auto"/>
            <w:shd w:val="clear" w:color="auto" w:fill="E2E2E2"/>
            <w:tcMar>
              <w:top w:w="40" w:type="dxa"/>
              <w:bottom w:w="40" w:type="dxa"/>
              <w:right w:w="40" w:type="dxa"/>
            </w:tcMar>
            <w:vAlign w:val="bottom"/>
          </w:tcPr>
          <w:p w14:paraId="0BC97EC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7EC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7EC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7EC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9,927</w:t>
            </w:r>
          </w:p>
        </w:tc>
        <w:tc>
          <w:tcPr>
            <w:tcW w:w="0" w:type="auto"/>
            <w:tcBorders>
              <w:top w:val="single" w:sz="8" w:space="0" w:color="000000"/>
              <w:bottom w:val="double" w:sz="6" w:space="0" w:color="000000"/>
            </w:tcBorders>
            <w:shd w:val="clear" w:color="auto" w:fill="E2E2E2"/>
            <w:vAlign w:val="bottom"/>
          </w:tcPr>
          <w:p w14:paraId="0BC97ECF" w14:textId="77777777" w:rsidR="009F0928" w:rsidRDefault="009F0928">
            <w:pPr>
              <w:textAlignment w:val="bottom"/>
              <w:rPr>
                <w:rFonts w:ascii="Times New Roman" w:hAnsi="Times New Roman"/>
                <w:sz w:val="20"/>
                <w:szCs w:val="20"/>
              </w:rPr>
            </w:pPr>
          </w:p>
        </w:tc>
      </w:tr>
    </w:tbl>
    <w:p w14:paraId="0BC97ED1" w14:textId="77777777" w:rsidR="009F0928" w:rsidRDefault="009F0928">
      <w:pPr>
        <w:spacing w:line="288" w:lineRule="auto"/>
        <w:ind w:firstLine="720"/>
        <w:jc w:val="both"/>
        <w:rPr>
          <w:rFonts w:ascii="Times New Roman" w:hAnsi="Times New Roman"/>
          <w:sz w:val="20"/>
          <w:szCs w:val="20"/>
        </w:rPr>
      </w:pPr>
    </w:p>
    <w:p w14:paraId="0BC97ED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Net revenues included $81 million of hedging gains and $8 million and $28 million of hedging losses during the years ended December 31, 2019, 2018 and 2017, respectively. The hedging activity in net revenues specifically</w:t>
      </w:r>
      <w:r>
        <w:rPr>
          <w:rFonts w:ascii="Arial" w:eastAsia="宋体" w:hAnsi="Arial" w:cs="Arial"/>
          <w:sz w:val="20"/>
          <w:szCs w:val="20"/>
        </w:rPr>
        <w:t xml:space="preserve"> relates to hedges of net transaction revenues generated by our Marketplace segment. Foreign currency movements relative to the U.S. dollar had an unfavorable impact of $211 million, a favorable impact of $174 million and unfavorable impact of $39 million </w:t>
      </w:r>
      <w:r>
        <w:rPr>
          <w:rFonts w:ascii="Arial" w:eastAsia="宋体" w:hAnsi="Arial" w:cs="Arial"/>
          <w:sz w:val="20"/>
          <w:szCs w:val="20"/>
        </w:rPr>
        <w:t>on net revenues for the years December 31, 2019, 2018 and 2017, respectively. The effect of foreign currency exchange rate movements in 2019 compared to 2018 was primarily attributable to the strengthening of the U.S. dollar against the euro, British pound</w:t>
      </w:r>
      <w:r>
        <w:rPr>
          <w:rFonts w:ascii="Arial" w:eastAsia="宋体" w:hAnsi="Arial" w:cs="Arial"/>
          <w:sz w:val="20"/>
          <w:szCs w:val="20"/>
        </w:rPr>
        <w:t xml:space="preserve"> and Korean won. The effect of foreign currency exchange rate movements in 2018 compared to 2017 was primarily attributable to the weakening of the U.S. dollar against the euro, British pound and Korean won.</w:t>
      </w:r>
    </w:p>
    <w:p w14:paraId="0BC97ED3" w14:textId="77777777" w:rsidR="009F0928" w:rsidRDefault="009F0928">
      <w:pPr>
        <w:spacing w:line="288" w:lineRule="auto"/>
        <w:jc w:val="both"/>
        <w:rPr>
          <w:rFonts w:ascii="Times New Roman" w:hAnsi="Times New Roman"/>
          <w:sz w:val="20"/>
          <w:szCs w:val="20"/>
        </w:rPr>
      </w:pPr>
    </w:p>
    <w:p w14:paraId="0BC97ED4" w14:textId="77777777" w:rsidR="009F0928" w:rsidRDefault="009F0928">
      <w:pPr>
        <w:rPr>
          <w:rFonts w:ascii="Times New Roman" w:hAnsi="Times New Roman"/>
          <w:sz w:val="20"/>
          <w:szCs w:val="20"/>
        </w:rPr>
      </w:pPr>
    </w:p>
    <w:p w14:paraId="0BC97ED5"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39</w:t>
      </w:r>
    </w:p>
    <w:p w14:paraId="0BC97ED6" w14:textId="77777777" w:rsidR="009F0928" w:rsidRDefault="002112BD">
      <w:r>
        <w:rPr>
          <w:rFonts w:ascii="Times New Roman" w:hAnsi="Times New Roman"/>
          <w:sz w:val="18"/>
          <w:szCs w:val="18"/>
        </w:rPr>
        <w:pict w14:anchorId="0BC9B4E4">
          <v:rect id="_x0000_i1064" style="width:415.3pt;height:1.5pt" o:hralign="center" o:hrstd="t" o:hr="t" fillcolor="#a0a0a0" stroked="f"/>
        </w:pict>
      </w:r>
    </w:p>
    <w:p w14:paraId="0BC97ED7" w14:textId="77777777" w:rsidR="009F0928" w:rsidRDefault="009F0928">
      <w:pPr>
        <w:spacing w:line="288" w:lineRule="auto"/>
        <w:rPr>
          <w:rFonts w:ascii="Times New Roman" w:hAnsi="Times New Roman"/>
          <w:sz w:val="20"/>
          <w:szCs w:val="20"/>
        </w:rPr>
      </w:pPr>
    </w:p>
    <w:p w14:paraId="0BC97ED8" w14:textId="77777777" w:rsidR="009F0928" w:rsidRDefault="009F0928">
      <w:pPr>
        <w:rPr>
          <w:rFonts w:ascii="Times New Roman" w:hAnsi="Times New Roman"/>
          <w:sz w:val="20"/>
          <w:szCs w:val="20"/>
        </w:rPr>
      </w:pPr>
    </w:p>
    <w:p w14:paraId="0BC97ED9"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b/>
          <w:bCs/>
          <w:sz w:val="20"/>
          <w:szCs w:val="20"/>
        </w:rPr>
        <w:t>Net Revenues by Type and Segment</w:t>
      </w:r>
    </w:p>
    <w:p w14:paraId="0BC97EDA" w14:textId="77777777" w:rsidR="009F0928" w:rsidRDefault="009F0928">
      <w:pPr>
        <w:spacing w:line="288" w:lineRule="auto"/>
        <w:ind w:firstLine="640"/>
        <w:jc w:val="both"/>
        <w:rPr>
          <w:rFonts w:ascii="Times New Roman" w:hAnsi="Times New Roman"/>
          <w:sz w:val="20"/>
          <w:szCs w:val="20"/>
        </w:rPr>
      </w:pPr>
    </w:p>
    <w:p w14:paraId="0BC97ED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generate two types of net revenues: </w:t>
      </w:r>
    </w:p>
    <w:p w14:paraId="0BC97EDC" w14:textId="77777777" w:rsidR="009F0928" w:rsidRDefault="009F0928">
      <w:pPr>
        <w:spacing w:line="288" w:lineRule="auto"/>
        <w:ind w:firstLine="720"/>
        <w:jc w:val="both"/>
        <w:rPr>
          <w:rFonts w:ascii="Times New Roman" w:hAnsi="Times New Roman"/>
          <w:sz w:val="20"/>
          <w:szCs w:val="20"/>
        </w:rPr>
      </w:pPr>
    </w:p>
    <w:p w14:paraId="0BC97EDD"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Net transaction revenues</w:t>
      </w:r>
      <w:r>
        <w:rPr>
          <w:rFonts w:ascii="Arial" w:eastAsia="宋体" w:hAnsi="Arial" w:cs="Arial"/>
          <w:sz w:val="20"/>
          <w:szCs w:val="20"/>
        </w:rPr>
        <w:t xml:space="preserve"> primarily include final value fees, feature fees, including fees to promote listings, and listing fees from sellers on our Marketplace platforms and final value fees from sellers and buyers </w:t>
      </w:r>
      <w:r>
        <w:rPr>
          <w:rFonts w:ascii="Arial" w:eastAsia="宋体" w:hAnsi="Arial" w:cs="Arial"/>
          <w:sz w:val="20"/>
          <w:szCs w:val="20"/>
        </w:rPr>
        <w:t>on our StubHub platforms. Our net transaction revenues also include store subscription and other fees often from large enterprise sellers. Our net transaction revenues are reduced by incentives, including discounts, coupons and rewards, provided to our cus</w:t>
      </w:r>
      <w:r>
        <w:rPr>
          <w:rFonts w:ascii="Arial" w:eastAsia="宋体" w:hAnsi="Arial" w:cs="Arial"/>
          <w:sz w:val="20"/>
          <w:szCs w:val="20"/>
        </w:rPr>
        <w:t>tomers.</w:t>
      </w:r>
    </w:p>
    <w:p w14:paraId="0BC97EDE" w14:textId="77777777" w:rsidR="009F0928" w:rsidRDefault="009F0928">
      <w:pPr>
        <w:spacing w:line="288" w:lineRule="auto"/>
        <w:jc w:val="both"/>
        <w:rPr>
          <w:rFonts w:ascii="Times New Roman" w:hAnsi="Times New Roman"/>
          <w:sz w:val="20"/>
          <w:szCs w:val="20"/>
        </w:rPr>
      </w:pPr>
    </w:p>
    <w:p w14:paraId="0BC97EDF"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Marketing services and other ("MS&amp;O")</w:t>
      </w:r>
      <w:r>
        <w:rPr>
          <w:rFonts w:ascii="Arial" w:eastAsia="宋体" w:hAnsi="Arial" w:cs="Arial"/>
          <w:sz w:val="20"/>
          <w:szCs w:val="20"/>
        </w:rPr>
        <w:t xml:space="preserve"> revenues consist of Marketplace, StubHub and Classifieds revenues principally from the sale of advertisements, classifieds fees, revenue sharing arrangements and first-party inventory programs. </w:t>
      </w:r>
    </w:p>
    <w:p w14:paraId="0BC97EE0" w14:textId="77777777" w:rsidR="009F0928" w:rsidRDefault="009F0928">
      <w:pPr>
        <w:spacing w:line="288" w:lineRule="auto"/>
        <w:ind w:firstLine="720"/>
        <w:jc w:val="both"/>
        <w:rPr>
          <w:rFonts w:ascii="Times New Roman" w:hAnsi="Times New Roman"/>
          <w:sz w:val="20"/>
          <w:szCs w:val="20"/>
        </w:rPr>
      </w:pPr>
    </w:p>
    <w:p w14:paraId="0BC97EE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w:t>
      </w:r>
      <w:r>
        <w:rPr>
          <w:rFonts w:ascii="Arial" w:eastAsia="宋体" w:hAnsi="Arial" w:cs="Arial"/>
          <w:sz w:val="20"/>
          <w:szCs w:val="20"/>
        </w:rPr>
        <w:t xml:space="preserve"> table presents net revenues by type and segment (in millions, except percentages):</w:t>
      </w:r>
    </w:p>
    <w:tbl>
      <w:tblPr>
        <w:tblW w:w="5000" w:type="pct"/>
        <w:tblCellMar>
          <w:left w:w="0" w:type="dxa"/>
          <w:right w:w="0" w:type="dxa"/>
        </w:tblCellMar>
        <w:tblLook w:val="04A0" w:firstRow="1" w:lastRow="0" w:firstColumn="1" w:lastColumn="0" w:noHBand="0" w:noVBand="1"/>
      </w:tblPr>
      <w:tblGrid>
        <w:gridCol w:w="3310"/>
        <w:gridCol w:w="141"/>
        <w:gridCol w:w="653"/>
        <w:gridCol w:w="100"/>
        <w:gridCol w:w="130"/>
        <w:gridCol w:w="737"/>
        <w:gridCol w:w="260"/>
        <w:gridCol w:w="130"/>
        <w:gridCol w:w="141"/>
        <w:gridCol w:w="654"/>
        <w:gridCol w:w="6"/>
        <w:gridCol w:w="130"/>
        <w:gridCol w:w="722"/>
        <w:gridCol w:w="260"/>
        <w:gridCol w:w="130"/>
        <w:gridCol w:w="141"/>
        <w:gridCol w:w="655"/>
        <w:gridCol w:w="6"/>
      </w:tblGrid>
      <w:tr w:rsidR="009F0928" w14:paraId="0BC97EE3" w14:textId="77777777">
        <w:tc>
          <w:tcPr>
            <w:tcW w:w="0" w:type="auto"/>
            <w:gridSpan w:val="18"/>
            <w:shd w:val="clear" w:color="auto" w:fill="auto"/>
            <w:vAlign w:val="center"/>
          </w:tcPr>
          <w:p w14:paraId="0BC97EE2" w14:textId="77777777" w:rsidR="009F0928" w:rsidRDefault="009F0928">
            <w:pPr>
              <w:rPr>
                <w:rFonts w:ascii="Times New Roman" w:hAnsi="Times New Roman"/>
                <w:sz w:val="20"/>
                <w:szCs w:val="20"/>
              </w:rPr>
            </w:pPr>
          </w:p>
        </w:tc>
      </w:tr>
      <w:tr w:rsidR="009F0928" w14:paraId="0BC97EF6" w14:textId="77777777">
        <w:tc>
          <w:tcPr>
            <w:tcW w:w="2050" w:type="pct"/>
            <w:shd w:val="clear" w:color="auto" w:fill="auto"/>
            <w:vAlign w:val="center"/>
          </w:tcPr>
          <w:p w14:paraId="0BC97EE4" w14:textId="77777777" w:rsidR="009F0928" w:rsidRDefault="009F0928">
            <w:pPr>
              <w:rPr>
                <w:rFonts w:ascii="Times New Roman" w:hAnsi="Times New Roman"/>
                <w:sz w:val="20"/>
                <w:szCs w:val="20"/>
              </w:rPr>
            </w:pPr>
          </w:p>
        </w:tc>
        <w:tc>
          <w:tcPr>
            <w:tcW w:w="50" w:type="pct"/>
            <w:shd w:val="clear" w:color="auto" w:fill="auto"/>
            <w:vAlign w:val="center"/>
          </w:tcPr>
          <w:p w14:paraId="0BC97EE5" w14:textId="77777777" w:rsidR="009F0928" w:rsidRDefault="009F0928">
            <w:pPr>
              <w:rPr>
                <w:rFonts w:ascii="Times New Roman" w:hAnsi="Times New Roman"/>
                <w:sz w:val="20"/>
                <w:szCs w:val="20"/>
              </w:rPr>
            </w:pPr>
          </w:p>
        </w:tc>
        <w:tc>
          <w:tcPr>
            <w:tcW w:w="450" w:type="pct"/>
            <w:shd w:val="clear" w:color="auto" w:fill="auto"/>
            <w:vAlign w:val="center"/>
          </w:tcPr>
          <w:p w14:paraId="0BC97EE6" w14:textId="77777777" w:rsidR="009F0928" w:rsidRDefault="009F0928">
            <w:pPr>
              <w:rPr>
                <w:rFonts w:ascii="Times New Roman" w:hAnsi="Times New Roman"/>
                <w:sz w:val="20"/>
                <w:szCs w:val="20"/>
              </w:rPr>
            </w:pPr>
          </w:p>
        </w:tc>
        <w:tc>
          <w:tcPr>
            <w:tcW w:w="50" w:type="pct"/>
            <w:shd w:val="clear" w:color="auto" w:fill="auto"/>
            <w:vAlign w:val="center"/>
          </w:tcPr>
          <w:p w14:paraId="0BC97EE7" w14:textId="77777777" w:rsidR="009F0928" w:rsidRDefault="009F0928">
            <w:pPr>
              <w:rPr>
                <w:rFonts w:ascii="Times New Roman" w:hAnsi="Times New Roman"/>
                <w:sz w:val="20"/>
                <w:szCs w:val="20"/>
              </w:rPr>
            </w:pPr>
          </w:p>
        </w:tc>
        <w:tc>
          <w:tcPr>
            <w:tcW w:w="50" w:type="pct"/>
            <w:shd w:val="clear" w:color="auto" w:fill="auto"/>
            <w:vAlign w:val="center"/>
          </w:tcPr>
          <w:p w14:paraId="0BC97EE8" w14:textId="77777777" w:rsidR="009F0928" w:rsidRDefault="009F0928">
            <w:pPr>
              <w:rPr>
                <w:rFonts w:ascii="Times New Roman" w:hAnsi="Times New Roman"/>
                <w:sz w:val="20"/>
                <w:szCs w:val="20"/>
              </w:rPr>
            </w:pPr>
          </w:p>
        </w:tc>
        <w:tc>
          <w:tcPr>
            <w:tcW w:w="500" w:type="pct"/>
            <w:shd w:val="clear" w:color="auto" w:fill="auto"/>
            <w:vAlign w:val="center"/>
          </w:tcPr>
          <w:p w14:paraId="0BC97EE9" w14:textId="77777777" w:rsidR="009F0928" w:rsidRDefault="009F0928">
            <w:pPr>
              <w:rPr>
                <w:rFonts w:ascii="Times New Roman" w:hAnsi="Times New Roman"/>
                <w:sz w:val="20"/>
                <w:szCs w:val="20"/>
              </w:rPr>
            </w:pPr>
          </w:p>
        </w:tc>
        <w:tc>
          <w:tcPr>
            <w:tcW w:w="50" w:type="pct"/>
            <w:shd w:val="clear" w:color="auto" w:fill="auto"/>
            <w:vAlign w:val="center"/>
          </w:tcPr>
          <w:p w14:paraId="0BC97EEA" w14:textId="77777777" w:rsidR="009F0928" w:rsidRDefault="009F0928">
            <w:pPr>
              <w:rPr>
                <w:rFonts w:ascii="Times New Roman" w:hAnsi="Times New Roman"/>
                <w:sz w:val="20"/>
                <w:szCs w:val="20"/>
              </w:rPr>
            </w:pPr>
          </w:p>
        </w:tc>
        <w:tc>
          <w:tcPr>
            <w:tcW w:w="50" w:type="pct"/>
            <w:shd w:val="clear" w:color="auto" w:fill="auto"/>
            <w:vAlign w:val="center"/>
          </w:tcPr>
          <w:p w14:paraId="0BC97EEB" w14:textId="77777777" w:rsidR="009F0928" w:rsidRDefault="009F0928">
            <w:pPr>
              <w:rPr>
                <w:rFonts w:ascii="Times New Roman" w:hAnsi="Times New Roman"/>
                <w:sz w:val="20"/>
                <w:szCs w:val="20"/>
              </w:rPr>
            </w:pPr>
          </w:p>
        </w:tc>
        <w:tc>
          <w:tcPr>
            <w:tcW w:w="50" w:type="pct"/>
            <w:shd w:val="clear" w:color="auto" w:fill="auto"/>
            <w:vAlign w:val="center"/>
          </w:tcPr>
          <w:p w14:paraId="0BC97EEC" w14:textId="77777777" w:rsidR="009F0928" w:rsidRDefault="009F0928">
            <w:pPr>
              <w:rPr>
                <w:rFonts w:ascii="Times New Roman" w:hAnsi="Times New Roman"/>
                <w:sz w:val="20"/>
                <w:szCs w:val="20"/>
              </w:rPr>
            </w:pPr>
          </w:p>
        </w:tc>
        <w:tc>
          <w:tcPr>
            <w:tcW w:w="450" w:type="pct"/>
            <w:shd w:val="clear" w:color="auto" w:fill="auto"/>
            <w:vAlign w:val="center"/>
          </w:tcPr>
          <w:p w14:paraId="0BC97EED" w14:textId="77777777" w:rsidR="009F0928" w:rsidRDefault="009F0928">
            <w:pPr>
              <w:rPr>
                <w:rFonts w:ascii="Times New Roman" w:hAnsi="Times New Roman"/>
                <w:sz w:val="20"/>
                <w:szCs w:val="20"/>
              </w:rPr>
            </w:pPr>
          </w:p>
        </w:tc>
        <w:tc>
          <w:tcPr>
            <w:tcW w:w="50" w:type="pct"/>
            <w:shd w:val="clear" w:color="auto" w:fill="auto"/>
            <w:vAlign w:val="center"/>
          </w:tcPr>
          <w:p w14:paraId="0BC97EEE" w14:textId="77777777" w:rsidR="009F0928" w:rsidRDefault="009F0928">
            <w:pPr>
              <w:rPr>
                <w:rFonts w:ascii="Times New Roman" w:hAnsi="Times New Roman"/>
                <w:sz w:val="20"/>
                <w:szCs w:val="20"/>
              </w:rPr>
            </w:pPr>
          </w:p>
        </w:tc>
        <w:tc>
          <w:tcPr>
            <w:tcW w:w="50" w:type="pct"/>
            <w:shd w:val="clear" w:color="auto" w:fill="auto"/>
            <w:vAlign w:val="center"/>
          </w:tcPr>
          <w:p w14:paraId="0BC97EEF" w14:textId="77777777" w:rsidR="009F0928" w:rsidRDefault="009F0928">
            <w:pPr>
              <w:rPr>
                <w:rFonts w:ascii="Times New Roman" w:hAnsi="Times New Roman"/>
                <w:sz w:val="20"/>
                <w:szCs w:val="20"/>
              </w:rPr>
            </w:pPr>
          </w:p>
        </w:tc>
        <w:tc>
          <w:tcPr>
            <w:tcW w:w="500" w:type="pct"/>
            <w:shd w:val="clear" w:color="auto" w:fill="auto"/>
            <w:vAlign w:val="center"/>
          </w:tcPr>
          <w:p w14:paraId="0BC97EF0" w14:textId="77777777" w:rsidR="009F0928" w:rsidRDefault="009F0928">
            <w:pPr>
              <w:rPr>
                <w:rFonts w:ascii="Times New Roman" w:hAnsi="Times New Roman"/>
                <w:sz w:val="20"/>
                <w:szCs w:val="20"/>
              </w:rPr>
            </w:pPr>
          </w:p>
        </w:tc>
        <w:tc>
          <w:tcPr>
            <w:tcW w:w="50" w:type="pct"/>
            <w:shd w:val="clear" w:color="auto" w:fill="auto"/>
            <w:vAlign w:val="center"/>
          </w:tcPr>
          <w:p w14:paraId="0BC97EF1" w14:textId="77777777" w:rsidR="009F0928" w:rsidRDefault="009F0928">
            <w:pPr>
              <w:rPr>
                <w:rFonts w:ascii="Times New Roman" w:hAnsi="Times New Roman"/>
                <w:sz w:val="20"/>
                <w:szCs w:val="20"/>
              </w:rPr>
            </w:pPr>
          </w:p>
        </w:tc>
        <w:tc>
          <w:tcPr>
            <w:tcW w:w="50" w:type="pct"/>
            <w:shd w:val="clear" w:color="auto" w:fill="auto"/>
            <w:vAlign w:val="center"/>
          </w:tcPr>
          <w:p w14:paraId="0BC97EF2" w14:textId="77777777" w:rsidR="009F0928" w:rsidRDefault="009F0928">
            <w:pPr>
              <w:rPr>
                <w:rFonts w:ascii="Times New Roman" w:hAnsi="Times New Roman"/>
                <w:sz w:val="20"/>
                <w:szCs w:val="20"/>
              </w:rPr>
            </w:pPr>
          </w:p>
        </w:tc>
        <w:tc>
          <w:tcPr>
            <w:tcW w:w="50" w:type="pct"/>
            <w:shd w:val="clear" w:color="auto" w:fill="auto"/>
            <w:vAlign w:val="center"/>
          </w:tcPr>
          <w:p w14:paraId="0BC97EF3" w14:textId="77777777" w:rsidR="009F0928" w:rsidRDefault="009F0928">
            <w:pPr>
              <w:rPr>
                <w:rFonts w:ascii="Times New Roman" w:hAnsi="Times New Roman"/>
                <w:sz w:val="20"/>
                <w:szCs w:val="20"/>
              </w:rPr>
            </w:pPr>
          </w:p>
        </w:tc>
        <w:tc>
          <w:tcPr>
            <w:tcW w:w="450" w:type="pct"/>
            <w:shd w:val="clear" w:color="auto" w:fill="auto"/>
            <w:vAlign w:val="center"/>
          </w:tcPr>
          <w:p w14:paraId="0BC97EF4" w14:textId="77777777" w:rsidR="009F0928" w:rsidRDefault="009F0928">
            <w:pPr>
              <w:rPr>
                <w:rFonts w:ascii="Times New Roman" w:hAnsi="Times New Roman"/>
                <w:sz w:val="20"/>
                <w:szCs w:val="20"/>
              </w:rPr>
            </w:pPr>
          </w:p>
        </w:tc>
        <w:tc>
          <w:tcPr>
            <w:tcW w:w="50" w:type="pct"/>
            <w:shd w:val="clear" w:color="auto" w:fill="auto"/>
            <w:vAlign w:val="center"/>
          </w:tcPr>
          <w:p w14:paraId="0BC97EF5" w14:textId="77777777" w:rsidR="009F0928" w:rsidRDefault="009F0928">
            <w:pPr>
              <w:rPr>
                <w:rFonts w:ascii="Times New Roman" w:hAnsi="Times New Roman"/>
                <w:sz w:val="20"/>
                <w:szCs w:val="20"/>
              </w:rPr>
            </w:pPr>
          </w:p>
        </w:tc>
      </w:tr>
      <w:tr w:rsidR="009F0928" w14:paraId="0BC97EF9" w14:textId="77777777">
        <w:tc>
          <w:tcPr>
            <w:tcW w:w="0" w:type="auto"/>
            <w:shd w:val="clear" w:color="auto" w:fill="auto"/>
            <w:tcMar>
              <w:top w:w="40" w:type="dxa"/>
              <w:left w:w="40" w:type="dxa"/>
              <w:bottom w:w="40" w:type="dxa"/>
              <w:right w:w="40" w:type="dxa"/>
            </w:tcMar>
            <w:vAlign w:val="bottom"/>
          </w:tcPr>
          <w:p w14:paraId="0BC97EF7"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17"/>
            <w:tcBorders>
              <w:bottom w:val="single" w:sz="8" w:space="0" w:color="000000"/>
            </w:tcBorders>
            <w:shd w:val="clear" w:color="auto" w:fill="auto"/>
            <w:tcMar>
              <w:top w:w="40" w:type="dxa"/>
              <w:left w:w="40" w:type="dxa"/>
              <w:bottom w:w="40" w:type="dxa"/>
            </w:tcMar>
            <w:vAlign w:val="bottom"/>
          </w:tcPr>
          <w:p w14:paraId="0BC97EF8"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Year Ended December 31,</w:t>
            </w:r>
          </w:p>
        </w:tc>
      </w:tr>
      <w:tr w:rsidR="009F0928" w14:paraId="0BC97F04" w14:textId="77777777">
        <w:tc>
          <w:tcPr>
            <w:tcW w:w="0" w:type="auto"/>
            <w:shd w:val="clear" w:color="auto" w:fill="auto"/>
            <w:tcMar>
              <w:top w:w="40" w:type="dxa"/>
              <w:left w:w="40" w:type="dxa"/>
              <w:bottom w:w="40" w:type="dxa"/>
              <w:right w:w="40" w:type="dxa"/>
            </w:tcMar>
            <w:vAlign w:val="center"/>
          </w:tcPr>
          <w:p w14:paraId="0BC97EFA" w14:textId="77777777" w:rsidR="009F0928" w:rsidRDefault="002112BD">
            <w:pPr>
              <w:textAlignment w:val="center"/>
              <w:rPr>
                <w:rFonts w:ascii="Times New Roman" w:hAnsi="Times New Roman"/>
                <w:sz w:val="18"/>
                <w:szCs w:val="18"/>
              </w:rPr>
            </w:pPr>
            <w:r>
              <w:rPr>
                <w:rFonts w:ascii="Arial" w:eastAsia="宋体" w:hAnsi="Arial" w:cs="Arial"/>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7EFB"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2019</w:t>
            </w:r>
          </w:p>
        </w:tc>
        <w:tc>
          <w:tcPr>
            <w:tcW w:w="0" w:type="auto"/>
            <w:shd w:val="clear" w:color="auto" w:fill="auto"/>
            <w:tcMar>
              <w:top w:w="40" w:type="dxa"/>
              <w:left w:w="40" w:type="dxa"/>
              <w:bottom w:w="40" w:type="dxa"/>
              <w:right w:w="40" w:type="dxa"/>
            </w:tcMar>
            <w:vAlign w:val="bottom"/>
          </w:tcPr>
          <w:p w14:paraId="0BC97EF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7EFD"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 Change</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7EF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7EFF"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2018</w:t>
            </w:r>
          </w:p>
        </w:tc>
        <w:tc>
          <w:tcPr>
            <w:tcW w:w="0" w:type="auto"/>
            <w:shd w:val="clear" w:color="auto" w:fill="auto"/>
            <w:tcMar>
              <w:top w:w="40" w:type="dxa"/>
              <w:left w:w="40" w:type="dxa"/>
              <w:bottom w:w="40" w:type="dxa"/>
              <w:right w:w="40" w:type="dxa"/>
            </w:tcMar>
            <w:vAlign w:val="bottom"/>
          </w:tcPr>
          <w:p w14:paraId="0BC97F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7F01"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 Change</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7F0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7F03"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2017</w:t>
            </w:r>
          </w:p>
        </w:tc>
      </w:tr>
      <w:tr w:rsidR="009F0928" w14:paraId="0BC97F10" w14:textId="77777777">
        <w:tc>
          <w:tcPr>
            <w:tcW w:w="0" w:type="auto"/>
            <w:shd w:val="clear" w:color="auto" w:fill="auto"/>
            <w:tcMar>
              <w:top w:w="40" w:type="dxa"/>
              <w:left w:w="560" w:type="dxa"/>
              <w:bottom w:w="40" w:type="dxa"/>
              <w:right w:w="40" w:type="dxa"/>
            </w:tcMar>
            <w:vAlign w:val="bottom"/>
          </w:tcPr>
          <w:p w14:paraId="0BC97F05"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Net transaction revenues:</w:t>
            </w:r>
          </w:p>
        </w:tc>
        <w:tc>
          <w:tcPr>
            <w:tcW w:w="0" w:type="auto"/>
            <w:gridSpan w:val="3"/>
            <w:shd w:val="clear" w:color="auto" w:fill="auto"/>
            <w:tcMar>
              <w:top w:w="40" w:type="dxa"/>
              <w:left w:w="40" w:type="dxa"/>
              <w:bottom w:w="40" w:type="dxa"/>
              <w:right w:w="40" w:type="dxa"/>
            </w:tcMar>
            <w:vAlign w:val="bottom"/>
          </w:tcPr>
          <w:p w14:paraId="0BC97F0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F0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F08" w14:textId="77777777" w:rsidR="009F0928" w:rsidRDefault="009F0928">
            <w:pPr>
              <w:jc w:val="right"/>
              <w:textAlignment w:val="bottom"/>
              <w:rPr>
                <w:rFonts w:ascii="Times New Roman" w:hAnsi="Times New Roman"/>
                <w:sz w:val="18"/>
                <w:szCs w:val="18"/>
              </w:rPr>
            </w:pPr>
          </w:p>
        </w:tc>
        <w:tc>
          <w:tcPr>
            <w:tcW w:w="0" w:type="auto"/>
            <w:shd w:val="clear" w:color="auto" w:fill="auto"/>
            <w:vAlign w:val="bottom"/>
          </w:tcPr>
          <w:p w14:paraId="0BC97F0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F0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F0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F0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7F0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F0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F0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7F23" w14:textId="77777777">
        <w:tc>
          <w:tcPr>
            <w:tcW w:w="0" w:type="auto"/>
            <w:shd w:val="clear" w:color="auto" w:fill="E2E2E2"/>
            <w:tcMar>
              <w:top w:w="40" w:type="dxa"/>
              <w:left w:w="720" w:type="dxa"/>
              <w:bottom w:w="40" w:type="dxa"/>
              <w:right w:w="40" w:type="dxa"/>
            </w:tcMar>
            <w:vAlign w:val="bottom"/>
          </w:tcPr>
          <w:p w14:paraId="0BC97F11"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Marketplace </w:t>
            </w:r>
          </w:p>
        </w:tc>
        <w:tc>
          <w:tcPr>
            <w:tcW w:w="0" w:type="auto"/>
            <w:shd w:val="clear" w:color="auto" w:fill="E2E2E2"/>
            <w:tcMar>
              <w:top w:w="40" w:type="dxa"/>
              <w:left w:w="40" w:type="dxa"/>
              <w:bottom w:w="40" w:type="dxa"/>
            </w:tcMar>
            <w:vAlign w:val="bottom"/>
          </w:tcPr>
          <w:p w14:paraId="0BC97F1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7F1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7,578</w:t>
            </w:r>
          </w:p>
        </w:tc>
        <w:tc>
          <w:tcPr>
            <w:tcW w:w="0" w:type="auto"/>
            <w:shd w:val="clear" w:color="auto" w:fill="E2E2E2"/>
            <w:vAlign w:val="bottom"/>
          </w:tcPr>
          <w:p w14:paraId="0BC97F1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F1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F1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w:t>
            </w:r>
          </w:p>
        </w:tc>
        <w:tc>
          <w:tcPr>
            <w:tcW w:w="0" w:type="auto"/>
            <w:shd w:val="clear" w:color="auto" w:fill="E2E2E2"/>
            <w:tcMar>
              <w:top w:w="40" w:type="dxa"/>
              <w:bottom w:w="40" w:type="dxa"/>
              <w:right w:w="40" w:type="dxa"/>
            </w:tcMar>
            <w:vAlign w:val="bottom"/>
          </w:tcPr>
          <w:p w14:paraId="0BC97F17"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right w:w="40" w:type="dxa"/>
            </w:tcMar>
            <w:vAlign w:val="bottom"/>
          </w:tcPr>
          <w:p w14:paraId="0BC97F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F1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7F1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7,416</w:t>
            </w:r>
          </w:p>
        </w:tc>
        <w:tc>
          <w:tcPr>
            <w:tcW w:w="0" w:type="auto"/>
            <w:shd w:val="clear" w:color="auto" w:fill="E2E2E2"/>
            <w:vAlign w:val="bottom"/>
          </w:tcPr>
          <w:p w14:paraId="0BC97F1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F1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F1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w:t>
            </w:r>
          </w:p>
        </w:tc>
        <w:tc>
          <w:tcPr>
            <w:tcW w:w="0" w:type="auto"/>
            <w:shd w:val="clear" w:color="auto" w:fill="E2E2E2"/>
            <w:tcMar>
              <w:top w:w="40" w:type="dxa"/>
              <w:bottom w:w="40" w:type="dxa"/>
              <w:right w:w="40" w:type="dxa"/>
            </w:tcMar>
            <w:vAlign w:val="bottom"/>
          </w:tcPr>
          <w:p w14:paraId="0BC97F1E"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right w:w="40" w:type="dxa"/>
            </w:tcMar>
            <w:vAlign w:val="bottom"/>
          </w:tcPr>
          <w:p w14:paraId="0BC97F1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F2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7F2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6,809</w:t>
            </w:r>
          </w:p>
        </w:tc>
        <w:tc>
          <w:tcPr>
            <w:tcW w:w="0" w:type="auto"/>
            <w:shd w:val="clear" w:color="auto" w:fill="E2E2E2"/>
            <w:vAlign w:val="bottom"/>
          </w:tcPr>
          <w:p w14:paraId="0BC97F22" w14:textId="77777777" w:rsidR="009F0928" w:rsidRDefault="009F0928">
            <w:pPr>
              <w:textAlignment w:val="bottom"/>
              <w:rPr>
                <w:rFonts w:ascii="Times New Roman" w:hAnsi="Times New Roman"/>
                <w:sz w:val="20"/>
                <w:szCs w:val="20"/>
              </w:rPr>
            </w:pPr>
          </w:p>
        </w:tc>
      </w:tr>
      <w:tr w:rsidR="009F0928" w14:paraId="0BC97F33" w14:textId="77777777">
        <w:tc>
          <w:tcPr>
            <w:tcW w:w="0" w:type="auto"/>
            <w:shd w:val="clear" w:color="auto" w:fill="auto"/>
            <w:tcMar>
              <w:top w:w="40" w:type="dxa"/>
              <w:left w:w="720" w:type="dxa"/>
              <w:bottom w:w="40" w:type="dxa"/>
              <w:right w:w="40" w:type="dxa"/>
            </w:tcMar>
            <w:vAlign w:val="bottom"/>
          </w:tcPr>
          <w:p w14:paraId="0BC97F24" w14:textId="77777777" w:rsidR="009F0928" w:rsidRDefault="002112BD">
            <w:pPr>
              <w:textAlignment w:val="bottom"/>
              <w:rPr>
                <w:rFonts w:ascii="Times New Roman" w:hAnsi="Times New Roman"/>
                <w:sz w:val="18"/>
                <w:szCs w:val="18"/>
              </w:rPr>
            </w:pPr>
            <w:r>
              <w:rPr>
                <w:rFonts w:ascii="Arial" w:eastAsia="宋体" w:hAnsi="Arial" w:cs="Arial"/>
                <w:sz w:val="18"/>
                <w:szCs w:val="18"/>
              </w:rPr>
              <w:t>StubHub</w:t>
            </w:r>
          </w:p>
        </w:tc>
        <w:tc>
          <w:tcPr>
            <w:tcW w:w="0" w:type="auto"/>
            <w:gridSpan w:val="2"/>
            <w:tcBorders>
              <w:bottom w:val="single" w:sz="8" w:space="0" w:color="000000"/>
            </w:tcBorders>
            <w:shd w:val="clear" w:color="auto" w:fill="auto"/>
            <w:tcMar>
              <w:top w:w="40" w:type="dxa"/>
              <w:left w:w="40" w:type="dxa"/>
              <w:bottom w:w="40" w:type="dxa"/>
            </w:tcMar>
            <w:vAlign w:val="bottom"/>
          </w:tcPr>
          <w:p w14:paraId="0BC97F2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1,057</w:t>
            </w:r>
          </w:p>
        </w:tc>
        <w:tc>
          <w:tcPr>
            <w:tcW w:w="0" w:type="auto"/>
            <w:tcBorders>
              <w:bottom w:val="single" w:sz="8" w:space="0" w:color="000000"/>
            </w:tcBorders>
            <w:shd w:val="clear" w:color="auto" w:fill="auto"/>
            <w:vAlign w:val="bottom"/>
          </w:tcPr>
          <w:p w14:paraId="0BC97F2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F2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F2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w:t>
            </w:r>
          </w:p>
        </w:tc>
        <w:tc>
          <w:tcPr>
            <w:tcW w:w="0" w:type="auto"/>
            <w:shd w:val="clear" w:color="auto" w:fill="auto"/>
            <w:tcMar>
              <w:top w:w="40" w:type="dxa"/>
              <w:bottom w:w="40" w:type="dxa"/>
              <w:right w:w="40" w:type="dxa"/>
            </w:tcMar>
            <w:vAlign w:val="bottom"/>
          </w:tcPr>
          <w:p w14:paraId="0BC97F2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7F2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7F2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1,068</w:t>
            </w:r>
          </w:p>
        </w:tc>
        <w:tc>
          <w:tcPr>
            <w:tcW w:w="0" w:type="auto"/>
            <w:tcBorders>
              <w:bottom w:val="single" w:sz="8" w:space="0" w:color="000000"/>
            </w:tcBorders>
            <w:shd w:val="clear" w:color="auto" w:fill="auto"/>
            <w:vAlign w:val="bottom"/>
          </w:tcPr>
          <w:p w14:paraId="0BC97F2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F2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F2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w:t>
            </w:r>
          </w:p>
        </w:tc>
        <w:tc>
          <w:tcPr>
            <w:tcW w:w="0" w:type="auto"/>
            <w:shd w:val="clear" w:color="auto" w:fill="auto"/>
            <w:tcMar>
              <w:top w:w="40" w:type="dxa"/>
              <w:bottom w:w="40" w:type="dxa"/>
              <w:right w:w="40" w:type="dxa"/>
            </w:tcMar>
            <w:vAlign w:val="bottom"/>
          </w:tcPr>
          <w:p w14:paraId="0BC97F2F"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7F3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7F3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1,011</w:t>
            </w:r>
          </w:p>
        </w:tc>
        <w:tc>
          <w:tcPr>
            <w:tcW w:w="0" w:type="auto"/>
            <w:tcBorders>
              <w:bottom w:val="single" w:sz="8" w:space="0" w:color="000000"/>
            </w:tcBorders>
            <w:shd w:val="clear" w:color="auto" w:fill="auto"/>
            <w:vAlign w:val="bottom"/>
          </w:tcPr>
          <w:p w14:paraId="0BC97F32" w14:textId="77777777" w:rsidR="009F0928" w:rsidRDefault="009F0928">
            <w:pPr>
              <w:textAlignment w:val="bottom"/>
              <w:rPr>
                <w:rFonts w:ascii="Times New Roman" w:hAnsi="Times New Roman"/>
                <w:sz w:val="20"/>
                <w:szCs w:val="20"/>
              </w:rPr>
            </w:pPr>
          </w:p>
        </w:tc>
      </w:tr>
      <w:tr w:rsidR="009F0928" w14:paraId="0BC97F43" w14:textId="77777777">
        <w:tc>
          <w:tcPr>
            <w:tcW w:w="0" w:type="auto"/>
            <w:shd w:val="clear" w:color="auto" w:fill="E2E2E2"/>
            <w:tcMar>
              <w:top w:w="40" w:type="dxa"/>
              <w:left w:w="880" w:type="dxa"/>
              <w:bottom w:w="40" w:type="dxa"/>
              <w:right w:w="40" w:type="dxa"/>
            </w:tcMar>
            <w:vAlign w:val="bottom"/>
          </w:tcPr>
          <w:p w14:paraId="0BC97F34"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net transaction revenues</w:t>
            </w:r>
          </w:p>
        </w:tc>
        <w:tc>
          <w:tcPr>
            <w:tcW w:w="0" w:type="auto"/>
            <w:gridSpan w:val="2"/>
            <w:shd w:val="clear" w:color="auto" w:fill="E2E2E2"/>
            <w:tcMar>
              <w:top w:w="40" w:type="dxa"/>
              <w:left w:w="40" w:type="dxa"/>
              <w:bottom w:w="40" w:type="dxa"/>
            </w:tcMar>
            <w:vAlign w:val="bottom"/>
          </w:tcPr>
          <w:p w14:paraId="0BC97F3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8,635</w:t>
            </w:r>
          </w:p>
        </w:tc>
        <w:tc>
          <w:tcPr>
            <w:tcW w:w="0" w:type="auto"/>
            <w:shd w:val="clear" w:color="auto" w:fill="E2E2E2"/>
            <w:vAlign w:val="bottom"/>
          </w:tcPr>
          <w:p w14:paraId="0BC97F3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F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F3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w:t>
            </w:r>
          </w:p>
        </w:tc>
        <w:tc>
          <w:tcPr>
            <w:tcW w:w="0" w:type="auto"/>
            <w:shd w:val="clear" w:color="auto" w:fill="E2E2E2"/>
            <w:tcMar>
              <w:top w:w="40" w:type="dxa"/>
              <w:bottom w:w="40" w:type="dxa"/>
              <w:right w:w="40" w:type="dxa"/>
            </w:tcMar>
            <w:vAlign w:val="bottom"/>
          </w:tcPr>
          <w:p w14:paraId="0BC97F39"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right w:w="40" w:type="dxa"/>
            </w:tcMar>
            <w:vAlign w:val="bottom"/>
          </w:tcPr>
          <w:p w14:paraId="0BC97F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F3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8,484</w:t>
            </w:r>
          </w:p>
        </w:tc>
        <w:tc>
          <w:tcPr>
            <w:tcW w:w="0" w:type="auto"/>
            <w:shd w:val="clear" w:color="auto" w:fill="E2E2E2"/>
            <w:vAlign w:val="bottom"/>
          </w:tcPr>
          <w:p w14:paraId="0BC97F3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F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F3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w:t>
            </w:r>
          </w:p>
        </w:tc>
        <w:tc>
          <w:tcPr>
            <w:tcW w:w="0" w:type="auto"/>
            <w:shd w:val="clear" w:color="auto" w:fill="E2E2E2"/>
            <w:tcMar>
              <w:top w:w="40" w:type="dxa"/>
              <w:bottom w:w="40" w:type="dxa"/>
              <w:right w:w="40" w:type="dxa"/>
            </w:tcMar>
            <w:vAlign w:val="bottom"/>
          </w:tcPr>
          <w:p w14:paraId="0BC97F3F"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right w:w="40" w:type="dxa"/>
            </w:tcMar>
            <w:vAlign w:val="bottom"/>
          </w:tcPr>
          <w:p w14:paraId="0BC97F4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F4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7,820</w:t>
            </w:r>
          </w:p>
        </w:tc>
        <w:tc>
          <w:tcPr>
            <w:tcW w:w="0" w:type="auto"/>
            <w:shd w:val="clear" w:color="auto" w:fill="E2E2E2"/>
            <w:vAlign w:val="bottom"/>
          </w:tcPr>
          <w:p w14:paraId="0BC97F42" w14:textId="77777777" w:rsidR="009F0928" w:rsidRDefault="009F0928">
            <w:pPr>
              <w:textAlignment w:val="bottom"/>
              <w:rPr>
                <w:rFonts w:ascii="Times New Roman" w:hAnsi="Times New Roman"/>
                <w:sz w:val="20"/>
                <w:szCs w:val="20"/>
              </w:rPr>
            </w:pPr>
          </w:p>
        </w:tc>
      </w:tr>
      <w:tr w:rsidR="009F0928" w14:paraId="0BC97F4E" w14:textId="77777777">
        <w:tc>
          <w:tcPr>
            <w:tcW w:w="0" w:type="auto"/>
            <w:shd w:val="clear" w:color="auto" w:fill="auto"/>
            <w:tcMar>
              <w:top w:w="40" w:type="dxa"/>
              <w:left w:w="560" w:type="dxa"/>
              <w:bottom w:w="40" w:type="dxa"/>
              <w:right w:w="40" w:type="dxa"/>
            </w:tcMar>
            <w:vAlign w:val="bottom"/>
          </w:tcPr>
          <w:p w14:paraId="0BC97F44"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Marketing services and other revenues:</w:t>
            </w:r>
          </w:p>
        </w:tc>
        <w:tc>
          <w:tcPr>
            <w:tcW w:w="0" w:type="auto"/>
            <w:gridSpan w:val="3"/>
            <w:shd w:val="clear" w:color="auto" w:fill="auto"/>
            <w:tcMar>
              <w:top w:w="40" w:type="dxa"/>
              <w:left w:w="40" w:type="dxa"/>
              <w:bottom w:w="40" w:type="dxa"/>
              <w:right w:w="40" w:type="dxa"/>
            </w:tcMar>
            <w:vAlign w:val="bottom"/>
          </w:tcPr>
          <w:p w14:paraId="0BC97F4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F4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7F4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F4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F4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F4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7F4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F4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F4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7F5E" w14:textId="77777777">
        <w:tc>
          <w:tcPr>
            <w:tcW w:w="0" w:type="auto"/>
            <w:shd w:val="clear" w:color="auto" w:fill="E2E2E2"/>
            <w:tcMar>
              <w:top w:w="40" w:type="dxa"/>
              <w:left w:w="720" w:type="dxa"/>
              <w:bottom w:w="40" w:type="dxa"/>
              <w:right w:w="40" w:type="dxa"/>
            </w:tcMar>
            <w:vAlign w:val="bottom"/>
          </w:tcPr>
          <w:p w14:paraId="0BC97F4F" w14:textId="77777777" w:rsidR="009F0928" w:rsidRDefault="002112BD">
            <w:pPr>
              <w:textAlignment w:val="bottom"/>
              <w:rPr>
                <w:rFonts w:ascii="Times New Roman" w:hAnsi="Times New Roman"/>
                <w:sz w:val="18"/>
                <w:szCs w:val="18"/>
              </w:rPr>
            </w:pPr>
            <w:r>
              <w:rPr>
                <w:rFonts w:ascii="Arial" w:eastAsia="宋体" w:hAnsi="Arial" w:cs="Arial"/>
                <w:sz w:val="18"/>
                <w:szCs w:val="18"/>
              </w:rPr>
              <w:t>Marketplace</w:t>
            </w:r>
          </w:p>
        </w:tc>
        <w:tc>
          <w:tcPr>
            <w:tcW w:w="0" w:type="auto"/>
            <w:gridSpan w:val="2"/>
            <w:shd w:val="clear" w:color="auto" w:fill="E2E2E2"/>
            <w:tcMar>
              <w:top w:w="40" w:type="dxa"/>
              <w:left w:w="40" w:type="dxa"/>
              <w:bottom w:w="40" w:type="dxa"/>
            </w:tcMar>
            <w:vAlign w:val="bottom"/>
          </w:tcPr>
          <w:p w14:paraId="0BC97F5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1,060</w:t>
            </w:r>
          </w:p>
        </w:tc>
        <w:tc>
          <w:tcPr>
            <w:tcW w:w="0" w:type="auto"/>
            <w:shd w:val="clear" w:color="auto" w:fill="E2E2E2"/>
            <w:vAlign w:val="bottom"/>
          </w:tcPr>
          <w:p w14:paraId="0BC97F5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F5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F5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(13</w:t>
            </w:r>
          </w:p>
        </w:tc>
        <w:tc>
          <w:tcPr>
            <w:tcW w:w="0" w:type="auto"/>
            <w:shd w:val="clear" w:color="auto" w:fill="E2E2E2"/>
            <w:tcMar>
              <w:top w:w="40" w:type="dxa"/>
              <w:bottom w:w="40" w:type="dxa"/>
              <w:right w:w="40" w:type="dxa"/>
            </w:tcMar>
            <w:vAlign w:val="bottom"/>
          </w:tcPr>
          <w:p w14:paraId="0BC97F5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7F5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F5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1,225</w:t>
            </w:r>
          </w:p>
        </w:tc>
        <w:tc>
          <w:tcPr>
            <w:tcW w:w="0" w:type="auto"/>
            <w:shd w:val="clear" w:color="auto" w:fill="E2E2E2"/>
            <w:vAlign w:val="bottom"/>
          </w:tcPr>
          <w:p w14:paraId="0BC97F5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F5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F5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w:t>
            </w:r>
          </w:p>
        </w:tc>
        <w:tc>
          <w:tcPr>
            <w:tcW w:w="0" w:type="auto"/>
            <w:shd w:val="clear" w:color="auto" w:fill="E2E2E2"/>
            <w:tcMar>
              <w:top w:w="40" w:type="dxa"/>
              <w:bottom w:w="40" w:type="dxa"/>
              <w:right w:w="40" w:type="dxa"/>
            </w:tcMar>
            <w:vAlign w:val="bottom"/>
          </w:tcPr>
          <w:p w14:paraId="0BC97F5A"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right w:w="40" w:type="dxa"/>
            </w:tcMar>
            <w:vAlign w:val="bottom"/>
          </w:tcPr>
          <w:p w14:paraId="0BC97F5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F5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1,192</w:t>
            </w:r>
          </w:p>
        </w:tc>
        <w:tc>
          <w:tcPr>
            <w:tcW w:w="0" w:type="auto"/>
            <w:shd w:val="clear" w:color="auto" w:fill="E2E2E2"/>
            <w:vAlign w:val="bottom"/>
          </w:tcPr>
          <w:p w14:paraId="0BC97F5D" w14:textId="77777777" w:rsidR="009F0928" w:rsidRDefault="009F0928">
            <w:pPr>
              <w:textAlignment w:val="bottom"/>
              <w:rPr>
                <w:rFonts w:ascii="Times New Roman" w:hAnsi="Times New Roman"/>
                <w:sz w:val="20"/>
                <w:szCs w:val="20"/>
              </w:rPr>
            </w:pPr>
          </w:p>
        </w:tc>
      </w:tr>
      <w:tr w:rsidR="009F0928" w14:paraId="0BC97F6E" w14:textId="77777777">
        <w:tc>
          <w:tcPr>
            <w:tcW w:w="0" w:type="auto"/>
            <w:shd w:val="clear" w:color="auto" w:fill="auto"/>
            <w:tcMar>
              <w:top w:w="40" w:type="dxa"/>
              <w:left w:w="720" w:type="dxa"/>
              <w:bottom w:w="40" w:type="dxa"/>
              <w:right w:w="40" w:type="dxa"/>
            </w:tcMar>
            <w:vAlign w:val="bottom"/>
          </w:tcPr>
          <w:p w14:paraId="0BC97F5F" w14:textId="77777777" w:rsidR="009F0928" w:rsidRDefault="002112BD">
            <w:pPr>
              <w:textAlignment w:val="bottom"/>
              <w:rPr>
                <w:rFonts w:ascii="Times New Roman" w:hAnsi="Times New Roman"/>
                <w:sz w:val="18"/>
                <w:szCs w:val="18"/>
              </w:rPr>
            </w:pPr>
            <w:r>
              <w:rPr>
                <w:rFonts w:ascii="Arial" w:eastAsia="宋体" w:hAnsi="Arial" w:cs="Arial"/>
                <w:sz w:val="18"/>
                <w:szCs w:val="18"/>
              </w:rPr>
              <w:t>Classifieds</w:t>
            </w:r>
          </w:p>
        </w:tc>
        <w:tc>
          <w:tcPr>
            <w:tcW w:w="0" w:type="auto"/>
            <w:gridSpan w:val="2"/>
            <w:shd w:val="clear" w:color="auto" w:fill="auto"/>
            <w:tcMar>
              <w:top w:w="40" w:type="dxa"/>
              <w:left w:w="40" w:type="dxa"/>
              <w:bottom w:w="40" w:type="dxa"/>
            </w:tcMar>
            <w:vAlign w:val="bottom"/>
          </w:tcPr>
          <w:p w14:paraId="0BC97F6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1,061</w:t>
            </w:r>
          </w:p>
        </w:tc>
        <w:tc>
          <w:tcPr>
            <w:tcW w:w="0" w:type="auto"/>
            <w:shd w:val="clear" w:color="auto" w:fill="auto"/>
            <w:vAlign w:val="bottom"/>
          </w:tcPr>
          <w:p w14:paraId="0BC97F6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F6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F6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w:t>
            </w:r>
          </w:p>
        </w:tc>
        <w:tc>
          <w:tcPr>
            <w:tcW w:w="0" w:type="auto"/>
            <w:shd w:val="clear" w:color="auto" w:fill="auto"/>
            <w:tcMar>
              <w:top w:w="40" w:type="dxa"/>
              <w:bottom w:w="40" w:type="dxa"/>
              <w:right w:w="40" w:type="dxa"/>
            </w:tcMar>
            <w:vAlign w:val="bottom"/>
          </w:tcPr>
          <w:p w14:paraId="0BC97F64"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7F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F6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1,022</w:t>
            </w:r>
          </w:p>
        </w:tc>
        <w:tc>
          <w:tcPr>
            <w:tcW w:w="0" w:type="auto"/>
            <w:shd w:val="clear" w:color="auto" w:fill="auto"/>
            <w:vAlign w:val="bottom"/>
          </w:tcPr>
          <w:p w14:paraId="0BC97F6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F6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F6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14</w:t>
            </w:r>
          </w:p>
        </w:tc>
        <w:tc>
          <w:tcPr>
            <w:tcW w:w="0" w:type="auto"/>
            <w:shd w:val="clear" w:color="auto" w:fill="auto"/>
            <w:tcMar>
              <w:top w:w="40" w:type="dxa"/>
              <w:bottom w:w="40" w:type="dxa"/>
              <w:right w:w="40" w:type="dxa"/>
            </w:tcMar>
            <w:vAlign w:val="bottom"/>
          </w:tcPr>
          <w:p w14:paraId="0BC97F6A"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7F6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7F6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897</w:t>
            </w:r>
          </w:p>
        </w:tc>
        <w:tc>
          <w:tcPr>
            <w:tcW w:w="0" w:type="auto"/>
            <w:shd w:val="clear" w:color="auto" w:fill="auto"/>
            <w:vAlign w:val="bottom"/>
          </w:tcPr>
          <w:p w14:paraId="0BC97F6D" w14:textId="77777777" w:rsidR="009F0928" w:rsidRDefault="009F0928">
            <w:pPr>
              <w:textAlignment w:val="bottom"/>
              <w:rPr>
                <w:rFonts w:ascii="Times New Roman" w:hAnsi="Times New Roman"/>
                <w:sz w:val="20"/>
                <w:szCs w:val="20"/>
              </w:rPr>
            </w:pPr>
          </w:p>
        </w:tc>
      </w:tr>
      <w:tr w:rsidR="009F0928" w14:paraId="0BC97F7E" w14:textId="77777777">
        <w:tc>
          <w:tcPr>
            <w:tcW w:w="0" w:type="auto"/>
            <w:shd w:val="clear" w:color="auto" w:fill="E2E2E2"/>
            <w:tcMar>
              <w:top w:w="40" w:type="dxa"/>
              <w:left w:w="720" w:type="dxa"/>
              <w:bottom w:w="40" w:type="dxa"/>
              <w:right w:w="40" w:type="dxa"/>
            </w:tcMar>
            <w:vAlign w:val="bottom"/>
          </w:tcPr>
          <w:p w14:paraId="0BC97F6F" w14:textId="77777777" w:rsidR="009F0928" w:rsidRDefault="002112BD">
            <w:pPr>
              <w:textAlignment w:val="bottom"/>
              <w:rPr>
                <w:rFonts w:ascii="Times New Roman" w:hAnsi="Times New Roman"/>
                <w:sz w:val="18"/>
                <w:szCs w:val="18"/>
              </w:rPr>
            </w:pPr>
            <w:r>
              <w:rPr>
                <w:rFonts w:ascii="Arial" w:eastAsia="宋体" w:hAnsi="Arial" w:cs="Arial"/>
                <w:sz w:val="18"/>
                <w:szCs w:val="18"/>
              </w:rPr>
              <w:t>StubHub</w:t>
            </w:r>
          </w:p>
        </w:tc>
        <w:tc>
          <w:tcPr>
            <w:tcW w:w="0" w:type="auto"/>
            <w:gridSpan w:val="2"/>
            <w:shd w:val="clear" w:color="auto" w:fill="E2E2E2"/>
            <w:tcMar>
              <w:top w:w="40" w:type="dxa"/>
              <w:left w:w="40" w:type="dxa"/>
              <w:bottom w:w="40" w:type="dxa"/>
            </w:tcMar>
            <w:vAlign w:val="bottom"/>
          </w:tcPr>
          <w:p w14:paraId="0BC97F7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64</w:t>
            </w:r>
          </w:p>
        </w:tc>
        <w:tc>
          <w:tcPr>
            <w:tcW w:w="0" w:type="auto"/>
            <w:shd w:val="clear" w:color="auto" w:fill="E2E2E2"/>
            <w:vAlign w:val="bottom"/>
          </w:tcPr>
          <w:p w14:paraId="0BC97F7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F7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F7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7F7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F7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F7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w:t>
            </w:r>
          </w:p>
        </w:tc>
        <w:tc>
          <w:tcPr>
            <w:tcW w:w="0" w:type="auto"/>
            <w:shd w:val="clear" w:color="auto" w:fill="E2E2E2"/>
            <w:vAlign w:val="bottom"/>
          </w:tcPr>
          <w:p w14:paraId="0BC97F7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F7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F7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w:t>
            </w:r>
          </w:p>
        </w:tc>
        <w:tc>
          <w:tcPr>
            <w:tcW w:w="0" w:type="auto"/>
            <w:shd w:val="clear" w:color="auto" w:fill="E2E2E2"/>
            <w:tcMar>
              <w:top w:w="40" w:type="dxa"/>
              <w:bottom w:w="40" w:type="dxa"/>
              <w:right w:w="40" w:type="dxa"/>
            </w:tcMar>
            <w:vAlign w:val="bottom"/>
          </w:tcPr>
          <w:p w14:paraId="0BC97F7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7F7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F7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w:t>
            </w:r>
          </w:p>
        </w:tc>
        <w:tc>
          <w:tcPr>
            <w:tcW w:w="0" w:type="auto"/>
            <w:shd w:val="clear" w:color="auto" w:fill="E2E2E2"/>
            <w:vAlign w:val="bottom"/>
          </w:tcPr>
          <w:p w14:paraId="0BC97F7D" w14:textId="77777777" w:rsidR="009F0928" w:rsidRDefault="009F0928">
            <w:pPr>
              <w:textAlignment w:val="bottom"/>
              <w:rPr>
                <w:rFonts w:ascii="Times New Roman" w:hAnsi="Times New Roman"/>
                <w:sz w:val="20"/>
                <w:szCs w:val="20"/>
              </w:rPr>
            </w:pPr>
          </w:p>
        </w:tc>
      </w:tr>
      <w:tr w:rsidR="009F0928" w14:paraId="0BC97F8E" w14:textId="77777777">
        <w:tc>
          <w:tcPr>
            <w:tcW w:w="0" w:type="auto"/>
            <w:shd w:val="clear" w:color="auto" w:fill="auto"/>
            <w:tcMar>
              <w:top w:w="40" w:type="dxa"/>
              <w:left w:w="720" w:type="dxa"/>
              <w:bottom w:w="40" w:type="dxa"/>
              <w:right w:w="40" w:type="dxa"/>
            </w:tcMar>
            <w:vAlign w:val="bottom"/>
          </w:tcPr>
          <w:p w14:paraId="0BC97F7F" w14:textId="77777777" w:rsidR="009F0928" w:rsidRDefault="002112BD">
            <w:pPr>
              <w:textAlignment w:val="bottom"/>
              <w:rPr>
                <w:rFonts w:ascii="Times New Roman" w:hAnsi="Times New Roman"/>
                <w:sz w:val="18"/>
                <w:szCs w:val="18"/>
              </w:rPr>
            </w:pPr>
            <w:r>
              <w:rPr>
                <w:rFonts w:ascii="Arial" w:eastAsia="宋体" w:hAnsi="Arial" w:cs="Arial"/>
                <w:sz w:val="18"/>
                <w:szCs w:val="18"/>
              </w:rPr>
              <w:t>Elimination of inter-segment net revenues</w:t>
            </w:r>
          </w:p>
        </w:tc>
        <w:tc>
          <w:tcPr>
            <w:tcW w:w="0" w:type="auto"/>
            <w:gridSpan w:val="2"/>
            <w:tcBorders>
              <w:bottom w:val="single" w:sz="8" w:space="0" w:color="000000"/>
            </w:tcBorders>
            <w:shd w:val="clear" w:color="auto" w:fill="auto"/>
            <w:tcMar>
              <w:top w:w="40" w:type="dxa"/>
              <w:left w:w="40" w:type="dxa"/>
              <w:bottom w:w="40" w:type="dxa"/>
            </w:tcMar>
            <w:vAlign w:val="bottom"/>
          </w:tcPr>
          <w:p w14:paraId="0BC97F8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(20</w:t>
            </w:r>
          </w:p>
        </w:tc>
        <w:tc>
          <w:tcPr>
            <w:tcW w:w="0" w:type="auto"/>
            <w:tcBorders>
              <w:bottom w:val="single" w:sz="8" w:space="0" w:color="000000"/>
            </w:tcBorders>
            <w:shd w:val="clear" w:color="auto" w:fill="auto"/>
            <w:tcMar>
              <w:top w:w="40" w:type="dxa"/>
              <w:bottom w:w="40" w:type="dxa"/>
              <w:right w:w="40" w:type="dxa"/>
            </w:tcMar>
            <w:vAlign w:val="bottom"/>
          </w:tcPr>
          <w:p w14:paraId="0BC97F8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7F8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F8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7F8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F8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7F8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auto"/>
            <w:vAlign w:val="bottom"/>
          </w:tcPr>
          <w:p w14:paraId="0BC97F8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F8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F8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right w:w="40" w:type="dxa"/>
            </w:tcMar>
            <w:vAlign w:val="bottom"/>
          </w:tcPr>
          <w:p w14:paraId="0BC97F8A"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7F8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7F8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auto"/>
            <w:vAlign w:val="bottom"/>
          </w:tcPr>
          <w:p w14:paraId="0BC97F8D" w14:textId="77777777" w:rsidR="009F0928" w:rsidRDefault="009F0928">
            <w:pPr>
              <w:textAlignment w:val="bottom"/>
              <w:rPr>
                <w:rFonts w:ascii="Times New Roman" w:hAnsi="Times New Roman"/>
                <w:sz w:val="20"/>
                <w:szCs w:val="20"/>
              </w:rPr>
            </w:pPr>
          </w:p>
        </w:tc>
      </w:tr>
      <w:tr w:rsidR="009F0928" w14:paraId="0BC97F9E" w14:textId="77777777">
        <w:tc>
          <w:tcPr>
            <w:tcW w:w="0" w:type="auto"/>
            <w:shd w:val="clear" w:color="auto" w:fill="E2E2E2"/>
            <w:tcMar>
              <w:top w:w="40" w:type="dxa"/>
              <w:left w:w="880" w:type="dxa"/>
              <w:bottom w:w="40" w:type="dxa"/>
              <w:right w:w="40" w:type="dxa"/>
            </w:tcMar>
            <w:vAlign w:val="bottom"/>
          </w:tcPr>
          <w:p w14:paraId="0BC97F8F"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marketing services and other revenues</w:t>
            </w:r>
          </w:p>
        </w:tc>
        <w:tc>
          <w:tcPr>
            <w:tcW w:w="0" w:type="auto"/>
            <w:gridSpan w:val="2"/>
            <w:shd w:val="clear" w:color="auto" w:fill="E2E2E2"/>
            <w:tcMar>
              <w:top w:w="40" w:type="dxa"/>
              <w:left w:w="40" w:type="dxa"/>
              <w:bottom w:w="40" w:type="dxa"/>
            </w:tcMar>
            <w:vAlign w:val="bottom"/>
          </w:tcPr>
          <w:p w14:paraId="0BC97F9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2,165</w:t>
            </w:r>
          </w:p>
        </w:tc>
        <w:tc>
          <w:tcPr>
            <w:tcW w:w="0" w:type="auto"/>
            <w:shd w:val="clear" w:color="auto" w:fill="E2E2E2"/>
            <w:vAlign w:val="bottom"/>
          </w:tcPr>
          <w:p w14:paraId="0BC97F9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F9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F9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w:t>
            </w:r>
          </w:p>
        </w:tc>
        <w:tc>
          <w:tcPr>
            <w:tcW w:w="0" w:type="auto"/>
            <w:shd w:val="clear" w:color="auto" w:fill="E2E2E2"/>
            <w:tcMar>
              <w:top w:w="40" w:type="dxa"/>
              <w:bottom w:w="40" w:type="dxa"/>
              <w:right w:w="40" w:type="dxa"/>
            </w:tcMar>
            <w:vAlign w:val="bottom"/>
          </w:tcPr>
          <w:p w14:paraId="0BC97F9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7F9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F9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2,262</w:t>
            </w:r>
          </w:p>
        </w:tc>
        <w:tc>
          <w:tcPr>
            <w:tcW w:w="0" w:type="auto"/>
            <w:shd w:val="clear" w:color="auto" w:fill="E2E2E2"/>
            <w:vAlign w:val="bottom"/>
          </w:tcPr>
          <w:p w14:paraId="0BC97F9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7F9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7F9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w:t>
            </w:r>
          </w:p>
        </w:tc>
        <w:tc>
          <w:tcPr>
            <w:tcW w:w="0" w:type="auto"/>
            <w:shd w:val="clear" w:color="auto" w:fill="E2E2E2"/>
            <w:tcMar>
              <w:top w:w="40" w:type="dxa"/>
              <w:bottom w:w="40" w:type="dxa"/>
              <w:right w:w="40" w:type="dxa"/>
            </w:tcMar>
            <w:vAlign w:val="bottom"/>
          </w:tcPr>
          <w:p w14:paraId="0BC97F9A"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right w:w="40" w:type="dxa"/>
            </w:tcMar>
            <w:vAlign w:val="bottom"/>
          </w:tcPr>
          <w:p w14:paraId="0BC97F9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7F9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2,107</w:t>
            </w:r>
          </w:p>
        </w:tc>
        <w:tc>
          <w:tcPr>
            <w:tcW w:w="0" w:type="auto"/>
            <w:shd w:val="clear" w:color="auto" w:fill="E2E2E2"/>
            <w:vAlign w:val="bottom"/>
          </w:tcPr>
          <w:p w14:paraId="0BC97F9D" w14:textId="77777777" w:rsidR="009F0928" w:rsidRDefault="009F0928">
            <w:pPr>
              <w:textAlignment w:val="bottom"/>
              <w:rPr>
                <w:rFonts w:ascii="Times New Roman" w:hAnsi="Times New Roman"/>
                <w:sz w:val="20"/>
                <w:szCs w:val="20"/>
              </w:rPr>
            </w:pPr>
          </w:p>
        </w:tc>
      </w:tr>
      <w:tr w:rsidR="009F0928" w14:paraId="0BC97FB1" w14:textId="77777777">
        <w:tc>
          <w:tcPr>
            <w:tcW w:w="0" w:type="auto"/>
            <w:shd w:val="clear" w:color="auto" w:fill="auto"/>
            <w:tcMar>
              <w:top w:w="40" w:type="dxa"/>
              <w:left w:w="560" w:type="dxa"/>
              <w:bottom w:w="40" w:type="dxa"/>
              <w:right w:w="40" w:type="dxa"/>
            </w:tcMar>
            <w:vAlign w:val="bottom"/>
          </w:tcPr>
          <w:p w14:paraId="0BC97F9F"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net revenues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7FA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7FA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10,800</w:t>
            </w:r>
          </w:p>
        </w:tc>
        <w:tc>
          <w:tcPr>
            <w:tcW w:w="0" w:type="auto"/>
            <w:tcBorders>
              <w:top w:val="single" w:sz="8" w:space="0" w:color="000000"/>
              <w:bottom w:val="double" w:sz="6" w:space="0" w:color="000000"/>
            </w:tcBorders>
            <w:shd w:val="clear" w:color="auto" w:fill="auto"/>
            <w:vAlign w:val="bottom"/>
          </w:tcPr>
          <w:p w14:paraId="0BC97FA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FA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FA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w:t>
            </w:r>
          </w:p>
        </w:tc>
        <w:tc>
          <w:tcPr>
            <w:tcW w:w="0" w:type="auto"/>
            <w:shd w:val="clear" w:color="auto" w:fill="auto"/>
            <w:tcMar>
              <w:top w:w="40" w:type="dxa"/>
              <w:bottom w:w="40" w:type="dxa"/>
              <w:right w:w="40" w:type="dxa"/>
            </w:tcMar>
            <w:vAlign w:val="bottom"/>
          </w:tcPr>
          <w:p w14:paraId="0BC97FA5"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7F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7FA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7FA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10,746</w:t>
            </w:r>
          </w:p>
        </w:tc>
        <w:tc>
          <w:tcPr>
            <w:tcW w:w="0" w:type="auto"/>
            <w:tcBorders>
              <w:top w:val="single" w:sz="8" w:space="0" w:color="000000"/>
              <w:bottom w:val="double" w:sz="6" w:space="0" w:color="000000"/>
            </w:tcBorders>
            <w:shd w:val="clear" w:color="auto" w:fill="auto"/>
            <w:vAlign w:val="bottom"/>
          </w:tcPr>
          <w:p w14:paraId="0BC97FA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7FA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7FA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w:t>
            </w:r>
          </w:p>
        </w:tc>
        <w:tc>
          <w:tcPr>
            <w:tcW w:w="0" w:type="auto"/>
            <w:shd w:val="clear" w:color="auto" w:fill="auto"/>
            <w:tcMar>
              <w:top w:w="40" w:type="dxa"/>
              <w:bottom w:w="40" w:type="dxa"/>
              <w:right w:w="40" w:type="dxa"/>
            </w:tcMar>
            <w:vAlign w:val="bottom"/>
          </w:tcPr>
          <w:p w14:paraId="0BC97FAC"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7FA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7FA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7FA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9,927</w:t>
            </w:r>
          </w:p>
        </w:tc>
        <w:tc>
          <w:tcPr>
            <w:tcW w:w="0" w:type="auto"/>
            <w:tcBorders>
              <w:top w:val="single" w:sz="8" w:space="0" w:color="000000"/>
              <w:bottom w:val="double" w:sz="6" w:space="0" w:color="000000"/>
            </w:tcBorders>
            <w:shd w:val="clear" w:color="auto" w:fill="auto"/>
            <w:vAlign w:val="bottom"/>
          </w:tcPr>
          <w:p w14:paraId="0BC97FB0" w14:textId="77777777" w:rsidR="009F0928" w:rsidRDefault="009F0928">
            <w:pPr>
              <w:textAlignment w:val="bottom"/>
              <w:rPr>
                <w:rFonts w:ascii="Times New Roman" w:hAnsi="Times New Roman"/>
                <w:sz w:val="20"/>
                <w:szCs w:val="20"/>
              </w:rPr>
            </w:pPr>
          </w:p>
        </w:tc>
      </w:tr>
    </w:tbl>
    <w:p w14:paraId="0BC97FB2" w14:textId="77777777" w:rsidR="009F0928" w:rsidRDefault="009F0928">
      <w:pPr>
        <w:rPr>
          <w:vanish/>
        </w:rPr>
      </w:pPr>
    </w:p>
    <w:tbl>
      <w:tblPr>
        <w:tblW w:w="2400" w:type="dxa"/>
        <w:tblCellMar>
          <w:left w:w="0" w:type="dxa"/>
          <w:right w:w="0" w:type="dxa"/>
        </w:tblCellMar>
        <w:tblLook w:val="04A0" w:firstRow="1" w:lastRow="0" w:firstColumn="1" w:lastColumn="0" w:noHBand="0" w:noVBand="1"/>
      </w:tblPr>
      <w:tblGrid>
        <w:gridCol w:w="2400"/>
      </w:tblGrid>
      <w:tr w:rsidR="009F0928" w14:paraId="0BC97FB4" w14:textId="77777777">
        <w:tc>
          <w:tcPr>
            <w:tcW w:w="0" w:type="auto"/>
            <w:shd w:val="clear" w:color="auto" w:fill="auto"/>
            <w:vAlign w:val="center"/>
          </w:tcPr>
          <w:p w14:paraId="0BC97FB3" w14:textId="77777777" w:rsidR="009F0928" w:rsidRDefault="009F0928">
            <w:pPr>
              <w:rPr>
                <w:rFonts w:ascii="Times New Roman" w:hAnsi="Times New Roman"/>
                <w:sz w:val="20"/>
                <w:szCs w:val="20"/>
              </w:rPr>
            </w:pPr>
          </w:p>
        </w:tc>
      </w:tr>
      <w:tr w:rsidR="009F0928" w14:paraId="0BC97FB6" w14:textId="77777777">
        <w:tc>
          <w:tcPr>
            <w:tcW w:w="2400" w:type="dxa"/>
            <w:shd w:val="clear" w:color="auto" w:fill="auto"/>
            <w:vAlign w:val="center"/>
          </w:tcPr>
          <w:p w14:paraId="0BC97FB5" w14:textId="77777777" w:rsidR="009F0928" w:rsidRDefault="009F0928">
            <w:pPr>
              <w:rPr>
                <w:rFonts w:ascii="Times New Roman" w:hAnsi="Times New Roman"/>
                <w:sz w:val="20"/>
                <w:szCs w:val="20"/>
              </w:rPr>
            </w:pPr>
          </w:p>
        </w:tc>
      </w:tr>
      <w:tr w:rsidR="009F0928" w14:paraId="0BC97FB8"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0BC97FB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7FB9"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1077"/>
      </w:tblGrid>
      <w:tr w:rsidR="009F0928" w14:paraId="0BC97FBC" w14:textId="77777777">
        <w:trPr>
          <w:tblCellSpacing w:w="0" w:type="dxa"/>
        </w:trPr>
        <w:tc>
          <w:tcPr>
            <w:tcW w:w="480" w:type="dxa"/>
            <w:shd w:val="clear" w:color="auto" w:fill="auto"/>
            <w:vAlign w:val="center"/>
          </w:tcPr>
          <w:p w14:paraId="0BC97FBA" w14:textId="77777777" w:rsidR="009F0928" w:rsidRDefault="009F0928">
            <w:pPr>
              <w:rPr>
                <w:rFonts w:ascii="Times New Roman" w:hAnsi="Times New Roman"/>
                <w:sz w:val="20"/>
                <w:szCs w:val="20"/>
              </w:rPr>
            </w:pPr>
          </w:p>
        </w:tc>
        <w:tc>
          <w:tcPr>
            <w:tcW w:w="0" w:type="auto"/>
            <w:shd w:val="clear" w:color="auto" w:fill="auto"/>
            <w:vAlign w:val="center"/>
          </w:tcPr>
          <w:p w14:paraId="0BC97FBB" w14:textId="77777777" w:rsidR="009F0928" w:rsidRDefault="009F0928">
            <w:pPr>
              <w:rPr>
                <w:rFonts w:ascii="Times New Roman" w:hAnsi="Times New Roman"/>
                <w:sz w:val="20"/>
                <w:szCs w:val="20"/>
              </w:rPr>
            </w:pPr>
          </w:p>
        </w:tc>
      </w:tr>
      <w:tr w:rsidR="009F0928" w14:paraId="0BC97FBF" w14:textId="77777777">
        <w:trPr>
          <w:tblCellSpacing w:w="0" w:type="dxa"/>
        </w:trPr>
        <w:tc>
          <w:tcPr>
            <w:tcW w:w="0" w:type="auto"/>
            <w:shd w:val="clear" w:color="auto" w:fill="auto"/>
          </w:tcPr>
          <w:p w14:paraId="0BC97FBD"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w:t>
            </w:r>
          </w:p>
        </w:tc>
        <w:tc>
          <w:tcPr>
            <w:tcW w:w="0" w:type="auto"/>
            <w:shd w:val="clear" w:color="auto" w:fill="auto"/>
          </w:tcPr>
          <w:p w14:paraId="0BC97FBE"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Not meaningful</w:t>
            </w:r>
          </w:p>
        </w:tc>
      </w:tr>
    </w:tbl>
    <w:p w14:paraId="0BC97FC0" w14:textId="77777777" w:rsidR="009F0928" w:rsidRDefault="009F0928">
      <w:pPr>
        <w:spacing w:line="288" w:lineRule="auto"/>
        <w:jc w:val="both"/>
        <w:rPr>
          <w:rFonts w:ascii="Times New Roman" w:hAnsi="Times New Roman"/>
          <w:sz w:val="20"/>
          <w:szCs w:val="20"/>
        </w:rPr>
      </w:pPr>
    </w:p>
    <w:p w14:paraId="0BC97FC1"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Net Transaction Revenues</w:t>
      </w:r>
    </w:p>
    <w:p w14:paraId="0BC97FC2" w14:textId="77777777" w:rsidR="009F0928" w:rsidRDefault="009F0928">
      <w:pPr>
        <w:spacing w:line="288" w:lineRule="auto"/>
        <w:jc w:val="both"/>
        <w:rPr>
          <w:rFonts w:ascii="Times New Roman" w:hAnsi="Times New Roman"/>
          <w:sz w:val="20"/>
          <w:szCs w:val="20"/>
        </w:rPr>
      </w:pPr>
    </w:p>
    <w:p w14:paraId="0BC97FC3"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i/>
          <w:iCs/>
          <w:sz w:val="20"/>
          <w:szCs w:val="20"/>
        </w:rPr>
        <w:t>Key Operating Metrics</w:t>
      </w:r>
    </w:p>
    <w:p w14:paraId="0BC97FC4" w14:textId="77777777" w:rsidR="009F0928" w:rsidRDefault="009F0928">
      <w:pPr>
        <w:spacing w:line="288" w:lineRule="auto"/>
        <w:ind w:firstLine="720"/>
        <w:jc w:val="both"/>
        <w:rPr>
          <w:rFonts w:ascii="Times New Roman" w:hAnsi="Times New Roman"/>
          <w:sz w:val="20"/>
          <w:szCs w:val="20"/>
        </w:rPr>
      </w:pPr>
    </w:p>
    <w:p w14:paraId="0BC97FC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Gross Merchandise Volume (“GMV”) and take rate are significant factors that we believe affect our net transaction revenues.</w:t>
      </w:r>
    </w:p>
    <w:p w14:paraId="0BC97FC6" w14:textId="77777777" w:rsidR="009F0928" w:rsidRDefault="009F0928">
      <w:pPr>
        <w:spacing w:line="288" w:lineRule="auto"/>
        <w:rPr>
          <w:rFonts w:ascii="Times New Roman" w:hAnsi="Times New Roman"/>
          <w:sz w:val="20"/>
          <w:szCs w:val="20"/>
        </w:rPr>
      </w:pPr>
    </w:p>
    <w:p w14:paraId="0BC97FC7"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GMV</w:t>
      </w:r>
      <w:r>
        <w:rPr>
          <w:rFonts w:ascii="Arial" w:eastAsia="宋体" w:hAnsi="Arial" w:cs="Arial"/>
          <w:sz w:val="20"/>
          <w:szCs w:val="20"/>
        </w:rPr>
        <w:t xml:space="preserve"> consists of the total value of all successfully closed transactions between users on our Marketplace or StubHub platforms during the applicable period, regardless of whether the buyer and seller actually consummated the transaction. Despite GMV’s divergen</w:t>
      </w:r>
      <w:r>
        <w:rPr>
          <w:rFonts w:ascii="Arial" w:eastAsia="宋体" w:hAnsi="Arial" w:cs="Arial"/>
          <w:sz w:val="20"/>
          <w:szCs w:val="20"/>
        </w:rPr>
        <w:t>ce from revenue during 2019, we still believe that GMV provides a useful measure of the overall volume of closed transactions that flow through our platforms in a given period, notwithstanding the inclusion in GMV of closed transactions that are not ultima</w:t>
      </w:r>
      <w:r>
        <w:rPr>
          <w:rFonts w:ascii="Arial" w:eastAsia="宋体" w:hAnsi="Arial" w:cs="Arial"/>
          <w:sz w:val="20"/>
          <w:szCs w:val="20"/>
        </w:rPr>
        <w:t>tely consummated.</w:t>
      </w:r>
    </w:p>
    <w:p w14:paraId="0BC97FC8" w14:textId="77777777" w:rsidR="009F0928" w:rsidRDefault="009F0928">
      <w:pPr>
        <w:spacing w:line="288" w:lineRule="auto"/>
        <w:ind w:hanging="720"/>
        <w:jc w:val="both"/>
        <w:rPr>
          <w:rFonts w:ascii="Times New Roman" w:hAnsi="Times New Roman"/>
          <w:sz w:val="20"/>
          <w:szCs w:val="20"/>
        </w:rPr>
      </w:pPr>
    </w:p>
    <w:p w14:paraId="0BC97FC9"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Take rate</w:t>
      </w:r>
      <w:r>
        <w:rPr>
          <w:rFonts w:ascii="Arial" w:eastAsia="宋体" w:hAnsi="Arial" w:cs="Arial"/>
          <w:sz w:val="20"/>
          <w:szCs w:val="20"/>
        </w:rPr>
        <w:t xml:space="preserve"> is defined as net transaction revenues divided by GMV.</w:t>
      </w:r>
    </w:p>
    <w:p w14:paraId="0BC97FCA" w14:textId="77777777" w:rsidR="009F0928" w:rsidRDefault="009F0928">
      <w:pPr>
        <w:rPr>
          <w:rFonts w:ascii="Times New Roman" w:hAnsi="Times New Roman"/>
          <w:sz w:val="20"/>
          <w:szCs w:val="20"/>
        </w:rPr>
      </w:pPr>
    </w:p>
    <w:p w14:paraId="0BC97FCB"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40</w:t>
      </w:r>
    </w:p>
    <w:p w14:paraId="0BC97FCC" w14:textId="77777777" w:rsidR="009F0928" w:rsidRDefault="002112BD">
      <w:r>
        <w:rPr>
          <w:rFonts w:ascii="Times New Roman" w:hAnsi="Times New Roman"/>
          <w:sz w:val="18"/>
          <w:szCs w:val="18"/>
        </w:rPr>
        <w:pict w14:anchorId="0BC9B4E5">
          <v:rect id="_x0000_i1065" style="width:415.3pt;height:1.5pt" o:hralign="center" o:hrstd="t" o:hr="t" fillcolor="#a0a0a0" stroked="f"/>
        </w:pict>
      </w:r>
    </w:p>
    <w:p w14:paraId="0BC97FCD" w14:textId="77777777" w:rsidR="009F0928" w:rsidRDefault="009F0928">
      <w:pPr>
        <w:spacing w:line="288" w:lineRule="auto"/>
        <w:rPr>
          <w:rFonts w:ascii="Times New Roman" w:hAnsi="Times New Roman"/>
          <w:sz w:val="20"/>
          <w:szCs w:val="20"/>
        </w:rPr>
      </w:pPr>
    </w:p>
    <w:p w14:paraId="0BC97FCE" w14:textId="77777777" w:rsidR="009F0928" w:rsidRDefault="009F0928">
      <w:pPr>
        <w:rPr>
          <w:rFonts w:ascii="Times New Roman" w:hAnsi="Times New Roman"/>
          <w:sz w:val="20"/>
          <w:szCs w:val="20"/>
        </w:rPr>
      </w:pPr>
    </w:p>
    <w:p w14:paraId="0BC97FCF" w14:textId="77777777" w:rsidR="009F0928" w:rsidRDefault="009F0928">
      <w:pPr>
        <w:spacing w:line="288" w:lineRule="auto"/>
        <w:jc w:val="both"/>
        <w:rPr>
          <w:rFonts w:ascii="Times New Roman" w:hAnsi="Times New Roman"/>
          <w:sz w:val="20"/>
          <w:szCs w:val="20"/>
        </w:rPr>
      </w:pPr>
    </w:p>
    <w:p w14:paraId="0BC97FD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table presents GMV and take rate by segment for the periods presented (in millions, except percentages):</w:t>
      </w:r>
    </w:p>
    <w:tbl>
      <w:tblPr>
        <w:tblW w:w="5000" w:type="pct"/>
        <w:tblCellMar>
          <w:left w:w="0" w:type="dxa"/>
          <w:right w:w="0" w:type="dxa"/>
        </w:tblCellMar>
        <w:tblLook w:val="04A0" w:firstRow="1" w:lastRow="0" w:firstColumn="1" w:lastColumn="0" w:noHBand="0" w:noVBand="1"/>
      </w:tblPr>
      <w:tblGrid>
        <w:gridCol w:w="3258"/>
        <w:gridCol w:w="129"/>
        <w:gridCol w:w="601"/>
        <w:gridCol w:w="183"/>
        <w:gridCol w:w="130"/>
        <w:gridCol w:w="684"/>
        <w:gridCol w:w="236"/>
        <w:gridCol w:w="130"/>
        <w:gridCol w:w="129"/>
        <w:gridCol w:w="601"/>
        <w:gridCol w:w="183"/>
        <w:gridCol w:w="130"/>
        <w:gridCol w:w="685"/>
        <w:gridCol w:w="183"/>
        <w:gridCol w:w="130"/>
        <w:gridCol w:w="129"/>
        <w:gridCol w:w="602"/>
        <w:gridCol w:w="183"/>
      </w:tblGrid>
      <w:tr w:rsidR="009F0928" w14:paraId="0BC97FD2" w14:textId="77777777">
        <w:tc>
          <w:tcPr>
            <w:tcW w:w="0" w:type="auto"/>
            <w:gridSpan w:val="18"/>
            <w:shd w:val="clear" w:color="auto" w:fill="auto"/>
            <w:vAlign w:val="center"/>
          </w:tcPr>
          <w:p w14:paraId="0BC97FD1" w14:textId="77777777" w:rsidR="009F0928" w:rsidRDefault="009F0928">
            <w:pPr>
              <w:rPr>
                <w:rFonts w:ascii="Times New Roman" w:hAnsi="Times New Roman"/>
                <w:sz w:val="20"/>
                <w:szCs w:val="20"/>
              </w:rPr>
            </w:pPr>
          </w:p>
        </w:tc>
      </w:tr>
      <w:tr w:rsidR="009F0928" w14:paraId="0BC97FE5" w14:textId="77777777">
        <w:tc>
          <w:tcPr>
            <w:tcW w:w="2050" w:type="pct"/>
            <w:shd w:val="clear" w:color="auto" w:fill="auto"/>
            <w:vAlign w:val="center"/>
          </w:tcPr>
          <w:p w14:paraId="0BC97FD3" w14:textId="77777777" w:rsidR="009F0928" w:rsidRDefault="009F0928">
            <w:pPr>
              <w:rPr>
                <w:rFonts w:ascii="Times New Roman" w:hAnsi="Times New Roman"/>
                <w:sz w:val="20"/>
                <w:szCs w:val="20"/>
              </w:rPr>
            </w:pPr>
          </w:p>
        </w:tc>
        <w:tc>
          <w:tcPr>
            <w:tcW w:w="50" w:type="pct"/>
            <w:shd w:val="clear" w:color="auto" w:fill="auto"/>
            <w:vAlign w:val="center"/>
          </w:tcPr>
          <w:p w14:paraId="0BC97FD4" w14:textId="77777777" w:rsidR="009F0928" w:rsidRDefault="009F0928">
            <w:pPr>
              <w:rPr>
                <w:rFonts w:ascii="Times New Roman" w:hAnsi="Times New Roman"/>
                <w:sz w:val="20"/>
                <w:szCs w:val="20"/>
              </w:rPr>
            </w:pPr>
          </w:p>
        </w:tc>
        <w:tc>
          <w:tcPr>
            <w:tcW w:w="450" w:type="pct"/>
            <w:shd w:val="clear" w:color="auto" w:fill="auto"/>
            <w:vAlign w:val="center"/>
          </w:tcPr>
          <w:p w14:paraId="0BC97FD5" w14:textId="77777777" w:rsidR="009F0928" w:rsidRDefault="009F0928">
            <w:pPr>
              <w:rPr>
                <w:rFonts w:ascii="Times New Roman" w:hAnsi="Times New Roman"/>
                <w:sz w:val="20"/>
                <w:szCs w:val="20"/>
              </w:rPr>
            </w:pPr>
          </w:p>
        </w:tc>
        <w:tc>
          <w:tcPr>
            <w:tcW w:w="50" w:type="pct"/>
            <w:shd w:val="clear" w:color="auto" w:fill="auto"/>
            <w:vAlign w:val="center"/>
          </w:tcPr>
          <w:p w14:paraId="0BC97FD6" w14:textId="77777777" w:rsidR="009F0928" w:rsidRDefault="009F0928">
            <w:pPr>
              <w:rPr>
                <w:rFonts w:ascii="Times New Roman" w:hAnsi="Times New Roman"/>
                <w:sz w:val="20"/>
                <w:szCs w:val="20"/>
              </w:rPr>
            </w:pPr>
          </w:p>
        </w:tc>
        <w:tc>
          <w:tcPr>
            <w:tcW w:w="50" w:type="pct"/>
            <w:shd w:val="clear" w:color="auto" w:fill="auto"/>
            <w:vAlign w:val="center"/>
          </w:tcPr>
          <w:p w14:paraId="0BC97FD7" w14:textId="77777777" w:rsidR="009F0928" w:rsidRDefault="009F0928">
            <w:pPr>
              <w:rPr>
                <w:rFonts w:ascii="Times New Roman" w:hAnsi="Times New Roman"/>
                <w:sz w:val="20"/>
                <w:szCs w:val="20"/>
              </w:rPr>
            </w:pPr>
          </w:p>
        </w:tc>
        <w:tc>
          <w:tcPr>
            <w:tcW w:w="500" w:type="pct"/>
            <w:shd w:val="clear" w:color="auto" w:fill="auto"/>
            <w:vAlign w:val="center"/>
          </w:tcPr>
          <w:p w14:paraId="0BC97FD8" w14:textId="77777777" w:rsidR="009F0928" w:rsidRDefault="009F0928">
            <w:pPr>
              <w:rPr>
                <w:rFonts w:ascii="Times New Roman" w:hAnsi="Times New Roman"/>
                <w:sz w:val="20"/>
                <w:szCs w:val="20"/>
              </w:rPr>
            </w:pPr>
          </w:p>
        </w:tc>
        <w:tc>
          <w:tcPr>
            <w:tcW w:w="50" w:type="pct"/>
            <w:shd w:val="clear" w:color="auto" w:fill="auto"/>
            <w:vAlign w:val="center"/>
          </w:tcPr>
          <w:p w14:paraId="0BC97FD9" w14:textId="77777777" w:rsidR="009F0928" w:rsidRDefault="009F0928">
            <w:pPr>
              <w:rPr>
                <w:rFonts w:ascii="Times New Roman" w:hAnsi="Times New Roman"/>
                <w:sz w:val="20"/>
                <w:szCs w:val="20"/>
              </w:rPr>
            </w:pPr>
          </w:p>
        </w:tc>
        <w:tc>
          <w:tcPr>
            <w:tcW w:w="50" w:type="pct"/>
            <w:shd w:val="clear" w:color="auto" w:fill="auto"/>
            <w:vAlign w:val="center"/>
          </w:tcPr>
          <w:p w14:paraId="0BC97FDA" w14:textId="77777777" w:rsidR="009F0928" w:rsidRDefault="009F0928">
            <w:pPr>
              <w:rPr>
                <w:rFonts w:ascii="Times New Roman" w:hAnsi="Times New Roman"/>
                <w:sz w:val="20"/>
                <w:szCs w:val="20"/>
              </w:rPr>
            </w:pPr>
          </w:p>
        </w:tc>
        <w:tc>
          <w:tcPr>
            <w:tcW w:w="50" w:type="pct"/>
            <w:shd w:val="clear" w:color="auto" w:fill="auto"/>
            <w:vAlign w:val="center"/>
          </w:tcPr>
          <w:p w14:paraId="0BC97FDB" w14:textId="77777777" w:rsidR="009F0928" w:rsidRDefault="009F0928">
            <w:pPr>
              <w:rPr>
                <w:rFonts w:ascii="Times New Roman" w:hAnsi="Times New Roman"/>
                <w:sz w:val="20"/>
                <w:szCs w:val="20"/>
              </w:rPr>
            </w:pPr>
          </w:p>
        </w:tc>
        <w:tc>
          <w:tcPr>
            <w:tcW w:w="450" w:type="pct"/>
            <w:shd w:val="clear" w:color="auto" w:fill="auto"/>
            <w:vAlign w:val="center"/>
          </w:tcPr>
          <w:p w14:paraId="0BC97FDC" w14:textId="77777777" w:rsidR="009F0928" w:rsidRDefault="009F0928">
            <w:pPr>
              <w:rPr>
                <w:rFonts w:ascii="Times New Roman" w:hAnsi="Times New Roman"/>
                <w:sz w:val="20"/>
                <w:szCs w:val="20"/>
              </w:rPr>
            </w:pPr>
          </w:p>
        </w:tc>
        <w:tc>
          <w:tcPr>
            <w:tcW w:w="50" w:type="pct"/>
            <w:shd w:val="clear" w:color="auto" w:fill="auto"/>
            <w:vAlign w:val="center"/>
          </w:tcPr>
          <w:p w14:paraId="0BC97FDD" w14:textId="77777777" w:rsidR="009F0928" w:rsidRDefault="009F0928">
            <w:pPr>
              <w:rPr>
                <w:rFonts w:ascii="Times New Roman" w:hAnsi="Times New Roman"/>
                <w:sz w:val="20"/>
                <w:szCs w:val="20"/>
              </w:rPr>
            </w:pPr>
          </w:p>
        </w:tc>
        <w:tc>
          <w:tcPr>
            <w:tcW w:w="50" w:type="pct"/>
            <w:shd w:val="clear" w:color="auto" w:fill="auto"/>
            <w:vAlign w:val="center"/>
          </w:tcPr>
          <w:p w14:paraId="0BC97FDE" w14:textId="77777777" w:rsidR="009F0928" w:rsidRDefault="009F0928">
            <w:pPr>
              <w:rPr>
                <w:rFonts w:ascii="Times New Roman" w:hAnsi="Times New Roman"/>
                <w:sz w:val="20"/>
                <w:szCs w:val="20"/>
              </w:rPr>
            </w:pPr>
          </w:p>
        </w:tc>
        <w:tc>
          <w:tcPr>
            <w:tcW w:w="500" w:type="pct"/>
            <w:shd w:val="clear" w:color="auto" w:fill="auto"/>
            <w:vAlign w:val="center"/>
          </w:tcPr>
          <w:p w14:paraId="0BC97FDF" w14:textId="77777777" w:rsidR="009F0928" w:rsidRDefault="009F0928">
            <w:pPr>
              <w:rPr>
                <w:rFonts w:ascii="Times New Roman" w:hAnsi="Times New Roman"/>
                <w:sz w:val="20"/>
                <w:szCs w:val="20"/>
              </w:rPr>
            </w:pPr>
          </w:p>
        </w:tc>
        <w:tc>
          <w:tcPr>
            <w:tcW w:w="50" w:type="pct"/>
            <w:shd w:val="clear" w:color="auto" w:fill="auto"/>
            <w:vAlign w:val="center"/>
          </w:tcPr>
          <w:p w14:paraId="0BC97FE0" w14:textId="77777777" w:rsidR="009F0928" w:rsidRDefault="009F0928">
            <w:pPr>
              <w:rPr>
                <w:rFonts w:ascii="Times New Roman" w:hAnsi="Times New Roman"/>
                <w:sz w:val="20"/>
                <w:szCs w:val="20"/>
              </w:rPr>
            </w:pPr>
          </w:p>
        </w:tc>
        <w:tc>
          <w:tcPr>
            <w:tcW w:w="50" w:type="pct"/>
            <w:shd w:val="clear" w:color="auto" w:fill="auto"/>
            <w:vAlign w:val="center"/>
          </w:tcPr>
          <w:p w14:paraId="0BC97FE1" w14:textId="77777777" w:rsidR="009F0928" w:rsidRDefault="009F0928">
            <w:pPr>
              <w:rPr>
                <w:rFonts w:ascii="Times New Roman" w:hAnsi="Times New Roman"/>
                <w:sz w:val="20"/>
                <w:szCs w:val="20"/>
              </w:rPr>
            </w:pPr>
          </w:p>
        </w:tc>
        <w:tc>
          <w:tcPr>
            <w:tcW w:w="50" w:type="pct"/>
            <w:shd w:val="clear" w:color="auto" w:fill="auto"/>
            <w:vAlign w:val="center"/>
          </w:tcPr>
          <w:p w14:paraId="0BC97FE2" w14:textId="77777777" w:rsidR="009F0928" w:rsidRDefault="009F0928">
            <w:pPr>
              <w:rPr>
                <w:rFonts w:ascii="Times New Roman" w:hAnsi="Times New Roman"/>
                <w:sz w:val="20"/>
                <w:szCs w:val="20"/>
              </w:rPr>
            </w:pPr>
          </w:p>
        </w:tc>
        <w:tc>
          <w:tcPr>
            <w:tcW w:w="450" w:type="pct"/>
            <w:shd w:val="clear" w:color="auto" w:fill="auto"/>
            <w:vAlign w:val="center"/>
          </w:tcPr>
          <w:p w14:paraId="0BC97FE3" w14:textId="77777777" w:rsidR="009F0928" w:rsidRDefault="009F0928">
            <w:pPr>
              <w:rPr>
                <w:rFonts w:ascii="Times New Roman" w:hAnsi="Times New Roman"/>
                <w:sz w:val="20"/>
                <w:szCs w:val="20"/>
              </w:rPr>
            </w:pPr>
          </w:p>
        </w:tc>
        <w:tc>
          <w:tcPr>
            <w:tcW w:w="50" w:type="pct"/>
            <w:shd w:val="clear" w:color="auto" w:fill="auto"/>
            <w:vAlign w:val="center"/>
          </w:tcPr>
          <w:p w14:paraId="0BC97FE4" w14:textId="77777777" w:rsidR="009F0928" w:rsidRDefault="009F0928">
            <w:pPr>
              <w:rPr>
                <w:rFonts w:ascii="Times New Roman" w:hAnsi="Times New Roman"/>
                <w:sz w:val="20"/>
                <w:szCs w:val="20"/>
              </w:rPr>
            </w:pPr>
          </w:p>
        </w:tc>
      </w:tr>
      <w:tr w:rsidR="009F0928" w14:paraId="0BC97FE8" w14:textId="77777777">
        <w:tc>
          <w:tcPr>
            <w:tcW w:w="0" w:type="auto"/>
            <w:shd w:val="clear" w:color="auto" w:fill="auto"/>
            <w:tcMar>
              <w:top w:w="40" w:type="dxa"/>
              <w:left w:w="40" w:type="dxa"/>
              <w:bottom w:w="40" w:type="dxa"/>
              <w:right w:w="40" w:type="dxa"/>
            </w:tcMar>
            <w:vAlign w:val="bottom"/>
          </w:tcPr>
          <w:p w14:paraId="0BC97FE6"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17"/>
            <w:tcBorders>
              <w:bottom w:val="single" w:sz="8" w:space="0" w:color="000000"/>
            </w:tcBorders>
            <w:shd w:val="clear" w:color="auto" w:fill="auto"/>
            <w:tcMar>
              <w:top w:w="40" w:type="dxa"/>
              <w:left w:w="40" w:type="dxa"/>
              <w:bottom w:w="40" w:type="dxa"/>
            </w:tcMar>
            <w:vAlign w:val="bottom"/>
          </w:tcPr>
          <w:p w14:paraId="0BC97FE7"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xml:space="preserve">Year Ended </w:t>
            </w:r>
            <w:r>
              <w:rPr>
                <w:rFonts w:ascii="Arial" w:eastAsia="宋体" w:hAnsi="Arial" w:cs="Arial"/>
                <w:b/>
                <w:bCs/>
                <w:sz w:val="14"/>
                <w:szCs w:val="14"/>
              </w:rPr>
              <w:t>December 31,</w:t>
            </w:r>
          </w:p>
        </w:tc>
      </w:tr>
      <w:tr w:rsidR="009F0928" w14:paraId="0BC97FF3" w14:textId="77777777">
        <w:tc>
          <w:tcPr>
            <w:tcW w:w="0" w:type="auto"/>
            <w:shd w:val="clear" w:color="auto" w:fill="auto"/>
            <w:tcMar>
              <w:top w:w="40" w:type="dxa"/>
              <w:left w:w="40" w:type="dxa"/>
              <w:bottom w:w="40" w:type="dxa"/>
              <w:right w:w="40" w:type="dxa"/>
            </w:tcMar>
            <w:vAlign w:val="center"/>
          </w:tcPr>
          <w:p w14:paraId="0BC97FE9" w14:textId="77777777" w:rsidR="009F0928" w:rsidRDefault="002112BD">
            <w:pPr>
              <w:textAlignment w:val="center"/>
              <w:rPr>
                <w:rFonts w:ascii="Times New Roman" w:hAnsi="Times New Roman"/>
                <w:sz w:val="14"/>
                <w:szCs w:val="14"/>
              </w:rPr>
            </w:pPr>
            <w:r>
              <w:rPr>
                <w:rFonts w:ascii="Arial" w:eastAsia="宋体" w:hAnsi="Arial" w:cs="Arial"/>
                <w:sz w:val="14"/>
                <w:szCs w:val="14"/>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7FEA"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0BC97FE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FEC"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Change</w:t>
            </w:r>
          </w:p>
        </w:tc>
        <w:tc>
          <w:tcPr>
            <w:tcW w:w="0" w:type="auto"/>
            <w:shd w:val="clear" w:color="auto" w:fill="auto"/>
            <w:tcMar>
              <w:top w:w="40" w:type="dxa"/>
              <w:left w:w="40" w:type="dxa"/>
              <w:bottom w:w="40" w:type="dxa"/>
              <w:right w:w="40" w:type="dxa"/>
            </w:tcMar>
            <w:vAlign w:val="bottom"/>
          </w:tcPr>
          <w:p w14:paraId="0BC97FE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7FEE"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0BC97FE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FF0"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Change</w:t>
            </w:r>
          </w:p>
        </w:tc>
        <w:tc>
          <w:tcPr>
            <w:tcW w:w="0" w:type="auto"/>
            <w:shd w:val="clear" w:color="auto" w:fill="auto"/>
            <w:tcMar>
              <w:top w:w="40" w:type="dxa"/>
              <w:left w:w="40" w:type="dxa"/>
              <w:bottom w:w="40" w:type="dxa"/>
              <w:right w:w="40" w:type="dxa"/>
            </w:tcMar>
            <w:vAlign w:val="bottom"/>
          </w:tcPr>
          <w:p w14:paraId="0BC97FF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7FF2"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2017</w:t>
            </w:r>
          </w:p>
        </w:tc>
      </w:tr>
      <w:tr w:rsidR="009F0928" w14:paraId="0BC97FFE" w14:textId="77777777">
        <w:tc>
          <w:tcPr>
            <w:tcW w:w="0" w:type="auto"/>
            <w:shd w:val="clear" w:color="auto" w:fill="auto"/>
            <w:tcMar>
              <w:top w:w="40" w:type="dxa"/>
              <w:left w:w="400" w:type="dxa"/>
              <w:bottom w:w="40" w:type="dxa"/>
              <w:right w:w="40" w:type="dxa"/>
            </w:tcMar>
            <w:vAlign w:val="bottom"/>
          </w:tcPr>
          <w:p w14:paraId="0BC97FF4" w14:textId="77777777" w:rsidR="009F0928" w:rsidRDefault="002112BD">
            <w:pPr>
              <w:textAlignment w:val="bottom"/>
              <w:rPr>
                <w:rFonts w:ascii="Times New Roman" w:hAnsi="Times New Roman"/>
                <w:sz w:val="16"/>
                <w:szCs w:val="16"/>
              </w:rPr>
            </w:pPr>
            <w:r>
              <w:rPr>
                <w:rFonts w:ascii="Arial" w:eastAsia="宋体" w:hAnsi="Arial" w:cs="Arial"/>
                <w:sz w:val="16"/>
                <w:szCs w:val="16"/>
              </w:rPr>
              <w:t>GMV:</w:t>
            </w:r>
          </w:p>
        </w:tc>
        <w:tc>
          <w:tcPr>
            <w:tcW w:w="0" w:type="auto"/>
            <w:gridSpan w:val="3"/>
            <w:shd w:val="clear" w:color="auto" w:fill="auto"/>
            <w:tcMar>
              <w:top w:w="40" w:type="dxa"/>
              <w:left w:w="40" w:type="dxa"/>
              <w:bottom w:w="40" w:type="dxa"/>
              <w:right w:w="40" w:type="dxa"/>
            </w:tcMar>
            <w:vAlign w:val="bottom"/>
          </w:tcPr>
          <w:p w14:paraId="0BC97FF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F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7FF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FF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F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FF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7FF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7FF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7FF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011" w14:textId="77777777">
        <w:tc>
          <w:tcPr>
            <w:tcW w:w="0" w:type="auto"/>
            <w:shd w:val="clear" w:color="auto" w:fill="E2E2E2"/>
            <w:tcMar>
              <w:top w:w="40" w:type="dxa"/>
              <w:left w:w="720" w:type="dxa"/>
              <w:bottom w:w="40" w:type="dxa"/>
              <w:right w:w="40" w:type="dxa"/>
            </w:tcMar>
            <w:vAlign w:val="bottom"/>
          </w:tcPr>
          <w:p w14:paraId="0BC97FFF" w14:textId="77777777" w:rsidR="009F0928" w:rsidRDefault="002112BD">
            <w:pPr>
              <w:textAlignment w:val="bottom"/>
              <w:rPr>
                <w:rFonts w:ascii="Times New Roman" w:hAnsi="Times New Roman"/>
                <w:sz w:val="16"/>
                <w:szCs w:val="16"/>
              </w:rPr>
            </w:pPr>
            <w:r>
              <w:rPr>
                <w:rFonts w:ascii="Arial" w:eastAsia="宋体" w:hAnsi="Arial" w:cs="Arial"/>
                <w:sz w:val="16"/>
                <w:szCs w:val="16"/>
              </w:rPr>
              <w:t>Marketplace</w:t>
            </w:r>
          </w:p>
        </w:tc>
        <w:tc>
          <w:tcPr>
            <w:tcW w:w="0" w:type="auto"/>
            <w:shd w:val="clear" w:color="auto" w:fill="E2E2E2"/>
            <w:tcMar>
              <w:top w:w="40" w:type="dxa"/>
              <w:left w:w="40" w:type="dxa"/>
              <w:bottom w:w="40" w:type="dxa"/>
            </w:tcMar>
            <w:vAlign w:val="bottom"/>
          </w:tcPr>
          <w:p w14:paraId="0BC98000"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800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85,510</w:t>
            </w:r>
          </w:p>
        </w:tc>
        <w:tc>
          <w:tcPr>
            <w:tcW w:w="0" w:type="auto"/>
            <w:shd w:val="clear" w:color="auto" w:fill="E2E2E2"/>
            <w:vAlign w:val="bottom"/>
          </w:tcPr>
          <w:p w14:paraId="0BC9800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00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0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E2E2E2"/>
            <w:tcMar>
              <w:top w:w="40" w:type="dxa"/>
              <w:bottom w:w="40" w:type="dxa"/>
              <w:right w:w="40" w:type="dxa"/>
            </w:tcMar>
            <w:vAlign w:val="bottom"/>
          </w:tcPr>
          <w:p w14:paraId="0BC9800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00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0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800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89,829</w:t>
            </w:r>
          </w:p>
        </w:tc>
        <w:tc>
          <w:tcPr>
            <w:tcW w:w="0" w:type="auto"/>
            <w:shd w:val="clear" w:color="auto" w:fill="E2E2E2"/>
            <w:vAlign w:val="bottom"/>
          </w:tcPr>
          <w:p w14:paraId="0BC9800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00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0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w:t>
            </w:r>
          </w:p>
        </w:tc>
        <w:tc>
          <w:tcPr>
            <w:tcW w:w="0" w:type="auto"/>
            <w:shd w:val="clear" w:color="auto" w:fill="E2E2E2"/>
            <w:tcMar>
              <w:top w:w="40" w:type="dxa"/>
              <w:bottom w:w="40" w:type="dxa"/>
              <w:right w:w="40" w:type="dxa"/>
            </w:tcMar>
            <w:vAlign w:val="bottom"/>
          </w:tcPr>
          <w:p w14:paraId="0BC9800C"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00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0E"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800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83,883</w:t>
            </w:r>
          </w:p>
        </w:tc>
        <w:tc>
          <w:tcPr>
            <w:tcW w:w="0" w:type="auto"/>
            <w:shd w:val="clear" w:color="auto" w:fill="E2E2E2"/>
            <w:vAlign w:val="bottom"/>
          </w:tcPr>
          <w:p w14:paraId="0BC98010" w14:textId="77777777" w:rsidR="009F0928" w:rsidRDefault="009F0928">
            <w:pPr>
              <w:textAlignment w:val="bottom"/>
              <w:rPr>
                <w:rFonts w:ascii="Times New Roman" w:hAnsi="Times New Roman"/>
                <w:sz w:val="20"/>
                <w:szCs w:val="20"/>
              </w:rPr>
            </w:pPr>
          </w:p>
        </w:tc>
      </w:tr>
      <w:tr w:rsidR="009F0928" w14:paraId="0BC98021" w14:textId="77777777">
        <w:tc>
          <w:tcPr>
            <w:tcW w:w="0" w:type="auto"/>
            <w:shd w:val="clear" w:color="auto" w:fill="auto"/>
            <w:tcMar>
              <w:top w:w="40" w:type="dxa"/>
              <w:left w:w="720" w:type="dxa"/>
              <w:bottom w:w="40" w:type="dxa"/>
              <w:right w:w="40" w:type="dxa"/>
            </w:tcMar>
            <w:vAlign w:val="bottom"/>
          </w:tcPr>
          <w:p w14:paraId="0BC98012" w14:textId="77777777" w:rsidR="009F0928" w:rsidRDefault="002112BD">
            <w:pPr>
              <w:textAlignment w:val="bottom"/>
              <w:rPr>
                <w:rFonts w:ascii="Times New Roman" w:hAnsi="Times New Roman"/>
                <w:sz w:val="16"/>
                <w:szCs w:val="16"/>
              </w:rPr>
            </w:pPr>
            <w:r>
              <w:rPr>
                <w:rFonts w:ascii="Arial" w:eastAsia="宋体" w:hAnsi="Arial" w:cs="Arial"/>
                <w:sz w:val="16"/>
                <w:szCs w:val="16"/>
              </w:rPr>
              <w:t>StubHub</w:t>
            </w:r>
          </w:p>
        </w:tc>
        <w:tc>
          <w:tcPr>
            <w:tcW w:w="0" w:type="auto"/>
            <w:gridSpan w:val="2"/>
            <w:shd w:val="clear" w:color="auto" w:fill="auto"/>
            <w:tcMar>
              <w:top w:w="40" w:type="dxa"/>
              <w:left w:w="40" w:type="dxa"/>
              <w:bottom w:w="40" w:type="dxa"/>
            </w:tcMar>
            <w:vAlign w:val="bottom"/>
          </w:tcPr>
          <w:p w14:paraId="0BC98013"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4,700</w:t>
            </w:r>
          </w:p>
        </w:tc>
        <w:tc>
          <w:tcPr>
            <w:tcW w:w="0" w:type="auto"/>
            <w:shd w:val="clear" w:color="auto" w:fill="auto"/>
            <w:vAlign w:val="bottom"/>
          </w:tcPr>
          <w:p w14:paraId="0BC9801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01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01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auto"/>
            <w:tcMar>
              <w:top w:w="40" w:type="dxa"/>
              <w:bottom w:w="40" w:type="dxa"/>
              <w:right w:w="40" w:type="dxa"/>
            </w:tcMar>
            <w:vAlign w:val="bottom"/>
          </w:tcPr>
          <w:p w14:paraId="0BC9801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0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01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4,751</w:t>
            </w:r>
          </w:p>
        </w:tc>
        <w:tc>
          <w:tcPr>
            <w:tcW w:w="0" w:type="auto"/>
            <w:shd w:val="clear" w:color="auto" w:fill="auto"/>
            <w:vAlign w:val="bottom"/>
          </w:tcPr>
          <w:p w14:paraId="0BC9801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01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01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auto"/>
            <w:tcMar>
              <w:top w:w="40" w:type="dxa"/>
              <w:bottom w:w="40" w:type="dxa"/>
              <w:right w:w="40" w:type="dxa"/>
            </w:tcMar>
            <w:vAlign w:val="bottom"/>
          </w:tcPr>
          <w:p w14:paraId="0BC9801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0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01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4,520</w:t>
            </w:r>
          </w:p>
        </w:tc>
        <w:tc>
          <w:tcPr>
            <w:tcW w:w="0" w:type="auto"/>
            <w:shd w:val="clear" w:color="auto" w:fill="auto"/>
            <w:vAlign w:val="bottom"/>
          </w:tcPr>
          <w:p w14:paraId="0BC98020" w14:textId="77777777" w:rsidR="009F0928" w:rsidRDefault="009F0928">
            <w:pPr>
              <w:textAlignment w:val="bottom"/>
              <w:rPr>
                <w:rFonts w:ascii="Times New Roman" w:hAnsi="Times New Roman"/>
                <w:sz w:val="20"/>
                <w:szCs w:val="20"/>
              </w:rPr>
            </w:pPr>
          </w:p>
        </w:tc>
      </w:tr>
      <w:tr w:rsidR="009F0928" w14:paraId="0BC98034" w14:textId="77777777">
        <w:tc>
          <w:tcPr>
            <w:tcW w:w="0" w:type="auto"/>
            <w:shd w:val="clear" w:color="auto" w:fill="E2E2E2"/>
            <w:tcMar>
              <w:top w:w="40" w:type="dxa"/>
              <w:left w:w="880" w:type="dxa"/>
              <w:bottom w:w="40" w:type="dxa"/>
              <w:right w:w="40" w:type="dxa"/>
            </w:tcMar>
            <w:vAlign w:val="bottom"/>
          </w:tcPr>
          <w:p w14:paraId="0BC98022" w14:textId="77777777" w:rsidR="009F0928" w:rsidRDefault="002112BD">
            <w:pPr>
              <w:textAlignment w:val="bottom"/>
              <w:rPr>
                <w:rFonts w:ascii="Times New Roman" w:hAnsi="Times New Roman"/>
                <w:sz w:val="16"/>
                <w:szCs w:val="16"/>
              </w:rPr>
            </w:pPr>
            <w:r>
              <w:rPr>
                <w:rFonts w:ascii="Arial" w:eastAsia="宋体" w:hAnsi="Arial" w:cs="Arial"/>
                <w:sz w:val="16"/>
                <w:szCs w:val="16"/>
              </w:rPr>
              <w:t>Total</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02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02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90,210</w:t>
            </w:r>
          </w:p>
        </w:tc>
        <w:tc>
          <w:tcPr>
            <w:tcW w:w="0" w:type="auto"/>
            <w:tcBorders>
              <w:top w:val="single" w:sz="8" w:space="0" w:color="000000"/>
              <w:bottom w:val="double" w:sz="6" w:space="0" w:color="000000"/>
            </w:tcBorders>
            <w:shd w:val="clear" w:color="auto" w:fill="E2E2E2"/>
            <w:vAlign w:val="bottom"/>
          </w:tcPr>
          <w:p w14:paraId="0BC9802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02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2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E2E2E2"/>
            <w:tcMar>
              <w:top w:w="40" w:type="dxa"/>
              <w:bottom w:w="40" w:type="dxa"/>
              <w:right w:w="40" w:type="dxa"/>
            </w:tcMar>
            <w:vAlign w:val="bottom"/>
          </w:tcPr>
          <w:p w14:paraId="0BC98028"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02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02A"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02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94,580</w:t>
            </w:r>
          </w:p>
        </w:tc>
        <w:tc>
          <w:tcPr>
            <w:tcW w:w="0" w:type="auto"/>
            <w:tcBorders>
              <w:top w:val="single" w:sz="8" w:space="0" w:color="000000"/>
              <w:bottom w:val="double" w:sz="6" w:space="0" w:color="000000"/>
            </w:tcBorders>
            <w:shd w:val="clear" w:color="auto" w:fill="E2E2E2"/>
            <w:vAlign w:val="bottom"/>
          </w:tcPr>
          <w:p w14:paraId="0BC9802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02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2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w:t>
            </w:r>
          </w:p>
        </w:tc>
        <w:tc>
          <w:tcPr>
            <w:tcW w:w="0" w:type="auto"/>
            <w:shd w:val="clear" w:color="auto" w:fill="E2E2E2"/>
            <w:tcMar>
              <w:top w:w="40" w:type="dxa"/>
              <w:bottom w:w="40" w:type="dxa"/>
              <w:right w:w="40" w:type="dxa"/>
            </w:tcMar>
            <w:vAlign w:val="bottom"/>
          </w:tcPr>
          <w:p w14:paraId="0BC9802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03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031"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03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88,403</w:t>
            </w:r>
          </w:p>
        </w:tc>
        <w:tc>
          <w:tcPr>
            <w:tcW w:w="0" w:type="auto"/>
            <w:tcBorders>
              <w:top w:val="single" w:sz="8" w:space="0" w:color="000000"/>
              <w:bottom w:val="double" w:sz="6" w:space="0" w:color="000000"/>
            </w:tcBorders>
            <w:shd w:val="clear" w:color="auto" w:fill="E2E2E2"/>
            <w:vAlign w:val="bottom"/>
          </w:tcPr>
          <w:p w14:paraId="0BC98033" w14:textId="77777777" w:rsidR="009F0928" w:rsidRDefault="009F0928">
            <w:pPr>
              <w:textAlignment w:val="bottom"/>
              <w:rPr>
                <w:rFonts w:ascii="Times New Roman" w:hAnsi="Times New Roman"/>
                <w:sz w:val="20"/>
                <w:szCs w:val="20"/>
              </w:rPr>
            </w:pPr>
          </w:p>
        </w:tc>
      </w:tr>
      <w:tr w:rsidR="009F0928" w14:paraId="0BC9803F" w14:textId="77777777">
        <w:tc>
          <w:tcPr>
            <w:tcW w:w="0" w:type="auto"/>
            <w:shd w:val="clear" w:color="auto" w:fill="auto"/>
            <w:tcMar>
              <w:top w:w="40" w:type="dxa"/>
              <w:left w:w="40" w:type="dxa"/>
              <w:bottom w:w="40" w:type="dxa"/>
              <w:right w:w="40" w:type="dxa"/>
            </w:tcMar>
            <w:vAlign w:val="bottom"/>
          </w:tcPr>
          <w:p w14:paraId="0BC9803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0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0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03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03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0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03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03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0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03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04A" w14:textId="77777777">
        <w:tc>
          <w:tcPr>
            <w:tcW w:w="0" w:type="auto"/>
            <w:shd w:val="clear" w:color="auto" w:fill="E2E2E2"/>
            <w:tcMar>
              <w:top w:w="40" w:type="dxa"/>
              <w:left w:w="400" w:type="dxa"/>
              <w:bottom w:w="40" w:type="dxa"/>
              <w:right w:w="40" w:type="dxa"/>
            </w:tcMar>
            <w:vAlign w:val="bottom"/>
          </w:tcPr>
          <w:p w14:paraId="0BC98040" w14:textId="77777777" w:rsidR="009F0928" w:rsidRDefault="002112BD">
            <w:pPr>
              <w:textAlignment w:val="bottom"/>
              <w:rPr>
                <w:rFonts w:ascii="Times New Roman" w:hAnsi="Times New Roman"/>
                <w:sz w:val="16"/>
                <w:szCs w:val="16"/>
              </w:rPr>
            </w:pPr>
            <w:r>
              <w:rPr>
                <w:rFonts w:ascii="Arial" w:eastAsia="宋体" w:hAnsi="Arial" w:cs="Arial"/>
                <w:sz w:val="16"/>
                <w:szCs w:val="16"/>
              </w:rPr>
              <w:t>Transaction take rate:</w:t>
            </w:r>
          </w:p>
        </w:tc>
        <w:tc>
          <w:tcPr>
            <w:tcW w:w="0" w:type="auto"/>
            <w:gridSpan w:val="3"/>
            <w:shd w:val="clear" w:color="auto" w:fill="E2E2E2"/>
            <w:tcMar>
              <w:top w:w="40" w:type="dxa"/>
              <w:left w:w="40" w:type="dxa"/>
              <w:bottom w:w="40" w:type="dxa"/>
              <w:right w:w="40" w:type="dxa"/>
            </w:tcMar>
            <w:vAlign w:val="bottom"/>
          </w:tcPr>
          <w:p w14:paraId="0BC9804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04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04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04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04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04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04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04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04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05A" w14:textId="77777777">
        <w:tc>
          <w:tcPr>
            <w:tcW w:w="0" w:type="auto"/>
            <w:shd w:val="clear" w:color="auto" w:fill="auto"/>
            <w:tcMar>
              <w:top w:w="40" w:type="dxa"/>
              <w:left w:w="720" w:type="dxa"/>
              <w:bottom w:w="40" w:type="dxa"/>
              <w:right w:w="40" w:type="dxa"/>
            </w:tcMar>
            <w:vAlign w:val="bottom"/>
          </w:tcPr>
          <w:p w14:paraId="0BC9804B" w14:textId="77777777" w:rsidR="009F0928" w:rsidRDefault="002112BD">
            <w:pPr>
              <w:textAlignment w:val="bottom"/>
              <w:rPr>
                <w:rFonts w:ascii="Times New Roman" w:hAnsi="Times New Roman"/>
                <w:sz w:val="16"/>
                <w:szCs w:val="16"/>
              </w:rPr>
            </w:pPr>
            <w:r>
              <w:rPr>
                <w:rFonts w:ascii="Arial" w:eastAsia="宋体" w:hAnsi="Arial" w:cs="Arial"/>
                <w:sz w:val="16"/>
                <w:szCs w:val="16"/>
              </w:rPr>
              <w:t xml:space="preserve">Marketplace </w:t>
            </w:r>
          </w:p>
        </w:tc>
        <w:tc>
          <w:tcPr>
            <w:tcW w:w="0" w:type="auto"/>
            <w:gridSpan w:val="2"/>
            <w:shd w:val="clear" w:color="auto" w:fill="auto"/>
            <w:tcMar>
              <w:top w:w="40" w:type="dxa"/>
              <w:left w:w="40" w:type="dxa"/>
              <w:bottom w:w="40" w:type="dxa"/>
            </w:tcMar>
            <w:vAlign w:val="bottom"/>
          </w:tcPr>
          <w:p w14:paraId="0BC9804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8.86</w:t>
            </w:r>
          </w:p>
        </w:tc>
        <w:tc>
          <w:tcPr>
            <w:tcW w:w="0" w:type="auto"/>
            <w:shd w:val="clear" w:color="auto" w:fill="auto"/>
            <w:tcMar>
              <w:top w:w="40" w:type="dxa"/>
              <w:bottom w:w="40" w:type="dxa"/>
              <w:right w:w="40" w:type="dxa"/>
            </w:tcMar>
            <w:vAlign w:val="bottom"/>
          </w:tcPr>
          <w:p w14:paraId="0BC9804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04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04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0.61</w:t>
            </w:r>
          </w:p>
        </w:tc>
        <w:tc>
          <w:tcPr>
            <w:tcW w:w="0" w:type="auto"/>
            <w:shd w:val="clear" w:color="auto" w:fill="auto"/>
            <w:tcMar>
              <w:top w:w="40" w:type="dxa"/>
              <w:bottom w:w="40" w:type="dxa"/>
              <w:right w:w="40" w:type="dxa"/>
            </w:tcMar>
            <w:vAlign w:val="bottom"/>
          </w:tcPr>
          <w:p w14:paraId="0BC98050"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805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05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8.25</w:t>
            </w:r>
          </w:p>
        </w:tc>
        <w:tc>
          <w:tcPr>
            <w:tcW w:w="0" w:type="auto"/>
            <w:shd w:val="clear" w:color="auto" w:fill="auto"/>
            <w:tcMar>
              <w:top w:w="40" w:type="dxa"/>
              <w:bottom w:w="40" w:type="dxa"/>
              <w:right w:w="40" w:type="dxa"/>
            </w:tcMar>
            <w:vAlign w:val="bottom"/>
          </w:tcPr>
          <w:p w14:paraId="0BC9805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05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05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0.13</w:t>
            </w:r>
          </w:p>
        </w:tc>
        <w:tc>
          <w:tcPr>
            <w:tcW w:w="0" w:type="auto"/>
            <w:shd w:val="clear" w:color="auto" w:fill="auto"/>
            <w:tcMar>
              <w:top w:w="40" w:type="dxa"/>
              <w:bottom w:w="40" w:type="dxa"/>
              <w:right w:w="40" w:type="dxa"/>
            </w:tcMar>
            <w:vAlign w:val="bottom"/>
          </w:tcPr>
          <w:p w14:paraId="0BC98056"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05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05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8.12</w:t>
            </w:r>
          </w:p>
        </w:tc>
        <w:tc>
          <w:tcPr>
            <w:tcW w:w="0" w:type="auto"/>
            <w:shd w:val="clear" w:color="auto" w:fill="auto"/>
            <w:tcMar>
              <w:top w:w="40" w:type="dxa"/>
              <w:bottom w:w="40" w:type="dxa"/>
              <w:right w:w="40" w:type="dxa"/>
            </w:tcMar>
            <w:vAlign w:val="bottom"/>
          </w:tcPr>
          <w:p w14:paraId="0BC9805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806A" w14:textId="77777777">
        <w:tc>
          <w:tcPr>
            <w:tcW w:w="0" w:type="auto"/>
            <w:shd w:val="clear" w:color="auto" w:fill="E2E2E2"/>
            <w:tcMar>
              <w:top w:w="40" w:type="dxa"/>
              <w:left w:w="720" w:type="dxa"/>
              <w:bottom w:w="40" w:type="dxa"/>
              <w:right w:w="40" w:type="dxa"/>
            </w:tcMar>
            <w:vAlign w:val="bottom"/>
          </w:tcPr>
          <w:p w14:paraId="0BC9805B" w14:textId="77777777" w:rsidR="009F0928" w:rsidRDefault="002112BD">
            <w:pPr>
              <w:textAlignment w:val="bottom"/>
              <w:rPr>
                <w:rFonts w:ascii="Times New Roman" w:hAnsi="Times New Roman"/>
                <w:sz w:val="16"/>
                <w:szCs w:val="16"/>
              </w:rPr>
            </w:pPr>
            <w:r>
              <w:rPr>
                <w:rFonts w:ascii="Arial" w:eastAsia="宋体" w:hAnsi="Arial" w:cs="Arial"/>
                <w:sz w:val="16"/>
                <w:szCs w:val="16"/>
              </w:rPr>
              <w:t xml:space="preserve">StubHub </w:t>
            </w:r>
          </w:p>
        </w:tc>
        <w:tc>
          <w:tcPr>
            <w:tcW w:w="0" w:type="auto"/>
            <w:gridSpan w:val="2"/>
            <w:shd w:val="clear" w:color="auto" w:fill="E2E2E2"/>
            <w:tcMar>
              <w:top w:w="40" w:type="dxa"/>
              <w:left w:w="40" w:type="dxa"/>
              <w:bottom w:w="40" w:type="dxa"/>
            </w:tcMar>
            <w:vAlign w:val="bottom"/>
          </w:tcPr>
          <w:p w14:paraId="0BC9805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22.49</w:t>
            </w:r>
          </w:p>
        </w:tc>
        <w:tc>
          <w:tcPr>
            <w:tcW w:w="0" w:type="auto"/>
            <w:shd w:val="clear" w:color="auto" w:fill="E2E2E2"/>
            <w:tcMar>
              <w:top w:w="40" w:type="dxa"/>
              <w:bottom w:w="40" w:type="dxa"/>
              <w:right w:w="40" w:type="dxa"/>
            </w:tcMar>
            <w:vAlign w:val="bottom"/>
          </w:tcPr>
          <w:p w14:paraId="0BC9805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05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5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0.01</w:t>
            </w:r>
          </w:p>
        </w:tc>
        <w:tc>
          <w:tcPr>
            <w:tcW w:w="0" w:type="auto"/>
            <w:shd w:val="clear" w:color="auto" w:fill="E2E2E2"/>
            <w:tcMar>
              <w:top w:w="40" w:type="dxa"/>
              <w:bottom w:w="40" w:type="dxa"/>
              <w:right w:w="40" w:type="dxa"/>
            </w:tcMar>
            <w:vAlign w:val="bottom"/>
          </w:tcPr>
          <w:p w14:paraId="0BC98060"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806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06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22.48</w:t>
            </w:r>
          </w:p>
        </w:tc>
        <w:tc>
          <w:tcPr>
            <w:tcW w:w="0" w:type="auto"/>
            <w:shd w:val="clear" w:color="auto" w:fill="E2E2E2"/>
            <w:tcMar>
              <w:top w:w="40" w:type="dxa"/>
              <w:bottom w:w="40" w:type="dxa"/>
              <w:right w:w="40" w:type="dxa"/>
            </w:tcMar>
            <w:vAlign w:val="bottom"/>
          </w:tcPr>
          <w:p w14:paraId="0BC9806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06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6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0.11</w:t>
            </w:r>
          </w:p>
        </w:tc>
        <w:tc>
          <w:tcPr>
            <w:tcW w:w="0" w:type="auto"/>
            <w:shd w:val="clear" w:color="auto" w:fill="E2E2E2"/>
            <w:tcMar>
              <w:top w:w="40" w:type="dxa"/>
              <w:bottom w:w="40" w:type="dxa"/>
              <w:right w:w="40" w:type="dxa"/>
            </w:tcMar>
            <w:vAlign w:val="bottom"/>
          </w:tcPr>
          <w:p w14:paraId="0BC98066"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06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06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22.37</w:t>
            </w:r>
          </w:p>
        </w:tc>
        <w:tc>
          <w:tcPr>
            <w:tcW w:w="0" w:type="auto"/>
            <w:shd w:val="clear" w:color="auto" w:fill="E2E2E2"/>
            <w:tcMar>
              <w:top w:w="40" w:type="dxa"/>
              <w:bottom w:w="40" w:type="dxa"/>
              <w:right w:w="40" w:type="dxa"/>
            </w:tcMar>
            <w:vAlign w:val="bottom"/>
          </w:tcPr>
          <w:p w14:paraId="0BC9806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807A" w14:textId="77777777">
        <w:tc>
          <w:tcPr>
            <w:tcW w:w="0" w:type="auto"/>
            <w:shd w:val="clear" w:color="auto" w:fill="auto"/>
            <w:tcMar>
              <w:top w:w="40" w:type="dxa"/>
              <w:left w:w="880" w:type="dxa"/>
              <w:bottom w:w="40" w:type="dxa"/>
              <w:right w:w="40" w:type="dxa"/>
            </w:tcMar>
            <w:vAlign w:val="bottom"/>
          </w:tcPr>
          <w:p w14:paraId="0BC9806B" w14:textId="77777777" w:rsidR="009F0928" w:rsidRDefault="002112BD">
            <w:pPr>
              <w:textAlignment w:val="bottom"/>
              <w:rPr>
                <w:rFonts w:ascii="Times New Roman" w:hAnsi="Times New Roman"/>
                <w:sz w:val="16"/>
                <w:szCs w:val="16"/>
              </w:rPr>
            </w:pPr>
            <w:r>
              <w:rPr>
                <w:rFonts w:ascii="Arial" w:eastAsia="宋体" w:hAnsi="Arial" w:cs="Arial"/>
                <w:sz w:val="16"/>
                <w:szCs w:val="16"/>
              </w:rPr>
              <w:t xml:space="preserve">Total transaction take rate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0BC9806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9.57</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BC9806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06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06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0.60</w:t>
            </w:r>
          </w:p>
        </w:tc>
        <w:tc>
          <w:tcPr>
            <w:tcW w:w="0" w:type="auto"/>
            <w:shd w:val="clear" w:color="auto" w:fill="auto"/>
            <w:tcMar>
              <w:top w:w="40" w:type="dxa"/>
              <w:bottom w:w="40" w:type="dxa"/>
              <w:right w:w="40" w:type="dxa"/>
            </w:tcMar>
            <w:vAlign w:val="bottom"/>
          </w:tcPr>
          <w:p w14:paraId="0BC98070"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807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0BC9807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8.97</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BC9807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07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07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0.12</w:t>
            </w:r>
          </w:p>
        </w:tc>
        <w:tc>
          <w:tcPr>
            <w:tcW w:w="0" w:type="auto"/>
            <w:shd w:val="clear" w:color="auto" w:fill="auto"/>
            <w:tcMar>
              <w:top w:w="40" w:type="dxa"/>
              <w:bottom w:w="40" w:type="dxa"/>
              <w:right w:w="40" w:type="dxa"/>
            </w:tcMar>
            <w:vAlign w:val="bottom"/>
          </w:tcPr>
          <w:p w14:paraId="0BC98076"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07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0BC9807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8.85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BC9807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bl>
    <w:p w14:paraId="0BC9807B" w14:textId="77777777" w:rsidR="009F0928" w:rsidRDefault="009F0928">
      <w:pPr>
        <w:spacing w:line="288" w:lineRule="auto"/>
        <w:ind w:firstLine="720"/>
        <w:jc w:val="both"/>
        <w:rPr>
          <w:rFonts w:ascii="Times New Roman" w:hAnsi="Times New Roman"/>
          <w:sz w:val="20"/>
          <w:szCs w:val="20"/>
        </w:rPr>
      </w:pPr>
    </w:p>
    <w:p w14:paraId="0BC9807C"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i/>
          <w:iCs/>
          <w:sz w:val="20"/>
          <w:szCs w:val="20"/>
        </w:rPr>
        <w:t>Marketplace Net Transaction Revenues</w:t>
      </w:r>
    </w:p>
    <w:p w14:paraId="0BC9807D" w14:textId="77777777" w:rsidR="009F0928" w:rsidRDefault="009F0928">
      <w:pPr>
        <w:spacing w:line="288" w:lineRule="auto"/>
        <w:jc w:val="both"/>
        <w:rPr>
          <w:rFonts w:ascii="Times New Roman" w:hAnsi="Times New Roman"/>
          <w:sz w:val="20"/>
          <w:szCs w:val="20"/>
        </w:rPr>
      </w:pPr>
    </w:p>
    <w:tbl>
      <w:tblPr>
        <w:tblW w:w="4980" w:type="pct"/>
        <w:jc w:val="center"/>
        <w:tblCellMar>
          <w:left w:w="0" w:type="dxa"/>
          <w:right w:w="0" w:type="dxa"/>
        </w:tblCellMar>
        <w:tblLook w:val="04A0" w:firstRow="1" w:lastRow="0" w:firstColumn="1" w:lastColumn="0" w:noHBand="0" w:noVBand="1"/>
      </w:tblPr>
      <w:tblGrid>
        <w:gridCol w:w="906"/>
        <w:gridCol w:w="576"/>
        <w:gridCol w:w="183"/>
        <w:gridCol w:w="130"/>
        <w:gridCol w:w="577"/>
        <w:gridCol w:w="183"/>
        <w:gridCol w:w="130"/>
        <w:gridCol w:w="626"/>
        <w:gridCol w:w="236"/>
        <w:gridCol w:w="130"/>
        <w:gridCol w:w="710"/>
        <w:gridCol w:w="236"/>
        <w:gridCol w:w="130"/>
        <w:gridCol w:w="530"/>
        <w:gridCol w:w="183"/>
        <w:gridCol w:w="130"/>
        <w:gridCol w:w="532"/>
        <w:gridCol w:w="183"/>
        <w:gridCol w:w="130"/>
        <w:gridCol w:w="626"/>
        <w:gridCol w:w="183"/>
        <w:gridCol w:w="130"/>
        <w:gridCol w:w="710"/>
        <w:gridCol w:w="183"/>
      </w:tblGrid>
      <w:tr w:rsidR="009F0928" w14:paraId="0BC9807F" w14:textId="77777777">
        <w:trPr>
          <w:jc w:val="center"/>
        </w:trPr>
        <w:tc>
          <w:tcPr>
            <w:tcW w:w="0" w:type="auto"/>
            <w:gridSpan w:val="24"/>
            <w:shd w:val="clear" w:color="auto" w:fill="auto"/>
            <w:vAlign w:val="center"/>
          </w:tcPr>
          <w:p w14:paraId="0BC9807E" w14:textId="77777777" w:rsidR="009F0928" w:rsidRDefault="009F0928">
            <w:pPr>
              <w:rPr>
                <w:rFonts w:ascii="Times New Roman" w:hAnsi="Times New Roman"/>
                <w:sz w:val="20"/>
                <w:szCs w:val="20"/>
              </w:rPr>
            </w:pPr>
          </w:p>
        </w:tc>
      </w:tr>
      <w:tr w:rsidR="009F0928" w14:paraId="0BC98098" w14:textId="77777777">
        <w:trPr>
          <w:jc w:val="center"/>
        </w:trPr>
        <w:tc>
          <w:tcPr>
            <w:tcW w:w="650" w:type="pct"/>
            <w:shd w:val="clear" w:color="auto" w:fill="auto"/>
            <w:vAlign w:val="center"/>
          </w:tcPr>
          <w:p w14:paraId="0BC98080" w14:textId="77777777" w:rsidR="009F0928" w:rsidRDefault="009F0928">
            <w:pPr>
              <w:rPr>
                <w:rFonts w:ascii="Times New Roman" w:hAnsi="Times New Roman"/>
                <w:sz w:val="20"/>
                <w:szCs w:val="20"/>
              </w:rPr>
            </w:pPr>
          </w:p>
        </w:tc>
        <w:tc>
          <w:tcPr>
            <w:tcW w:w="450" w:type="pct"/>
            <w:shd w:val="clear" w:color="auto" w:fill="auto"/>
            <w:vAlign w:val="center"/>
          </w:tcPr>
          <w:p w14:paraId="0BC98081" w14:textId="77777777" w:rsidR="009F0928" w:rsidRDefault="009F0928">
            <w:pPr>
              <w:rPr>
                <w:rFonts w:ascii="Times New Roman" w:hAnsi="Times New Roman"/>
                <w:sz w:val="20"/>
                <w:szCs w:val="20"/>
              </w:rPr>
            </w:pPr>
          </w:p>
        </w:tc>
        <w:tc>
          <w:tcPr>
            <w:tcW w:w="50" w:type="pct"/>
            <w:shd w:val="clear" w:color="auto" w:fill="auto"/>
            <w:vAlign w:val="center"/>
          </w:tcPr>
          <w:p w14:paraId="0BC98082" w14:textId="77777777" w:rsidR="009F0928" w:rsidRDefault="009F0928">
            <w:pPr>
              <w:rPr>
                <w:rFonts w:ascii="Times New Roman" w:hAnsi="Times New Roman"/>
                <w:sz w:val="20"/>
                <w:szCs w:val="20"/>
              </w:rPr>
            </w:pPr>
          </w:p>
        </w:tc>
        <w:tc>
          <w:tcPr>
            <w:tcW w:w="50" w:type="pct"/>
            <w:shd w:val="clear" w:color="auto" w:fill="auto"/>
            <w:vAlign w:val="center"/>
          </w:tcPr>
          <w:p w14:paraId="0BC98083" w14:textId="77777777" w:rsidR="009F0928" w:rsidRDefault="009F0928">
            <w:pPr>
              <w:rPr>
                <w:rFonts w:ascii="Times New Roman" w:hAnsi="Times New Roman"/>
                <w:sz w:val="20"/>
                <w:szCs w:val="20"/>
              </w:rPr>
            </w:pPr>
          </w:p>
        </w:tc>
        <w:tc>
          <w:tcPr>
            <w:tcW w:w="450" w:type="pct"/>
            <w:shd w:val="clear" w:color="auto" w:fill="auto"/>
            <w:vAlign w:val="center"/>
          </w:tcPr>
          <w:p w14:paraId="0BC98084" w14:textId="77777777" w:rsidR="009F0928" w:rsidRDefault="009F0928">
            <w:pPr>
              <w:rPr>
                <w:rFonts w:ascii="Times New Roman" w:hAnsi="Times New Roman"/>
                <w:sz w:val="20"/>
                <w:szCs w:val="20"/>
              </w:rPr>
            </w:pPr>
          </w:p>
        </w:tc>
        <w:tc>
          <w:tcPr>
            <w:tcW w:w="50" w:type="pct"/>
            <w:shd w:val="clear" w:color="auto" w:fill="auto"/>
            <w:vAlign w:val="center"/>
          </w:tcPr>
          <w:p w14:paraId="0BC98085" w14:textId="77777777" w:rsidR="009F0928" w:rsidRDefault="009F0928">
            <w:pPr>
              <w:rPr>
                <w:rFonts w:ascii="Times New Roman" w:hAnsi="Times New Roman"/>
                <w:sz w:val="20"/>
                <w:szCs w:val="20"/>
              </w:rPr>
            </w:pPr>
          </w:p>
        </w:tc>
        <w:tc>
          <w:tcPr>
            <w:tcW w:w="50" w:type="pct"/>
            <w:shd w:val="clear" w:color="auto" w:fill="auto"/>
            <w:vAlign w:val="center"/>
          </w:tcPr>
          <w:p w14:paraId="0BC98086" w14:textId="77777777" w:rsidR="009F0928" w:rsidRDefault="009F0928">
            <w:pPr>
              <w:rPr>
                <w:rFonts w:ascii="Times New Roman" w:hAnsi="Times New Roman"/>
                <w:sz w:val="20"/>
                <w:szCs w:val="20"/>
              </w:rPr>
            </w:pPr>
          </w:p>
        </w:tc>
        <w:tc>
          <w:tcPr>
            <w:tcW w:w="450" w:type="pct"/>
            <w:shd w:val="clear" w:color="auto" w:fill="auto"/>
            <w:vAlign w:val="center"/>
          </w:tcPr>
          <w:p w14:paraId="0BC98087" w14:textId="77777777" w:rsidR="009F0928" w:rsidRDefault="009F0928">
            <w:pPr>
              <w:rPr>
                <w:rFonts w:ascii="Times New Roman" w:hAnsi="Times New Roman"/>
                <w:sz w:val="20"/>
                <w:szCs w:val="20"/>
              </w:rPr>
            </w:pPr>
          </w:p>
        </w:tc>
        <w:tc>
          <w:tcPr>
            <w:tcW w:w="50" w:type="pct"/>
            <w:shd w:val="clear" w:color="auto" w:fill="auto"/>
            <w:vAlign w:val="center"/>
          </w:tcPr>
          <w:p w14:paraId="0BC98088" w14:textId="77777777" w:rsidR="009F0928" w:rsidRDefault="009F0928">
            <w:pPr>
              <w:rPr>
                <w:rFonts w:ascii="Times New Roman" w:hAnsi="Times New Roman"/>
                <w:sz w:val="20"/>
                <w:szCs w:val="20"/>
              </w:rPr>
            </w:pPr>
          </w:p>
        </w:tc>
        <w:tc>
          <w:tcPr>
            <w:tcW w:w="50" w:type="pct"/>
            <w:shd w:val="clear" w:color="auto" w:fill="auto"/>
            <w:vAlign w:val="center"/>
          </w:tcPr>
          <w:p w14:paraId="0BC98089" w14:textId="77777777" w:rsidR="009F0928" w:rsidRDefault="009F0928">
            <w:pPr>
              <w:rPr>
                <w:rFonts w:ascii="Times New Roman" w:hAnsi="Times New Roman"/>
                <w:sz w:val="20"/>
                <w:szCs w:val="20"/>
              </w:rPr>
            </w:pPr>
          </w:p>
        </w:tc>
        <w:tc>
          <w:tcPr>
            <w:tcW w:w="450" w:type="pct"/>
            <w:shd w:val="clear" w:color="auto" w:fill="auto"/>
            <w:vAlign w:val="center"/>
          </w:tcPr>
          <w:p w14:paraId="0BC9808A" w14:textId="77777777" w:rsidR="009F0928" w:rsidRDefault="009F0928">
            <w:pPr>
              <w:rPr>
                <w:rFonts w:ascii="Times New Roman" w:hAnsi="Times New Roman"/>
                <w:sz w:val="20"/>
                <w:szCs w:val="20"/>
              </w:rPr>
            </w:pPr>
          </w:p>
        </w:tc>
        <w:tc>
          <w:tcPr>
            <w:tcW w:w="50" w:type="pct"/>
            <w:shd w:val="clear" w:color="auto" w:fill="auto"/>
            <w:vAlign w:val="center"/>
          </w:tcPr>
          <w:p w14:paraId="0BC9808B" w14:textId="77777777" w:rsidR="009F0928" w:rsidRDefault="009F0928">
            <w:pPr>
              <w:rPr>
                <w:rFonts w:ascii="Times New Roman" w:hAnsi="Times New Roman"/>
                <w:sz w:val="20"/>
                <w:szCs w:val="20"/>
              </w:rPr>
            </w:pPr>
          </w:p>
        </w:tc>
        <w:tc>
          <w:tcPr>
            <w:tcW w:w="50" w:type="pct"/>
            <w:shd w:val="clear" w:color="auto" w:fill="auto"/>
            <w:vAlign w:val="center"/>
          </w:tcPr>
          <w:p w14:paraId="0BC9808C" w14:textId="77777777" w:rsidR="009F0928" w:rsidRDefault="009F0928">
            <w:pPr>
              <w:rPr>
                <w:rFonts w:ascii="Times New Roman" w:hAnsi="Times New Roman"/>
                <w:sz w:val="20"/>
                <w:szCs w:val="20"/>
              </w:rPr>
            </w:pPr>
          </w:p>
        </w:tc>
        <w:tc>
          <w:tcPr>
            <w:tcW w:w="450" w:type="pct"/>
            <w:shd w:val="clear" w:color="auto" w:fill="auto"/>
            <w:vAlign w:val="center"/>
          </w:tcPr>
          <w:p w14:paraId="0BC9808D" w14:textId="77777777" w:rsidR="009F0928" w:rsidRDefault="009F0928">
            <w:pPr>
              <w:rPr>
                <w:rFonts w:ascii="Times New Roman" w:hAnsi="Times New Roman"/>
                <w:sz w:val="20"/>
                <w:szCs w:val="20"/>
              </w:rPr>
            </w:pPr>
          </w:p>
        </w:tc>
        <w:tc>
          <w:tcPr>
            <w:tcW w:w="50" w:type="pct"/>
            <w:shd w:val="clear" w:color="auto" w:fill="auto"/>
            <w:vAlign w:val="center"/>
          </w:tcPr>
          <w:p w14:paraId="0BC9808E" w14:textId="77777777" w:rsidR="009F0928" w:rsidRDefault="009F0928">
            <w:pPr>
              <w:rPr>
                <w:rFonts w:ascii="Times New Roman" w:hAnsi="Times New Roman"/>
                <w:sz w:val="20"/>
                <w:szCs w:val="20"/>
              </w:rPr>
            </w:pPr>
          </w:p>
        </w:tc>
        <w:tc>
          <w:tcPr>
            <w:tcW w:w="50" w:type="pct"/>
            <w:shd w:val="clear" w:color="auto" w:fill="auto"/>
            <w:vAlign w:val="center"/>
          </w:tcPr>
          <w:p w14:paraId="0BC9808F" w14:textId="77777777" w:rsidR="009F0928" w:rsidRDefault="009F0928">
            <w:pPr>
              <w:rPr>
                <w:rFonts w:ascii="Times New Roman" w:hAnsi="Times New Roman"/>
                <w:sz w:val="20"/>
                <w:szCs w:val="20"/>
              </w:rPr>
            </w:pPr>
          </w:p>
        </w:tc>
        <w:tc>
          <w:tcPr>
            <w:tcW w:w="450" w:type="pct"/>
            <w:shd w:val="clear" w:color="auto" w:fill="auto"/>
            <w:vAlign w:val="center"/>
          </w:tcPr>
          <w:p w14:paraId="0BC98090" w14:textId="77777777" w:rsidR="009F0928" w:rsidRDefault="009F0928">
            <w:pPr>
              <w:rPr>
                <w:rFonts w:ascii="Times New Roman" w:hAnsi="Times New Roman"/>
                <w:sz w:val="20"/>
                <w:szCs w:val="20"/>
              </w:rPr>
            </w:pPr>
          </w:p>
        </w:tc>
        <w:tc>
          <w:tcPr>
            <w:tcW w:w="50" w:type="pct"/>
            <w:shd w:val="clear" w:color="auto" w:fill="auto"/>
            <w:vAlign w:val="center"/>
          </w:tcPr>
          <w:p w14:paraId="0BC98091" w14:textId="77777777" w:rsidR="009F0928" w:rsidRDefault="009F0928">
            <w:pPr>
              <w:rPr>
                <w:rFonts w:ascii="Times New Roman" w:hAnsi="Times New Roman"/>
                <w:sz w:val="20"/>
                <w:szCs w:val="20"/>
              </w:rPr>
            </w:pPr>
          </w:p>
        </w:tc>
        <w:tc>
          <w:tcPr>
            <w:tcW w:w="50" w:type="pct"/>
            <w:shd w:val="clear" w:color="auto" w:fill="auto"/>
            <w:vAlign w:val="center"/>
          </w:tcPr>
          <w:p w14:paraId="0BC98092" w14:textId="77777777" w:rsidR="009F0928" w:rsidRDefault="009F0928">
            <w:pPr>
              <w:rPr>
                <w:rFonts w:ascii="Times New Roman" w:hAnsi="Times New Roman"/>
                <w:sz w:val="20"/>
                <w:szCs w:val="20"/>
              </w:rPr>
            </w:pPr>
          </w:p>
        </w:tc>
        <w:tc>
          <w:tcPr>
            <w:tcW w:w="450" w:type="pct"/>
            <w:shd w:val="clear" w:color="auto" w:fill="auto"/>
            <w:vAlign w:val="center"/>
          </w:tcPr>
          <w:p w14:paraId="0BC98093" w14:textId="77777777" w:rsidR="009F0928" w:rsidRDefault="009F0928">
            <w:pPr>
              <w:rPr>
                <w:rFonts w:ascii="Times New Roman" w:hAnsi="Times New Roman"/>
                <w:sz w:val="20"/>
                <w:szCs w:val="20"/>
              </w:rPr>
            </w:pPr>
          </w:p>
        </w:tc>
        <w:tc>
          <w:tcPr>
            <w:tcW w:w="50" w:type="pct"/>
            <w:shd w:val="clear" w:color="auto" w:fill="auto"/>
            <w:vAlign w:val="center"/>
          </w:tcPr>
          <w:p w14:paraId="0BC98094" w14:textId="77777777" w:rsidR="009F0928" w:rsidRDefault="009F0928">
            <w:pPr>
              <w:rPr>
                <w:rFonts w:ascii="Times New Roman" w:hAnsi="Times New Roman"/>
                <w:sz w:val="20"/>
                <w:szCs w:val="20"/>
              </w:rPr>
            </w:pPr>
          </w:p>
        </w:tc>
        <w:tc>
          <w:tcPr>
            <w:tcW w:w="50" w:type="pct"/>
            <w:shd w:val="clear" w:color="auto" w:fill="auto"/>
            <w:vAlign w:val="center"/>
          </w:tcPr>
          <w:p w14:paraId="0BC98095" w14:textId="77777777" w:rsidR="009F0928" w:rsidRDefault="009F0928">
            <w:pPr>
              <w:rPr>
                <w:rFonts w:ascii="Times New Roman" w:hAnsi="Times New Roman"/>
                <w:sz w:val="20"/>
                <w:szCs w:val="20"/>
              </w:rPr>
            </w:pPr>
          </w:p>
        </w:tc>
        <w:tc>
          <w:tcPr>
            <w:tcW w:w="450" w:type="pct"/>
            <w:shd w:val="clear" w:color="auto" w:fill="auto"/>
            <w:vAlign w:val="center"/>
          </w:tcPr>
          <w:p w14:paraId="0BC98096" w14:textId="77777777" w:rsidR="009F0928" w:rsidRDefault="009F0928">
            <w:pPr>
              <w:rPr>
                <w:rFonts w:ascii="Times New Roman" w:hAnsi="Times New Roman"/>
                <w:sz w:val="20"/>
                <w:szCs w:val="20"/>
              </w:rPr>
            </w:pPr>
          </w:p>
        </w:tc>
        <w:tc>
          <w:tcPr>
            <w:tcW w:w="50" w:type="pct"/>
            <w:shd w:val="clear" w:color="auto" w:fill="auto"/>
            <w:vAlign w:val="center"/>
          </w:tcPr>
          <w:p w14:paraId="0BC98097" w14:textId="77777777" w:rsidR="009F0928" w:rsidRDefault="009F0928">
            <w:pPr>
              <w:rPr>
                <w:rFonts w:ascii="Times New Roman" w:hAnsi="Times New Roman"/>
                <w:sz w:val="20"/>
                <w:szCs w:val="20"/>
              </w:rPr>
            </w:pPr>
          </w:p>
        </w:tc>
      </w:tr>
      <w:tr w:rsidR="009F0928" w14:paraId="0BC980A1" w14:textId="77777777">
        <w:trPr>
          <w:jc w:val="center"/>
        </w:trPr>
        <w:tc>
          <w:tcPr>
            <w:tcW w:w="0" w:type="auto"/>
            <w:shd w:val="clear" w:color="auto" w:fill="auto"/>
            <w:tcMar>
              <w:top w:w="40" w:type="dxa"/>
              <w:left w:w="40" w:type="dxa"/>
              <w:bottom w:w="40" w:type="dxa"/>
              <w:right w:w="40" w:type="dxa"/>
            </w:tcMar>
            <w:vAlign w:val="bottom"/>
          </w:tcPr>
          <w:p w14:paraId="0BC9809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0BC9809A"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Year Ended December 31,</w:t>
            </w:r>
          </w:p>
        </w:tc>
        <w:tc>
          <w:tcPr>
            <w:tcW w:w="0" w:type="auto"/>
            <w:shd w:val="clear" w:color="auto" w:fill="auto"/>
            <w:tcMar>
              <w:top w:w="40" w:type="dxa"/>
              <w:left w:w="40" w:type="dxa"/>
              <w:bottom w:w="40" w:type="dxa"/>
              <w:right w:w="40" w:type="dxa"/>
            </w:tcMar>
            <w:vAlign w:val="bottom"/>
          </w:tcPr>
          <w:p w14:paraId="0BC9809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0BC9809C"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Change</w:t>
            </w:r>
          </w:p>
        </w:tc>
        <w:tc>
          <w:tcPr>
            <w:tcW w:w="0" w:type="auto"/>
            <w:shd w:val="clear" w:color="auto" w:fill="auto"/>
            <w:tcMar>
              <w:top w:w="40" w:type="dxa"/>
              <w:left w:w="40" w:type="dxa"/>
              <w:bottom w:w="40" w:type="dxa"/>
              <w:right w:w="40" w:type="dxa"/>
            </w:tcMar>
            <w:vAlign w:val="bottom"/>
          </w:tcPr>
          <w:p w14:paraId="0BC9809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0BC9809E"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Year Ended December 31,</w:t>
            </w:r>
          </w:p>
        </w:tc>
        <w:tc>
          <w:tcPr>
            <w:tcW w:w="0" w:type="auto"/>
            <w:shd w:val="clear" w:color="auto" w:fill="auto"/>
            <w:tcMar>
              <w:top w:w="40" w:type="dxa"/>
              <w:left w:w="40" w:type="dxa"/>
              <w:bottom w:w="40" w:type="dxa"/>
              <w:right w:w="40" w:type="dxa"/>
            </w:tcMar>
            <w:vAlign w:val="bottom"/>
          </w:tcPr>
          <w:p w14:paraId="0BC9809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0BC980A0"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Change</w:t>
            </w:r>
          </w:p>
        </w:tc>
      </w:tr>
      <w:tr w:rsidR="009F0928" w14:paraId="0BC980B2" w14:textId="77777777">
        <w:trPr>
          <w:jc w:val="center"/>
        </w:trPr>
        <w:tc>
          <w:tcPr>
            <w:tcW w:w="0" w:type="auto"/>
            <w:shd w:val="clear" w:color="auto" w:fill="auto"/>
            <w:tcMar>
              <w:top w:w="40" w:type="dxa"/>
              <w:left w:w="40" w:type="dxa"/>
              <w:bottom w:w="40" w:type="dxa"/>
              <w:right w:w="40" w:type="dxa"/>
            </w:tcMar>
            <w:vAlign w:val="center"/>
          </w:tcPr>
          <w:p w14:paraId="0BC980A2" w14:textId="77777777" w:rsidR="009F0928" w:rsidRDefault="002112BD">
            <w:pPr>
              <w:textAlignment w:val="center"/>
              <w:rPr>
                <w:rFonts w:ascii="Times New Roman" w:hAnsi="Times New Roman"/>
                <w:sz w:val="16"/>
                <w:szCs w:val="16"/>
              </w:rPr>
            </w:pPr>
            <w:r>
              <w:rPr>
                <w:rFonts w:ascii="Arial" w:eastAsia="宋体" w:hAnsi="Arial" w:cs="Arial"/>
                <w:sz w:val="16"/>
                <w:szCs w:val="16"/>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0A3"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0BC980A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0A5"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0BC980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0A7"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As Reported</w:t>
            </w:r>
          </w:p>
        </w:tc>
        <w:tc>
          <w:tcPr>
            <w:tcW w:w="0" w:type="auto"/>
            <w:shd w:val="clear" w:color="auto" w:fill="auto"/>
            <w:tcMar>
              <w:top w:w="40" w:type="dxa"/>
              <w:left w:w="40" w:type="dxa"/>
              <w:bottom w:w="40" w:type="dxa"/>
              <w:right w:w="40" w:type="dxa"/>
            </w:tcMar>
            <w:vAlign w:val="bottom"/>
          </w:tcPr>
          <w:p w14:paraId="0BC980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0A9"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FX-Neutral</w:t>
            </w:r>
          </w:p>
        </w:tc>
        <w:tc>
          <w:tcPr>
            <w:tcW w:w="0" w:type="auto"/>
            <w:shd w:val="clear" w:color="auto" w:fill="auto"/>
            <w:tcMar>
              <w:top w:w="40" w:type="dxa"/>
              <w:left w:w="40" w:type="dxa"/>
              <w:bottom w:w="40" w:type="dxa"/>
              <w:right w:w="40" w:type="dxa"/>
            </w:tcMar>
            <w:vAlign w:val="bottom"/>
          </w:tcPr>
          <w:p w14:paraId="0BC980A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0AB"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0BC980A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0AD"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2017</w:t>
            </w:r>
          </w:p>
        </w:tc>
        <w:tc>
          <w:tcPr>
            <w:tcW w:w="0" w:type="auto"/>
            <w:shd w:val="clear" w:color="auto" w:fill="auto"/>
            <w:tcMar>
              <w:top w:w="40" w:type="dxa"/>
              <w:left w:w="40" w:type="dxa"/>
              <w:bottom w:w="40" w:type="dxa"/>
              <w:right w:w="40" w:type="dxa"/>
            </w:tcMar>
            <w:vAlign w:val="bottom"/>
          </w:tcPr>
          <w:p w14:paraId="0BC980A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0AF"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As Reported</w:t>
            </w:r>
          </w:p>
        </w:tc>
        <w:tc>
          <w:tcPr>
            <w:tcW w:w="0" w:type="auto"/>
            <w:shd w:val="clear" w:color="auto" w:fill="auto"/>
            <w:tcMar>
              <w:top w:w="40" w:type="dxa"/>
              <w:left w:w="40" w:type="dxa"/>
              <w:bottom w:w="40" w:type="dxa"/>
              <w:right w:w="40" w:type="dxa"/>
            </w:tcMar>
            <w:vAlign w:val="bottom"/>
          </w:tcPr>
          <w:p w14:paraId="0BC980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0B1"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FX-Neutral</w:t>
            </w:r>
          </w:p>
        </w:tc>
      </w:tr>
      <w:tr w:rsidR="009F0928" w14:paraId="0BC980CB" w14:textId="77777777">
        <w:trPr>
          <w:jc w:val="center"/>
        </w:trPr>
        <w:tc>
          <w:tcPr>
            <w:tcW w:w="0" w:type="auto"/>
            <w:shd w:val="clear" w:color="auto" w:fill="E2E2E2"/>
            <w:tcMar>
              <w:top w:w="40" w:type="dxa"/>
              <w:left w:w="40" w:type="dxa"/>
              <w:bottom w:w="40" w:type="dxa"/>
              <w:right w:w="40" w:type="dxa"/>
            </w:tcMar>
            <w:vAlign w:val="bottom"/>
          </w:tcPr>
          <w:p w14:paraId="0BC980B3" w14:textId="77777777" w:rsidR="009F0928" w:rsidRDefault="002112BD">
            <w:pPr>
              <w:textAlignment w:val="bottom"/>
              <w:rPr>
                <w:rFonts w:ascii="Times New Roman" w:hAnsi="Times New Roman"/>
                <w:sz w:val="14"/>
                <w:szCs w:val="14"/>
              </w:rPr>
            </w:pPr>
            <w:r>
              <w:rPr>
                <w:rFonts w:ascii="Arial" w:eastAsia="宋体" w:hAnsi="Arial" w:cs="Arial"/>
                <w:sz w:val="14"/>
                <w:szCs w:val="14"/>
              </w:rPr>
              <w:t xml:space="preserve">Marketplace net transaction revenues </w:t>
            </w:r>
            <w:r>
              <w:rPr>
                <w:rFonts w:ascii="Arial" w:eastAsia="宋体" w:hAnsi="Arial" w:cs="Arial"/>
                <w:sz w:val="10"/>
                <w:szCs w:val="10"/>
              </w:rPr>
              <w:t>(1)</w:t>
            </w:r>
          </w:p>
        </w:tc>
        <w:tc>
          <w:tcPr>
            <w:tcW w:w="0" w:type="auto"/>
            <w:shd w:val="clear" w:color="auto" w:fill="E2E2E2"/>
            <w:tcMar>
              <w:top w:w="40" w:type="dxa"/>
              <w:left w:w="40" w:type="dxa"/>
              <w:bottom w:w="40" w:type="dxa"/>
            </w:tcMar>
            <w:vAlign w:val="bottom"/>
          </w:tcPr>
          <w:p w14:paraId="0BC980B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7,578</w:t>
            </w:r>
          </w:p>
        </w:tc>
        <w:tc>
          <w:tcPr>
            <w:tcW w:w="0" w:type="auto"/>
            <w:shd w:val="clear" w:color="auto" w:fill="E2E2E2"/>
            <w:vAlign w:val="bottom"/>
          </w:tcPr>
          <w:p w14:paraId="0BC980B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0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B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7,416</w:t>
            </w:r>
          </w:p>
        </w:tc>
        <w:tc>
          <w:tcPr>
            <w:tcW w:w="0" w:type="auto"/>
            <w:shd w:val="clear" w:color="auto" w:fill="E2E2E2"/>
            <w:vAlign w:val="bottom"/>
          </w:tcPr>
          <w:p w14:paraId="0BC980B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0B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B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w:t>
            </w:r>
          </w:p>
        </w:tc>
        <w:tc>
          <w:tcPr>
            <w:tcW w:w="0" w:type="auto"/>
            <w:shd w:val="clear" w:color="auto" w:fill="E2E2E2"/>
            <w:tcMar>
              <w:top w:w="40" w:type="dxa"/>
              <w:bottom w:w="40" w:type="dxa"/>
              <w:right w:w="40" w:type="dxa"/>
            </w:tcMar>
            <w:vAlign w:val="bottom"/>
          </w:tcPr>
          <w:p w14:paraId="0BC980BB"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80B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BD"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w:t>
            </w:r>
          </w:p>
        </w:tc>
        <w:tc>
          <w:tcPr>
            <w:tcW w:w="0" w:type="auto"/>
            <w:shd w:val="clear" w:color="auto" w:fill="E2E2E2"/>
            <w:tcMar>
              <w:top w:w="40" w:type="dxa"/>
              <w:bottom w:w="40" w:type="dxa"/>
              <w:right w:w="40" w:type="dxa"/>
            </w:tcMar>
            <w:vAlign w:val="bottom"/>
          </w:tcPr>
          <w:p w14:paraId="0BC980BE"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80B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C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7,416</w:t>
            </w:r>
          </w:p>
        </w:tc>
        <w:tc>
          <w:tcPr>
            <w:tcW w:w="0" w:type="auto"/>
            <w:shd w:val="clear" w:color="auto" w:fill="E2E2E2"/>
            <w:vAlign w:val="bottom"/>
          </w:tcPr>
          <w:p w14:paraId="0BC980C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0C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C3"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6,809</w:t>
            </w:r>
          </w:p>
        </w:tc>
        <w:tc>
          <w:tcPr>
            <w:tcW w:w="0" w:type="auto"/>
            <w:shd w:val="clear" w:color="auto" w:fill="E2E2E2"/>
            <w:vAlign w:val="bottom"/>
          </w:tcPr>
          <w:p w14:paraId="0BC980C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0C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C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w:t>
            </w:r>
          </w:p>
        </w:tc>
        <w:tc>
          <w:tcPr>
            <w:tcW w:w="0" w:type="auto"/>
            <w:shd w:val="clear" w:color="auto" w:fill="E2E2E2"/>
            <w:tcMar>
              <w:top w:w="40" w:type="dxa"/>
              <w:bottom w:w="40" w:type="dxa"/>
              <w:right w:w="40" w:type="dxa"/>
            </w:tcMar>
            <w:vAlign w:val="bottom"/>
          </w:tcPr>
          <w:p w14:paraId="0BC980C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0C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C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w:t>
            </w:r>
          </w:p>
        </w:tc>
        <w:tc>
          <w:tcPr>
            <w:tcW w:w="0" w:type="auto"/>
            <w:shd w:val="clear" w:color="auto" w:fill="E2E2E2"/>
            <w:tcMar>
              <w:top w:w="40" w:type="dxa"/>
              <w:bottom w:w="40" w:type="dxa"/>
              <w:right w:w="40" w:type="dxa"/>
            </w:tcMar>
            <w:vAlign w:val="bottom"/>
          </w:tcPr>
          <w:p w14:paraId="0BC980CA"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80DC" w14:textId="77777777">
        <w:trPr>
          <w:jc w:val="center"/>
        </w:trPr>
        <w:tc>
          <w:tcPr>
            <w:tcW w:w="0" w:type="auto"/>
            <w:shd w:val="clear" w:color="auto" w:fill="auto"/>
            <w:tcMar>
              <w:top w:w="40" w:type="dxa"/>
              <w:left w:w="40" w:type="dxa"/>
              <w:bottom w:w="40" w:type="dxa"/>
              <w:right w:w="40" w:type="dxa"/>
            </w:tcMar>
            <w:vAlign w:val="bottom"/>
          </w:tcPr>
          <w:p w14:paraId="0BC980C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0C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0C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0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0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0D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0D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0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0D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0D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0D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0D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0D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0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0D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0D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0F5" w14:textId="77777777">
        <w:trPr>
          <w:jc w:val="center"/>
        </w:trPr>
        <w:tc>
          <w:tcPr>
            <w:tcW w:w="0" w:type="auto"/>
            <w:shd w:val="clear" w:color="auto" w:fill="E2E2E2"/>
            <w:tcMar>
              <w:top w:w="40" w:type="dxa"/>
              <w:left w:w="40" w:type="dxa"/>
              <w:bottom w:w="40" w:type="dxa"/>
              <w:right w:w="40" w:type="dxa"/>
            </w:tcMar>
            <w:vAlign w:val="bottom"/>
          </w:tcPr>
          <w:p w14:paraId="0BC980DD" w14:textId="77777777" w:rsidR="009F0928" w:rsidRDefault="002112BD">
            <w:pPr>
              <w:textAlignment w:val="bottom"/>
              <w:rPr>
                <w:rFonts w:ascii="Times New Roman" w:hAnsi="Times New Roman"/>
                <w:sz w:val="14"/>
                <w:szCs w:val="14"/>
              </w:rPr>
            </w:pPr>
            <w:r>
              <w:rPr>
                <w:rFonts w:ascii="Arial" w:eastAsia="宋体" w:hAnsi="Arial" w:cs="Arial"/>
                <w:sz w:val="14"/>
                <w:szCs w:val="14"/>
              </w:rPr>
              <w:t>Marketplace GMV</w:t>
            </w:r>
          </w:p>
        </w:tc>
        <w:tc>
          <w:tcPr>
            <w:tcW w:w="0" w:type="auto"/>
            <w:shd w:val="clear" w:color="auto" w:fill="E2E2E2"/>
            <w:tcMar>
              <w:top w:w="40" w:type="dxa"/>
              <w:left w:w="40" w:type="dxa"/>
              <w:bottom w:w="40" w:type="dxa"/>
            </w:tcMar>
            <w:vAlign w:val="bottom"/>
          </w:tcPr>
          <w:p w14:paraId="0BC980D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85,510</w:t>
            </w:r>
          </w:p>
        </w:tc>
        <w:tc>
          <w:tcPr>
            <w:tcW w:w="0" w:type="auto"/>
            <w:shd w:val="clear" w:color="auto" w:fill="E2E2E2"/>
            <w:vAlign w:val="bottom"/>
          </w:tcPr>
          <w:p w14:paraId="0BC980D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0E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E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89,829</w:t>
            </w:r>
          </w:p>
        </w:tc>
        <w:tc>
          <w:tcPr>
            <w:tcW w:w="0" w:type="auto"/>
            <w:shd w:val="clear" w:color="auto" w:fill="E2E2E2"/>
            <w:vAlign w:val="bottom"/>
          </w:tcPr>
          <w:p w14:paraId="0BC980E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0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E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E2E2E2"/>
            <w:tcMar>
              <w:top w:w="40" w:type="dxa"/>
              <w:bottom w:w="40" w:type="dxa"/>
              <w:right w:w="40" w:type="dxa"/>
            </w:tcMar>
            <w:vAlign w:val="bottom"/>
          </w:tcPr>
          <w:p w14:paraId="0BC980E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0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E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w:t>
            </w:r>
          </w:p>
        </w:tc>
        <w:tc>
          <w:tcPr>
            <w:tcW w:w="0" w:type="auto"/>
            <w:shd w:val="clear" w:color="auto" w:fill="E2E2E2"/>
            <w:tcMar>
              <w:top w:w="40" w:type="dxa"/>
              <w:bottom w:w="40" w:type="dxa"/>
              <w:right w:w="40" w:type="dxa"/>
            </w:tcMar>
            <w:vAlign w:val="bottom"/>
          </w:tcPr>
          <w:p w14:paraId="0BC980E8"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0E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E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89,829</w:t>
            </w:r>
          </w:p>
        </w:tc>
        <w:tc>
          <w:tcPr>
            <w:tcW w:w="0" w:type="auto"/>
            <w:shd w:val="clear" w:color="auto" w:fill="E2E2E2"/>
            <w:vAlign w:val="bottom"/>
          </w:tcPr>
          <w:p w14:paraId="0BC980E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0E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ED"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83,883</w:t>
            </w:r>
          </w:p>
        </w:tc>
        <w:tc>
          <w:tcPr>
            <w:tcW w:w="0" w:type="auto"/>
            <w:shd w:val="clear" w:color="auto" w:fill="E2E2E2"/>
            <w:vAlign w:val="bottom"/>
          </w:tcPr>
          <w:p w14:paraId="0BC980E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0E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F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w:t>
            </w:r>
          </w:p>
        </w:tc>
        <w:tc>
          <w:tcPr>
            <w:tcW w:w="0" w:type="auto"/>
            <w:shd w:val="clear" w:color="auto" w:fill="E2E2E2"/>
            <w:tcMar>
              <w:top w:w="40" w:type="dxa"/>
              <w:bottom w:w="40" w:type="dxa"/>
              <w:right w:w="40" w:type="dxa"/>
            </w:tcMar>
            <w:vAlign w:val="bottom"/>
          </w:tcPr>
          <w:p w14:paraId="0BC980F1"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0F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0F3"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E2E2E2"/>
            <w:tcMar>
              <w:top w:w="40" w:type="dxa"/>
              <w:bottom w:w="40" w:type="dxa"/>
              <w:right w:w="40" w:type="dxa"/>
            </w:tcMar>
            <w:vAlign w:val="bottom"/>
          </w:tcPr>
          <w:p w14:paraId="0BC980F4"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810C" w14:textId="77777777">
        <w:trPr>
          <w:jc w:val="center"/>
        </w:trPr>
        <w:tc>
          <w:tcPr>
            <w:tcW w:w="0" w:type="auto"/>
            <w:shd w:val="clear" w:color="auto" w:fill="auto"/>
            <w:tcMar>
              <w:top w:w="40" w:type="dxa"/>
              <w:left w:w="40" w:type="dxa"/>
              <w:bottom w:w="40" w:type="dxa"/>
              <w:right w:w="40" w:type="dxa"/>
            </w:tcMar>
            <w:vAlign w:val="bottom"/>
          </w:tcPr>
          <w:p w14:paraId="0BC980F6" w14:textId="77777777" w:rsidR="009F0928" w:rsidRDefault="002112BD">
            <w:pPr>
              <w:textAlignment w:val="bottom"/>
              <w:rPr>
                <w:rFonts w:ascii="Times New Roman" w:hAnsi="Times New Roman"/>
                <w:sz w:val="14"/>
                <w:szCs w:val="14"/>
              </w:rPr>
            </w:pPr>
            <w:r>
              <w:rPr>
                <w:rFonts w:ascii="Arial" w:eastAsia="宋体" w:hAnsi="Arial" w:cs="Arial"/>
                <w:sz w:val="14"/>
                <w:szCs w:val="14"/>
              </w:rPr>
              <w:t>Marketplace take rate</w:t>
            </w:r>
          </w:p>
        </w:tc>
        <w:tc>
          <w:tcPr>
            <w:tcW w:w="0" w:type="auto"/>
            <w:shd w:val="clear" w:color="auto" w:fill="auto"/>
            <w:tcMar>
              <w:top w:w="40" w:type="dxa"/>
              <w:left w:w="40" w:type="dxa"/>
              <w:bottom w:w="40" w:type="dxa"/>
            </w:tcMar>
            <w:vAlign w:val="bottom"/>
          </w:tcPr>
          <w:p w14:paraId="0BC980F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8.86</w:t>
            </w:r>
          </w:p>
        </w:tc>
        <w:tc>
          <w:tcPr>
            <w:tcW w:w="0" w:type="auto"/>
            <w:shd w:val="clear" w:color="auto" w:fill="auto"/>
            <w:tcMar>
              <w:top w:w="40" w:type="dxa"/>
              <w:bottom w:w="40" w:type="dxa"/>
              <w:right w:w="40" w:type="dxa"/>
            </w:tcMar>
            <w:vAlign w:val="bottom"/>
          </w:tcPr>
          <w:p w14:paraId="0BC980F8"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0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0F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8.25</w:t>
            </w:r>
          </w:p>
        </w:tc>
        <w:tc>
          <w:tcPr>
            <w:tcW w:w="0" w:type="auto"/>
            <w:shd w:val="clear" w:color="auto" w:fill="auto"/>
            <w:tcMar>
              <w:top w:w="40" w:type="dxa"/>
              <w:bottom w:w="40" w:type="dxa"/>
              <w:right w:w="40" w:type="dxa"/>
            </w:tcMar>
            <w:vAlign w:val="bottom"/>
          </w:tcPr>
          <w:p w14:paraId="0BC980F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0F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0FD"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0.61</w:t>
            </w:r>
          </w:p>
        </w:tc>
        <w:tc>
          <w:tcPr>
            <w:tcW w:w="0" w:type="auto"/>
            <w:shd w:val="clear" w:color="auto" w:fill="auto"/>
            <w:tcMar>
              <w:top w:w="40" w:type="dxa"/>
              <w:bottom w:w="40" w:type="dxa"/>
              <w:right w:w="40" w:type="dxa"/>
            </w:tcMar>
            <w:vAlign w:val="bottom"/>
          </w:tcPr>
          <w:p w14:paraId="0BC980FE"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80F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1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10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10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8.25</w:t>
            </w:r>
          </w:p>
        </w:tc>
        <w:tc>
          <w:tcPr>
            <w:tcW w:w="0" w:type="auto"/>
            <w:shd w:val="clear" w:color="auto" w:fill="auto"/>
            <w:tcMar>
              <w:top w:w="40" w:type="dxa"/>
              <w:bottom w:w="40" w:type="dxa"/>
              <w:right w:w="40" w:type="dxa"/>
            </w:tcMar>
            <w:vAlign w:val="bottom"/>
          </w:tcPr>
          <w:p w14:paraId="0BC9810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1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10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8.12</w:t>
            </w:r>
          </w:p>
        </w:tc>
        <w:tc>
          <w:tcPr>
            <w:tcW w:w="0" w:type="auto"/>
            <w:shd w:val="clear" w:color="auto" w:fill="auto"/>
            <w:tcMar>
              <w:top w:w="40" w:type="dxa"/>
              <w:bottom w:w="40" w:type="dxa"/>
              <w:right w:w="40" w:type="dxa"/>
            </w:tcMar>
            <w:vAlign w:val="bottom"/>
          </w:tcPr>
          <w:p w14:paraId="0BC98106"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10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10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0.13</w:t>
            </w:r>
          </w:p>
        </w:tc>
        <w:tc>
          <w:tcPr>
            <w:tcW w:w="0" w:type="auto"/>
            <w:shd w:val="clear" w:color="auto" w:fill="auto"/>
            <w:tcMar>
              <w:top w:w="40" w:type="dxa"/>
              <w:bottom w:w="40" w:type="dxa"/>
              <w:right w:w="40" w:type="dxa"/>
            </w:tcMar>
            <w:vAlign w:val="bottom"/>
          </w:tcPr>
          <w:p w14:paraId="0BC9810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10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10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810D" w14:textId="77777777" w:rsidR="009F0928" w:rsidRDefault="009F0928">
      <w:pPr>
        <w:rPr>
          <w:vanish/>
        </w:rPr>
      </w:pPr>
    </w:p>
    <w:tbl>
      <w:tblPr>
        <w:tblW w:w="0" w:type="auto"/>
        <w:tblCellSpacing w:w="0" w:type="dxa"/>
        <w:tblCellMar>
          <w:top w:w="80" w:type="dxa"/>
          <w:left w:w="0" w:type="dxa"/>
          <w:right w:w="0" w:type="dxa"/>
        </w:tblCellMar>
        <w:tblLook w:val="04A0" w:firstRow="1" w:lastRow="0" w:firstColumn="1" w:lastColumn="0" w:noHBand="0" w:noVBand="1"/>
      </w:tblPr>
      <w:tblGrid>
        <w:gridCol w:w="480"/>
        <w:gridCol w:w="7826"/>
      </w:tblGrid>
      <w:tr w:rsidR="009F0928" w14:paraId="0BC98110" w14:textId="77777777">
        <w:trPr>
          <w:tblCellSpacing w:w="0" w:type="dxa"/>
        </w:trPr>
        <w:tc>
          <w:tcPr>
            <w:tcW w:w="480" w:type="dxa"/>
            <w:shd w:val="clear" w:color="auto" w:fill="auto"/>
            <w:vAlign w:val="center"/>
          </w:tcPr>
          <w:p w14:paraId="0BC9810E" w14:textId="77777777" w:rsidR="009F0928" w:rsidRDefault="009F0928">
            <w:pPr>
              <w:rPr>
                <w:rFonts w:ascii="Times New Roman" w:hAnsi="Times New Roman"/>
                <w:sz w:val="20"/>
                <w:szCs w:val="20"/>
              </w:rPr>
            </w:pPr>
          </w:p>
        </w:tc>
        <w:tc>
          <w:tcPr>
            <w:tcW w:w="0" w:type="auto"/>
            <w:shd w:val="clear" w:color="auto" w:fill="auto"/>
            <w:vAlign w:val="center"/>
          </w:tcPr>
          <w:p w14:paraId="0BC9810F" w14:textId="77777777" w:rsidR="009F0928" w:rsidRDefault="009F0928">
            <w:pPr>
              <w:rPr>
                <w:rFonts w:ascii="Times New Roman" w:hAnsi="Times New Roman"/>
                <w:sz w:val="20"/>
                <w:szCs w:val="20"/>
              </w:rPr>
            </w:pPr>
          </w:p>
        </w:tc>
      </w:tr>
      <w:tr w:rsidR="009F0928" w14:paraId="0BC98113" w14:textId="77777777">
        <w:trPr>
          <w:tblCellSpacing w:w="0" w:type="dxa"/>
        </w:trPr>
        <w:tc>
          <w:tcPr>
            <w:tcW w:w="0" w:type="auto"/>
            <w:shd w:val="clear" w:color="auto" w:fill="auto"/>
          </w:tcPr>
          <w:p w14:paraId="0BC98111"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16"/>
                <w:szCs w:val="16"/>
              </w:rPr>
              <w:t>(1)</w:t>
            </w:r>
          </w:p>
        </w:tc>
        <w:tc>
          <w:tcPr>
            <w:tcW w:w="0" w:type="auto"/>
            <w:shd w:val="clear" w:color="auto" w:fill="auto"/>
          </w:tcPr>
          <w:p w14:paraId="0BC98112"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16"/>
                <w:szCs w:val="16"/>
              </w:rPr>
              <w:t>Marketplace net transaction revenues were net of $81 million</w:t>
            </w:r>
            <w:r>
              <w:rPr>
                <w:rFonts w:ascii="Times New Roman" w:eastAsia="宋体" w:hAnsi="Times New Roman"/>
                <w:sz w:val="20"/>
                <w:szCs w:val="20"/>
              </w:rPr>
              <w:t xml:space="preserve">, </w:t>
            </w:r>
            <w:r>
              <w:rPr>
                <w:rFonts w:ascii="Arial" w:eastAsia="宋体" w:hAnsi="Arial" w:cs="Arial"/>
                <w:sz w:val="16"/>
                <w:szCs w:val="16"/>
              </w:rPr>
              <w:t xml:space="preserve">$8 million and $28 million hedging activity during the years ended December 31, 2019, 2018 and 2017 respectively. </w:t>
            </w:r>
          </w:p>
        </w:tc>
      </w:tr>
    </w:tbl>
    <w:p w14:paraId="0BC98114" w14:textId="77777777" w:rsidR="009F0928" w:rsidRDefault="009F0928">
      <w:pPr>
        <w:spacing w:line="288" w:lineRule="auto"/>
        <w:jc w:val="both"/>
        <w:rPr>
          <w:rFonts w:ascii="Times New Roman" w:hAnsi="Times New Roman"/>
          <w:sz w:val="20"/>
          <w:szCs w:val="20"/>
        </w:rPr>
      </w:pPr>
    </w:p>
    <w:p w14:paraId="0BC9811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Marketplace net transaction revenues increased in 2019 compared to 2018 primarily due to growth in promoted listing fees and a higher take </w:t>
      </w:r>
      <w:r>
        <w:rPr>
          <w:rFonts w:ascii="Arial" w:eastAsia="宋体" w:hAnsi="Arial" w:cs="Arial"/>
          <w:sz w:val="20"/>
          <w:szCs w:val="20"/>
        </w:rPr>
        <w:t>rate. Marketplace transaction take rate was higher in 2019 compared to 2018, primarily due to growth in promoted listing fees, which along with final value fees are calculated as a percentage of an item’s sale price, and category mix. The increase in Marke</w:t>
      </w:r>
      <w:r>
        <w:rPr>
          <w:rFonts w:ascii="Arial" w:eastAsia="宋体" w:hAnsi="Arial" w:cs="Arial"/>
          <w:sz w:val="20"/>
          <w:szCs w:val="20"/>
        </w:rPr>
        <w:t>tplace net transaction revenues in 2019 compared to 2018 was due to take rate considerations discussed above, despite declining Marketplace GMV. We expect that the divergence between Marketplace net transaction revenues and Marketplace GMV will continue. D</w:t>
      </w:r>
      <w:r>
        <w:rPr>
          <w:rFonts w:ascii="Arial" w:eastAsia="宋体" w:hAnsi="Arial" w:cs="Arial"/>
          <w:sz w:val="20"/>
          <w:szCs w:val="20"/>
        </w:rPr>
        <w:t xml:space="preserve">espite GMV’s divergence from net transaction revenues during the year, we still believe the metric provides a useful measure of overall volume of closed transactions that flow through the platform in a given period. </w:t>
      </w:r>
    </w:p>
    <w:p w14:paraId="0BC98116" w14:textId="77777777" w:rsidR="009F0928" w:rsidRDefault="009F0928">
      <w:pPr>
        <w:spacing w:line="288" w:lineRule="auto"/>
        <w:ind w:firstLine="720"/>
        <w:jc w:val="both"/>
        <w:rPr>
          <w:rFonts w:ascii="Times New Roman" w:hAnsi="Times New Roman"/>
          <w:sz w:val="20"/>
          <w:szCs w:val="20"/>
        </w:rPr>
      </w:pPr>
    </w:p>
    <w:p w14:paraId="0BC9811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increase in Marketplace net transa</w:t>
      </w:r>
      <w:r>
        <w:rPr>
          <w:rFonts w:ascii="Arial" w:eastAsia="宋体" w:hAnsi="Arial" w:cs="Arial"/>
          <w:sz w:val="20"/>
          <w:szCs w:val="20"/>
        </w:rPr>
        <w:t>ction revenues in 2018 compared to 2017 was primarily due to an increase in Marketplace GMV and a favorable impact from foreign currency movements relative to the U.S. dollar. Marketplace transaction take rate was higher in 2018 compared to 2017, primarily</w:t>
      </w:r>
      <w:r>
        <w:rPr>
          <w:rFonts w:ascii="Arial" w:eastAsia="宋体" w:hAnsi="Arial" w:cs="Arial"/>
          <w:sz w:val="20"/>
          <w:szCs w:val="20"/>
        </w:rPr>
        <w:t xml:space="preserve"> due to growth in promoted listing fees, which along with final value fees are calculated as a percentage of an items sale price, and a decrease in seller incentives, partially offset by a decrease in revenues from final value fees attributable to pricing </w:t>
      </w:r>
      <w:r>
        <w:rPr>
          <w:rFonts w:ascii="Arial" w:eastAsia="宋体" w:hAnsi="Arial" w:cs="Arial"/>
          <w:sz w:val="20"/>
          <w:szCs w:val="20"/>
        </w:rPr>
        <w:t xml:space="preserve">and category mix. </w:t>
      </w:r>
    </w:p>
    <w:p w14:paraId="0BC98118" w14:textId="77777777" w:rsidR="009F0928" w:rsidRDefault="009F0928">
      <w:pPr>
        <w:spacing w:line="288" w:lineRule="auto"/>
        <w:jc w:val="both"/>
        <w:rPr>
          <w:rFonts w:ascii="Times New Roman" w:hAnsi="Times New Roman"/>
          <w:sz w:val="20"/>
          <w:szCs w:val="20"/>
        </w:rPr>
      </w:pPr>
    </w:p>
    <w:p w14:paraId="0BC98119"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i/>
          <w:iCs/>
          <w:sz w:val="20"/>
          <w:szCs w:val="20"/>
        </w:rPr>
        <w:t>StubHub Net Transaction Revenues</w:t>
      </w:r>
    </w:p>
    <w:p w14:paraId="0BC9811A" w14:textId="77777777" w:rsidR="009F0928" w:rsidRDefault="009F0928">
      <w:pPr>
        <w:spacing w:line="288" w:lineRule="auto"/>
        <w:ind w:firstLine="720"/>
        <w:jc w:val="both"/>
        <w:rPr>
          <w:rFonts w:ascii="Times New Roman" w:hAnsi="Times New Roman"/>
          <w:sz w:val="20"/>
          <w:szCs w:val="20"/>
        </w:rPr>
      </w:pPr>
    </w:p>
    <w:p w14:paraId="0BC9811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table presents StubHub net transaction revenues and supplemental operating data (in millions, except percentages):</w:t>
      </w:r>
    </w:p>
    <w:tbl>
      <w:tblPr>
        <w:tblW w:w="4980" w:type="pct"/>
        <w:jc w:val="center"/>
        <w:tblCellMar>
          <w:left w:w="0" w:type="dxa"/>
          <w:right w:w="0" w:type="dxa"/>
        </w:tblCellMar>
        <w:tblLook w:val="04A0" w:firstRow="1" w:lastRow="0" w:firstColumn="1" w:lastColumn="0" w:noHBand="0" w:noVBand="1"/>
      </w:tblPr>
      <w:tblGrid>
        <w:gridCol w:w="912"/>
        <w:gridCol w:w="582"/>
        <w:gridCol w:w="183"/>
        <w:gridCol w:w="130"/>
        <w:gridCol w:w="583"/>
        <w:gridCol w:w="183"/>
        <w:gridCol w:w="130"/>
        <w:gridCol w:w="626"/>
        <w:gridCol w:w="236"/>
        <w:gridCol w:w="130"/>
        <w:gridCol w:w="710"/>
        <w:gridCol w:w="236"/>
        <w:gridCol w:w="130"/>
        <w:gridCol w:w="461"/>
        <w:gridCol w:w="183"/>
        <w:gridCol w:w="130"/>
        <w:gridCol w:w="583"/>
        <w:gridCol w:w="183"/>
        <w:gridCol w:w="130"/>
        <w:gridCol w:w="626"/>
        <w:gridCol w:w="183"/>
        <w:gridCol w:w="130"/>
        <w:gridCol w:w="710"/>
        <w:gridCol w:w="183"/>
      </w:tblGrid>
      <w:tr w:rsidR="009F0928" w14:paraId="0BC9811D" w14:textId="77777777">
        <w:trPr>
          <w:jc w:val="center"/>
        </w:trPr>
        <w:tc>
          <w:tcPr>
            <w:tcW w:w="0" w:type="auto"/>
            <w:gridSpan w:val="24"/>
            <w:shd w:val="clear" w:color="auto" w:fill="auto"/>
            <w:vAlign w:val="center"/>
          </w:tcPr>
          <w:p w14:paraId="0BC9811C" w14:textId="77777777" w:rsidR="009F0928" w:rsidRDefault="009F0928">
            <w:pPr>
              <w:rPr>
                <w:rFonts w:ascii="Times New Roman" w:hAnsi="Times New Roman"/>
                <w:sz w:val="20"/>
                <w:szCs w:val="20"/>
              </w:rPr>
            </w:pPr>
          </w:p>
        </w:tc>
      </w:tr>
      <w:tr w:rsidR="009F0928" w14:paraId="0BC98136" w14:textId="77777777">
        <w:trPr>
          <w:jc w:val="center"/>
        </w:trPr>
        <w:tc>
          <w:tcPr>
            <w:tcW w:w="650" w:type="pct"/>
            <w:shd w:val="clear" w:color="auto" w:fill="auto"/>
            <w:vAlign w:val="center"/>
          </w:tcPr>
          <w:p w14:paraId="0BC9811E" w14:textId="77777777" w:rsidR="009F0928" w:rsidRDefault="009F0928">
            <w:pPr>
              <w:rPr>
                <w:rFonts w:ascii="Times New Roman" w:hAnsi="Times New Roman"/>
                <w:sz w:val="20"/>
                <w:szCs w:val="20"/>
              </w:rPr>
            </w:pPr>
          </w:p>
        </w:tc>
        <w:tc>
          <w:tcPr>
            <w:tcW w:w="450" w:type="pct"/>
            <w:shd w:val="clear" w:color="auto" w:fill="auto"/>
            <w:vAlign w:val="center"/>
          </w:tcPr>
          <w:p w14:paraId="0BC9811F" w14:textId="77777777" w:rsidR="009F0928" w:rsidRDefault="009F0928">
            <w:pPr>
              <w:rPr>
                <w:rFonts w:ascii="Times New Roman" w:hAnsi="Times New Roman"/>
                <w:sz w:val="20"/>
                <w:szCs w:val="20"/>
              </w:rPr>
            </w:pPr>
          </w:p>
        </w:tc>
        <w:tc>
          <w:tcPr>
            <w:tcW w:w="50" w:type="pct"/>
            <w:shd w:val="clear" w:color="auto" w:fill="auto"/>
            <w:vAlign w:val="center"/>
          </w:tcPr>
          <w:p w14:paraId="0BC98120" w14:textId="77777777" w:rsidR="009F0928" w:rsidRDefault="009F0928">
            <w:pPr>
              <w:rPr>
                <w:rFonts w:ascii="Times New Roman" w:hAnsi="Times New Roman"/>
                <w:sz w:val="20"/>
                <w:szCs w:val="20"/>
              </w:rPr>
            </w:pPr>
          </w:p>
        </w:tc>
        <w:tc>
          <w:tcPr>
            <w:tcW w:w="50" w:type="pct"/>
            <w:shd w:val="clear" w:color="auto" w:fill="auto"/>
            <w:vAlign w:val="center"/>
          </w:tcPr>
          <w:p w14:paraId="0BC98121" w14:textId="77777777" w:rsidR="009F0928" w:rsidRDefault="009F0928">
            <w:pPr>
              <w:rPr>
                <w:rFonts w:ascii="Times New Roman" w:hAnsi="Times New Roman"/>
                <w:sz w:val="20"/>
                <w:szCs w:val="20"/>
              </w:rPr>
            </w:pPr>
          </w:p>
        </w:tc>
        <w:tc>
          <w:tcPr>
            <w:tcW w:w="450" w:type="pct"/>
            <w:shd w:val="clear" w:color="auto" w:fill="auto"/>
            <w:vAlign w:val="center"/>
          </w:tcPr>
          <w:p w14:paraId="0BC98122" w14:textId="77777777" w:rsidR="009F0928" w:rsidRDefault="009F0928">
            <w:pPr>
              <w:rPr>
                <w:rFonts w:ascii="Times New Roman" w:hAnsi="Times New Roman"/>
                <w:sz w:val="20"/>
                <w:szCs w:val="20"/>
              </w:rPr>
            </w:pPr>
          </w:p>
        </w:tc>
        <w:tc>
          <w:tcPr>
            <w:tcW w:w="50" w:type="pct"/>
            <w:shd w:val="clear" w:color="auto" w:fill="auto"/>
            <w:vAlign w:val="center"/>
          </w:tcPr>
          <w:p w14:paraId="0BC98123" w14:textId="77777777" w:rsidR="009F0928" w:rsidRDefault="009F0928">
            <w:pPr>
              <w:rPr>
                <w:rFonts w:ascii="Times New Roman" w:hAnsi="Times New Roman"/>
                <w:sz w:val="20"/>
                <w:szCs w:val="20"/>
              </w:rPr>
            </w:pPr>
          </w:p>
        </w:tc>
        <w:tc>
          <w:tcPr>
            <w:tcW w:w="50" w:type="pct"/>
            <w:shd w:val="clear" w:color="auto" w:fill="auto"/>
            <w:vAlign w:val="center"/>
          </w:tcPr>
          <w:p w14:paraId="0BC98124" w14:textId="77777777" w:rsidR="009F0928" w:rsidRDefault="009F0928">
            <w:pPr>
              <w:rPr>
                <w:rFonts w:ascii="Times New Roman" w:hAnsi="Times New Roman"/>
                <w:sz w:val="20"/>
                <w:szCs w:val="20"/>
              </w:rPr>
            </w:pPr>
          </w:p>
        </w:tc>
        <w:tc>
          <w:tcPr>
            <w:tcW w:w="450" w:type="pct"/>
            <w:shd w:val="clear" w:color="auto" w:fill="auto"/>
            <w:vAlign w:val="center"/>
          </w:tcPr>
          <w:p w14:paraId="0BC98125" w14:textId="77777777" w:rsidR="009F0928" w:rsidRDefault="009F0928">
            <w:pPr>
              <w:rPr>
                <w:rFonts w:ascii="Times New Roman" w:hAnsi="Times New Roman"/>
                <w:sz w:val="20"/>
                <w:szCs w:val="20"/>
              </w:rPr>
            </w:pPr>
          </w:p>
        </w:tc>
        <w:tc>
          <w:tcPr>
            <w:tcW w:w="50" w:type="pct"/>
            <w:shd w:val="clear" w:color="auto" w:fill="auto"/>
            <w:vAlign w:val="center"/>
          </w:tcPr>
          <w:p w14:paraId="0BC98126" w14:textId="77777777" w:rsidR="009F0928" w:rsidRDefault="009F0928">
            <w:pPr>
              <w:rPr>
                <w:rFonts w:ascii="Times New Roman" w:hAnsi="Times New Roman"/>
                <w:sz w:val="20"/>
                <w:szCs w:val="20"/>
              </w:rPr>
            </w:pPr>
          </w:p>
        </w:tc>
        <w:tc>
          <w:tcPr>
            <w:tcW w:w="50" w:type="pct"/>
            <w:shd w:val="clear" w:color="auto" w:fill="auto"/>
            <w:vAlign w:val="center"/>
          </w:tcPr>
          <w:p w14:paraId="0BC98127" w14:textId="77777777" w:rsidR="009F0928" w:rsidRDefault="009F0928">
            <w:pPr>
              <w:rPr>
                <w:rFonts w:ascii="Times New Roman" w:hAnsi="Times New Roman"/>
                <w:sz w:val="20"/>
                <w:szCs w:val="20"/>
              </w:rPr>
            </w:pPr>
          </w:p>
        </w:tc>
        <w:tc>
          <w:tcPr>
            <w:tcW w:w="450" w:type="pct"/>
            <w:shd w:val="clear" w:color="auto" w:fill="auto"/>
            <w:vAlign w:val="center"/>
          </w:tcPr>
          <w:p w14:paraId="0BC98128" w14:textId="77777777" w:rsidR="009F0928" w:rsidRDefault="009F0928">
            <w:pPr>
              <w:rPr>
                <w:rFonts w:ascii="Times New Roman" w:hAnsi="Times New Roman"/>
                <w:sz w:val="20"/>
                <w:szCs w:val="20"/>
              </w:rPr>
            </w:pPr>
          </w:p>
        </w:tc>
        <w:tc>
          <w:tcPr>
            <w:tcW w:w="50" w:type="pct"/>
            <w:shd w:val="clear" w:color="auto" w:fill="auto"/>
            <w:vAlign w:val="center"/>
          </w:tcPr>
          <w:p w14:paraId="0BC98129" w14:textId="77777777" w:rsidR="009F0928" w:rsidRDefault="009F0928">
            <w:pPr>
              <w:rPr>
                <w:rFonts w:ascii="Times New Roman" w:hAnsi="Times New Roman"/>
                <w:sz w:val="20"/>
                <w:szCs w:val="20"/>
              </w:rPr>
            </w:pPr>
          </w:p>
        </w:tc>
        <w:tc>
          <w:tcPr>
            <w:tcW w:w="50" w:type="pct"/>
            <w:shd w:val="clear" w:color="auto" w:fill="auto"/>
            <w:vAlign w:val="center"/>
          </w:tcPr>
          <w:p w14:paraId="0BC9812A" w14:textId="77777777" w:rsidR="009F0928" w:rsidRDefault="009F0928">
            <w:pPr>
              <w:rPr>
                <w:rFonts w:ascii="Times New Roman" w:hAnsi="Times New Roman"/>
                <w:sz w:val="20"/>
                <w:szCs w:val="20"/>
              </w:rPr>
            </w:pPr>
          </w:p>
        </w:tc>
        <w:tc>
          <w:tcPr>
            <w:tcW w:w="450" w:type="pct"/>
            <w:shd w:val="clear" w:color="auto" w:fill="auto"/>
            <w:vAlign w:val="center"/>
          </w:tcPr>
          <w:p w14:paraId="0BC9812B" w14:textId="77777777" w:rsidR="009F0928" w:rsidRDefault="009F0928">
            <w:pPr>
              <w:rPr>
                <w:rFonts w:ascii="Times New Roman" w:hAnsi="Times New Roman"/>
                <w:sz w:val="20"/>
                <w:szCs w:val="20"/>
              </w:rPr>
            </w:pPr>
          </w:p>
        </w:tc>
        <w:tc>
          <w:tcPr>
            <w:tcW w:w="50" w:type="pct"/>
            <w:shd w:val="clear" w:color="auto" w:fill="auto"/>
            <w:vAlign w:val="center"/>
          </w:tcPr>
          <w:p w14:paraId="0BC9812C" w14:textId="77777777" w:rsidR="009F0928" w:rsidRDefault="009F0928">
            <w:pPr>
              <w:rPr>
                <w:rFonts w:ascii="Times New Roman" w:hAnsi="Times New Roman"/>
                <w:sz w:val="20"/>
                <w:szCs w:val="20"/>
              </w:rPr>
            </w:pPr>
          </w:p>
        </w:tc>
        <w:tc>
          <w:tcPr>
            <w:tcW w:w="50" w:type="pct"/>
            <w:shd w:val="clear" w:color="auto" w:fill="auto"/>
            <w:vAlign w:val="center"/>
          </w:tcPr>
          <w:p w14:paraId="0BC9812D" w14:textId="77777777" w:rsidR="009F0928" w:rsidRDefault="009F0928">
            <w:pPr>
              <w:rPr>
                <w:rFonts w:ascii="Times New Roman" w:hAnsi="Times New Roman"/>
                <w:sz w:val="20"/>
                <w:szCs w:val="20"/>
              </w:rPr>
            </w:pPr>
          </w:p>
        </w:tc>
        <w:tc>
          <w:tcPr>
            <w:tcW w:w="450" w:type="pct"/>
            <w:shd w:val="clear" w:color="auto" w:fill="auto"/>
            <w:vAlign w:val="center"/>
          </w:tcPr>
          <w:p w14:paraId="0BC9812E" w14:textId="77777777" w:rsidR="009F0928" w:rsidRDefault="009F0928">
            <w:pPr>
              <w:rPr>
                <w:rFonts w:ascii="Times New Roman" w:hAnsi="Times New Roman"/>
                <w:sz w:val="20"/>
                <w:szCs w:val="20"/>
              </w:rPr>
            </w:pPr>
          </w:p>
        </w:tc>
        <w:tc>
          <w:tcPr>
            <w:tcW w:w="50" w:type="pct"/>
            <w:shd w:val="clear" w:color="auto" w:fill="auto"/>
            <w:vAlign w:val="center"/>
          </w:tcPr>
          <w:p w14:paraId="0BC9812F" w14:textId="77777777" w:rsidR="009F0928" w:rsidRDefault="009F0928">
            <w:pPr>
              <w:rPr>
                <w:rFonts w:ascii="Times New Roman" w:hAnsi="Times New Roman"/>
                <w:sz w:val="20"/>
                <w:szCs w:val="20"/>
              </w:rPr>
            </w:pPr>
          </w:p>
        </w:tc>
        <w:tc>
          <w:tcPr>
            <w:tcW w:w="50" w:type="pct"/>
            <w:shd w:val="clear" w:color="auto" w:fill="auto"/>
            <w:vAlign w:val="center"/>
          </w:tcPr>
          <w:p w14:paraId="0BC98130" w14:textId="77777777" w:rsidR="009F0928" w:rsidRDefault="009F0928">
            <w:pPr>
              <w:rPr>
                <w:rFonts w:ascii="Times New Roman" w:hAnsi="Times New Roman"/>
                <w:sz w:val="20"/>
                <w:szCs w:val="20"/>
              </w:rPr>
            </w:pPr>
          </w:p>
        </w:tc>
        <w:tc>
          <w:tcPr>
            <w:tcW w:w="450" w:type="pct"/>
            <w:shd w:val="clear" w:color="auto" w:fill="auto"/>
            <w:vAlign w:val="center"/>
          </w:tcPr>
          <w:p w14:paraId="0BC98131" w14:textId="77777777" w:rsidR="009F0928" w:rsidRDefault="009F0928">
            <w:pPr>
              <w:rPr>
                <w:rFonts w:ascii="Times New Roman" w:hAnsi="Times New Roman"/>
                <w:sz w:val="20"/>
                <w:szCs w:val="20"/>
              </w:rPr>
            </w:pPr>
          </w:p>
        </w:tc>
        <w:tc>
          <w:tcPr>
            <w:tcW w:w="50" w:type="pct"/>
            <w:shd w:val="clear" w:color="auto" w:fill="auto"/>
            <w:vAlign w:val="center"/>
          </w:tcPr>
          <w:p w14:paraId="0BC98132" w14:textId="77777777" w:rsidR="009F0928" w:rsidRDefault="009F0928">
            <w:pPr>
              <w:rPr>
                <w:rFonts w:ascii="Times New Roman" w:hAnsi="Times New Roman"/>
                <w:sz w:val="20"/>
                <w:szCs w:val="20"/>
              </w:rPr>
            </w:pPr>
          </w:p>
        </w:tc>
        <w:tc>
          <w:tcPr>
            <w:tcW w:w="50" w:type="pct"/>
            <w:shd w:val="clear" w:color="auto" w:fill="auto"/>
            <w:vAlign w:val="center"/>
          </w:tcPr>
          <w:p w14:paraId="0BC98133" w14:textId="77777777" w:rsidR="009F0928" w:rsidRDefault="009F0928">
            <w:pPr>
              <w:rPr>
                <w:rFonts w:ascii="Times New Roman" w:hAnsi="Times New Roman"/>
                <w:sz w:val="20"/>
                <w:szCs w:val="20"/>
              </w:rPr>
            </w:pPr>
          </w:p>
        </w:tc>
        <w:tc>
          <w:tcPr>
            <w:tcW w:w="450" w:type="pct"/>
            <w:shd w:val="clear" w:color="auto" w:fill="auto"/>
            <w:vAlign w:val="center"/>
          </w:tcPr>
          <w:p w14:paraId="0BC98134" w14:textId="77777777" w:rsidR="009F0928" w:rsidRDefault="009F0928">
            <w:pPr>
              <w:rPr>
                <w:rFonts w:ascii="Times New Roman" w:hAnsi="Times New Roman"/>
                <w:sz w:val="20"/>
                <w:szCs w:val="20"/>
              </w:rPr>
            </w:pPr>
          </w:p>
        </w:tc>
        <w:tc>
          <w:tcPr>
            <w:tcW w:w="50" w:type="pct"/>
            <w:shd w:val="clear" w:color="auto" w:fill="auto"/>
            <w:vAlign w:val="center"/>
          </w:tcPr>
          <w:p w14:paraId="0BC98135" w14:textId="77777777" w:rsidR="009F0928" w:rsidRDefault="009F0928">
            <w:pPr>
              <w:rPr>
                <w:rFonts w:ascii="Times New Roman" w:hAnsi="Times New Roman"/>
                <w:sz w:val="20"/>
                <w:szCs w:val="20"/>
              </w:rPr>
            </w:pPr>
          </w:p>
        </w:tc>
      </w:tr>
      <w:tr w:rsidR="009F0928" w14:paraId="0BC9813F" w14:textId="77777777">
        <w:trPr>
          <w:jc w:val="center"/>
        </w:trPr>
        <w:tc>
          <w:tcPr>
            <w:tcW w:w="0" w:type="auto"/>
            <w:shd w:val="clear" w:color="auto" w:fill="auto"/>
            <w:tcMar>
              <w:top w:w="40" w:type="dxa"/>
              <w:left w:w="40" w:type="dxa"/>
              <w:bottom w:w="40" w:type="dxa"/>
              <w:right w:w="40" w:type="dxa"/>
            </w:tcMar>
            <w:vAlign w:val="bottom"/>
          </w:tcPr>
          <w:p w14:paraId="0BC981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0BC98138"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Year Ended December 31,</w:t>
            </w:r>
          </w:p>
        </w:tc>
        <w:tc>
          <w:tcPr>
            <w:tcW w:w="0" w:type="auto"/>
            <w:shd w:val="clear" w:color="auto" w:fill="auto"/>
            <w:tcMar>
              <w:top w:w="40" w:type="dxa"/>
              <w:left w:w="40" w:type="dxa"/>
              <w:bottom w:w="40" w:type="dxa"/>
              <w:right w:w="40" w:type="dxa"/>
            </w:tcMar>
            <w:vAlign w:val="bottom"/>
          </w:tcPr>
          <w:p w14:paraId="0BC9813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0BC9813A"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Change</w:t>
            </w:r>
          </w:p>
        </w:tc>
        <w:tc>
          <w:tcPr>
            <w:tcW w:w="0" w:type="auto"/>
            <w:shd w:val="clear" w:color="auto" w:fill="auto"/>
            <w:tcMar>
              <w:top w:w="40" w:type="dxa"/>
              <w:left w:w="40" w:type="dxa"/>
              <w:bottom w:w="40" w:type="dxa"/>
              <w:right w:w="40" w:type="dxa"/>
            </w:tcMar>
            <w:vAlign w:val="bottom"/>
          </w:tcPr>
          <w:p w14:paraId="0BC9813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0BC9813C"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Year Ended December 31,</w:t>
            </w:r>
          </w:p>
        </w:tc>
        <w:tc>
          <w:tcPr>
            <w:tcW w:w="0" w:type="auto"/>
            <w:shd w:val="clear" w:color="auto" w:fill="auto"/>
            <w:tcMar>
              <w:top w:w="40" w:type="dxa"/>
              <w:left w:w="40" w:type="dxa"/>
              <w:bottom w:w="40" w:type="dxa"/>
              <w:right w:w="40" w:type="dxa"/>
            </w:tcMar>
            <w:vAlign w:val="bottom"/>
          </w:tcPr>
          <w:p w14:paraId="0BC981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0BC9813E"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Change</w:t>
            </w:r>
          </w:p>
        </w:tc>
      </w:tr>
      <w:tr w:rsidR="009F0928" w14:paraId="0BC98150" w14:textId="77777777">
        <w:trPr>
          <w:jc w:val="center"/>
        </w:trPr>
        <w:tc>
          <w:tcPr>
            <w:tcW w:w="0" w:type="auto"/>
            <w:shd w:val="clear" w:color="auto" w:fill="auto"/>
            <w:tcMar>
              <w:top w:w="40" w:type="dxa"/>
              <w:left w:w="40" w:type="dxa"/>
              <w:bottom w:w="40" w:type="dxa"/>
              <w:right w:w="40" w:type="dxa"/>
            </w:tcMar>
            <w:vAlign w:val="center"/>
          </w:tcPr>
          <w:p w14:paraId="0BC98140" w14:textId="77777777" w:rsidR="009F0928" w:rsidRDefault="002112BD">
            <w:pPr>
              <w:textAlignment w:val="center"/>
              <w:rPr>
                <w:rFonts w:ascii="Times New Roman" w:hAnsi="Times New Roman"/>
                <w:sz w:val="16"/>
                <w:szCs w:val="16"/>
              </w:rPr>
            </w:pPr>
            <w:r>
              <w:rPr>
                <w:rFonts w:ascii="Arial" w:eastAsia="宋体" w:hAnsi="Arial" w:cs="Arial"/>
                <w:sz w:val="16"/>
                <w:szCs w:val="16"/>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141"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0BC9814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143"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0BC9814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145"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As Reported</w:t>
            </w:r>
          </w:p>
        </w:tc>
        <w:tc>
          <w:tcPr>
            <w:tcW w:w="0" w:type="auto"/>
            <w:shd w:val="clear" w:color="auto" w:fill="auto"/>
            <w:tcMar>
              <w:top w:w="40" w:type="dxa"/>
              <w:left w:w="40" w:type="dxa"/>
              <w:bottom w:w="40" w:type="dxa"/>
              <w:right w:w="40" w:type="dxa"/>
            </w:tcMar>
            <w:vAlign w:val="bottom"/>
          </w:tcPr>
          <w:p w14:paraId="0BC9814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147"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FX-Neutral</w:t>
            </w:r>
          </w:p>
        </w:tc>
        <w:tc>
          <w:tcPr>
            <w:tcW w:w="0" w:type="auto"/>
            <w:shd w:val="clear" w:color="auto" w:fill="auto"/>
            <w:tcMar>
              <w:top w:w="40" w:type="dxa"/>
              <w:left w:w="40" w:type="dxa"/>
              <w:bottom w:w="40" w:type="dxa"/>
              <w:right w:w="40" w:type="dxa"/>
            </w:tcMar>
            <w:vAlign w:val="bottom"/>
          </w:tcPr>
          <w:p w14:paraId="0BC9814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149"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0BC9814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14B"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2017</w:t>
            </w:r>
          </w:p>
        </w:tc>
        <w:tc>
          <w:tcPr>
            <w:tcW w:w="0" w:type="auto"/>
            <w:shd w:val="clear" w:color="auto" w:fill="auto"/>
            <w:tcMar>
              <w:top w:w="40" w:type="dxa"/>
              <w:left w:w="40" w:type="dxa"/>
              <w:bottom w:w="40" w:type="dxa"/>
              <w:right w:w="40" w:type="dxa"/>
            </w:tcMar>
            <w:vAlign w:val="bottom"/>
          </w:tcPr>
          <w:p w14:paraId="0BC9814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14D"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As Reported</w:t>
            </w:r>
          </w:p>
        </w:tc>
        <w:tc>
          <w:tcPr>
            <w:tcW w:w="0" w:type="auto"/>
            <w:shd w:val="clear" w:color="auto" w:fill="auto"/>
            <w:tcMar>
              <w:top w:w="40" w:type="dxa"/>
              <w:left w:w="40" w:type="dxa"/>
              <w:bottom w:w="40" w:type="dxa"/>
              <w:right w:w="40" w:type="dxa"/>
            </w:tcMar>
            <w:vAlign w:val="bottom"/>
          </w:tcPr>
          <w:p w14:paraId="0BC9814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14F"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FX-Neutral</w:t>
            </w:r>
          </w:p>
        </w:tc>
      </w:tr>
      <w:tr w:rsidR="009F0928" w14:paraId="0BC98169" w14:textId="77777777">
        <w:trPr>
          <w:jc w:val="center"/>
        </w:trPr>
        <w:tc>
          <w:tcPr>
            <w:tcW w:w="0" w:type="auto"/>
            <w:shd w:val="clear" w:color="auto" w:fill="E2E2E2"/>
            <w:tcMar>
              <w:top w:w="40" w:type="dxa"/>
              <w:left w:w="40" w:type="dxa"/>
              <w:bottom w:w="40" w:type="dxa"/>
              <w:right w:w="40" w:type="dxa"/>
            </w:tcMar>
            <w:vAlign w:val="bottom"/>
          </w:tcPr>
          <w:p w14:paraId="0BC98151" w14:textId="77777777" w:rsidR="009F0928" w:rsidRDefault="002112BD">
            <w:pPr>
              <w:textAlignment w:val="bottom"/>
              <w:rPr>
                <w:rFonts w:ascii="Times New Roman" w:hAnsi="Times New Roman"/>
                <w:sz w:val="14"/>
                <w:szCs w:val="14"/>
              </w:rPr>
            </w:pPr>
            <w:r>
              <w:rPr>
                <w:rFonts w:ascii="Arial" w:eastAsia="宋体" w:hAnsi="Arial" w:cs="Arial"/>
                <w:sz w:val="14"/>
                <w:szCs w:val="14"/>
              </w:rPr>
              <w:t>StubHub net transaction revenues</w:t>
            </w:r>
          </w:p>
        </w:tc>
        <w:tc>
          <w:tcPr>
            <w:tcW w:w="0" w:type="auto"/>
            <w:shd w:val="clear" w:color="auto" w:fill="E2E2E2"/>
            <w:tcMar>
              <w:top w:w="40" w:type="dxa"/>
              <w:left w:w="40" w:type="dxa"/>
              <w:bottom w:w="40" w:type="dxa"/>
            </w:tcMar>
            <w:vAlign w:val="bottom"/>
          </w:tcPr>
          <w:p w14:paraId="0BC9815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1,057</w:t>
            </w:r>
          </w:p>
        </w:tc>
        <w:tc>
          <w:tcPr>
            <w:tcW w:w="0" w:type="auto"/>
            <w:shd w:val="clear" w:color="auto" w:fill="E2E2E2"/>
            <w:vAlign w:val="bottom"/>
          </w:tcPr>
          <w:p w14:paraId="0BC9815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15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15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1,068</w:t>
            </w:r>
          </w:p>
        </w:tc>
        <w:tc>
          <w:tcPr>
            <w:tcW w:w="0" w:type="auto"/>
            <w:shd w:val="clear" w:color="auto" w:fill="E2E2E2"/>
            <w:vAlign w:val="bottom"/>
          </w:tcPr>
          <w:p w14:paraId="0BC9815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15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15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E2E2E2"/>
            <w:tcMar>
              <w:top w:w="40" w:type="dxa"/>
              <w:bottom w:w="40" w:type="dxa"/>
              <w:right w:w="40" w:type="dxa"/>
            </w:tcMar>
            <w:vAlign w:val="bottom"/>
          </w:tcPr>
          <w:p w14:paraId="0BC9815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15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15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E2E2E2"/>
            <w:tcMar>
              <w:top w:w="40" w:type="dxa"/>
              <w:bottom w:w="40" w:type="dxa"/>
              <w:right w:w="40" w:type="dxa"/>
            </w:tcMar>
            <w:vAlign w:val="bottom"/>
          </w:tcPr>
          <w:p w14:paraId="0BC9815C"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15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15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1,068</w:t>
            </w:r>
          </w:p>
        </w:tc>
        <w:tc>
          <w:tcPr>
            <w:tcW w:w="0" w:type="auto"/>
            <w:shd w:val="clear" w:color="auto" w:fill="E2E2E2"/>
            <w:vAlign w:val="bottom"/>
          </w:tcPr>
          <w:p w14:paraId="0BC9815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16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16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1,011</w:t>
            </w:r>
          </w:p>
        </w:tc>
        <w:tc>
          <w:tcPr>
            <w:tcW w:w="0" w:type="auto"/>
            <w:shd w:val="clear" w:color="auto" w:fill="E2E2E2"/>
            <w:vAlign w:val="bottom"/>
          </w:tcPr>
          <w:p w14:paraId="0BC9816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16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16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w:t>
            </w:r>
          </w:p>
        </w:tc>
        <w:tc>
          <w:tcPr>
            <w:tcW w:w="0" w:type="auto"/>
            <w:shd w:val="clear" w:color="auto" w:fill="E2E2E2"/>
            <w:tcMar>
              <w:top w:w="40" w:type="dxa"/>
              <w:bottom w:w="40" w:type="dxa"/>
              <w:right w:w="40" w:type="dxa"/>
            </w:tcMar>
            <w:vAlign w:val="bottom"/>
          </w:tcPr>
          <w:p w14:paraId="0BC9816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16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16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w:t>
            </w:r>
          </w:p>
        </w:tc>
        <w:tc>
          <w:tcPr>
            <w:tcW w:w="0" w:type="auto"/>
            <w:shd w:val="clear" w:color="auto" w:fill="E2E2E2"/>
            <w:tcMar>
              <w:top w:w="40" w:type="dxa"/>
              <w:bottom w:w="40" w:type="dxa"/>
              <w:right w:w="40" w:type="dxa"/>
            </w:tcMar>
            <w:vAlign w:val="bottom"/>
          </w:tcPr>
          <w:p w14:paraId="0BC98168"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817A" w14:textId="77777777">
        <w:trPr>
          <w:jc w:val="center"/>
        </w:trPr>
        <w:tc>
          <w:tcPr>
            <w:tcW w:w="0" w:type="auto"/>
            <w:shd w:val="clear" w:color="auto" w:fill="auto"/>
            <w:tcMar>
              <w:top w:w="40" w:type="dxa"/>
              <w:left w:w="40" w:type="dxa"/>
              <w:bottom w:w="40" w:type="dxa"/>
              <w:right w:w="40" w:type="dxa"/>
            </w:tcMar>
            <w:vAlign w:val="bottom"/>
          </w:tcPr>
          <w:p w14:paraId="0BC9816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16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16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16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16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16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17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17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17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17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17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17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17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17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17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1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193" w14:textId="77777777">
        <w:trPr>
          <w:jc w:val="center"/>
        </w:trPr>
        <w:tc>
          <w:tcPr>
            <w:tcW w:w="0" w:type="auto"/>
            <w:shd w:val="clear" w:color="auto" w:fill="E2E2E2"/>
            <w:tcMar>
              <w:top w:w="40" w:type="dxa"/>
              <w:left w:w="40" w:type="dxa"/>
              <w:bottom w:w="40" w:type="dxa"/>
              <w:right w:w="40" w:type="dxa"/>
            </w:tcMar>
            <w:vAlign w:val="bottom"/>
          </w:tcPr>
          <w:p w14:paraId="0BC9817B" w14:textId="77777777" w:rsidR="009F0928" w:rsidRDefault="002112BD">
            <w:pPr>
              <w:textAlignment w:val="bottom"/>
              <w:rPr>
                <w:rFonts w:ascii="Times New Roman" w:hAnsi="Times New Roman"/>
                <w:sz w:val="14"/>
                <w:szCs w:val="14"/>
              </w:rPr>
            </w:pPr>
            <w:r>
              <w:rPr>
                <w:rFonts w:ascii="Arial" w:eastAsia="宋体" w:hAnsi="Arial" w:cs="Arial"/>
                <w:sz w:val="14"/>
                <w:szCs w:val="14"/>
              </w:rPr>
              <w:t>StubHub GMV</w:t>
            </w:r>
          </w:p>
        </w:tc>
        <w:tc>
          <w:tcPr>
            <w:tcW w:w="0" w:type="auto"/>
            <w:shd w:val="clear" w:color="auto" w:fill="E2E2E2"/>
            <w:tcMar>
              <w:top w:w="40" w:type="dxa"/>
              <w:left w:w="40" w:type="dxa"/>
              <w:bottom w:w="40" w:type="dxa"/>
            </w:tcMar>
            <w:vAlign w:val="bottom"/>
          </w:tcPr>
          <w:p w14:paraId="0BC9817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4,700</w:t>
            </w:r>
          </w:p>
        </w:tc>
        <w:tc>
          <w:tcPr>
            <w:tcW w:w="0" w:type="auto"/>
            <w:shd w:val="clear" w:color="auto" w:fill="E2E2E2"/>
            <w:vAlign w:val="bottom"/>
          </w:tcPr>
          <w:p w14:paraId="0BC9817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17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17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4,751</w:t>
            </w:r>
          </w:p>
        </w:tc>
        <w:tc>
          <w:tcPr>
            <w:tcW w:w="0" w:type="auto"/>
            <w:shd w:val="clear" w:color="auto" w:fill="E2E2E2"/>
            <w:vAlign w:val="bottom"/>
          </w:tcPr>
          <w:p w14:paraId="0BC9818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18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18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E2E2E2"/>
            <w:tcMar>
              <w:top w:w="40" w:type="dxa"/>
              <w:bottom w:w="40" w:type="dxa"/>
              <w:right w:w="40" w:type="dxa"/>
            </w:tcMar>
            <w:vAlign w:val="bottom"/>
          </w:tcPr>
          <w:p w14:paraId="0BC9818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18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18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E2E2E2"/>
            <w:tcMar>
              <w:top w:w="40" w:type="dxa"/>
              <w:bottom w:w="40" w:type="dxa"/>
              <w:right w:w="40" w:type="dxa"/>
            </w:tcMar>
            <w:vAlign w:val="bottom"/>
          </w:tcPr>
          <w:p w14:paraId="0BC98186"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18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18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4,751</w:t>
            </w:r>
          </w:p>
        </w:tc>
        <w:tc>
          <w:tcPr>
            <w:tcW w:w="0" w:type="auto"/>
            <w:shd w:val="clear" w:color="auto" w:fill="E2E2E2"/>
            <w:vAlign w:val="bottom"/>
          </w:tcPr>
          <w:p w14:paraId="0BC9818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18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18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4,520</w:t>
            </w:r>
          </w:p>
        </w:tc>
        <w:tc>
          <w:tcPr>
            <w:tcW w:w="0" w:type="auto"/>
            <w:shd w:val="clear" w:color="auto" w:fill="E2E2E2"/>
            <w:vAlign w:val="bottom"/>
          </w:tcPr>
          <w:p w14:paraId="0BC9818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1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18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E2E2E2"/>
            <w:tcMar>
              <w:top w:w="40" w:type="dxa"/>
              <w:bottom w:w="40" w:type="dxa"/>
              <w:right w:w="40" w:type="dxa"/>
            </w:tcMar>
            <w:vAlign w:val="bottom"/>
          </w:tcPr>
          <w:p w14:paraId="0BC9818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1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19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E2E2E2"/>
            <w:tcMar>
              <w:top w:w="40" w:type="dxa"/>
              <w:bottom w:w="40" w:type="dxa"/>
              <w:right w:w="40" w:type="dxa"/>
            </w:tcMar>
            <w:vAlign w:val="bottom"/>
          </w:tcPr>
          <w:p w14:paraId="0BC98192"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81AA" w14:textId="77777777">
        <w:trPr>
          <w:jc w:val="center"/>
        </w:trPr>
        <w:tc>
          <w:tcPr>
            <w:tcW w:w="0" w:type="auto"/>
            <w:shd w:val="clear" w:color="auto" w:fill="auto"/>
            <w:tcMar>
              <w:top w:w="40" w:type="dxa"/>
              <w:left w:w="40" w:type="dxa"/>
              <w:bottom w:w="40" w:type="dxa"/>
              <w:right w:w="40" w:type="dxa"/>
            </w:tcMar>
            <w:vAlign w:val="bottom"/>
          </w:tcPr>
          <w:p w14:paraId="0BC98194" w14:textId="77777777" w:rsidR="009F0928" w:rsidRDefault="002112BD">
            <w:pPr>
              <w:textAlignment w:val="bottom"/>
              <w:rPr>
                <w:rFonts w:ascii="Times New Roman" w:hAnsi="Times New Roman"/>
                <w:sz w:val="14"/>
                <w:szCs w:val="14"/>
              </w:rPr>
            </w:pPr>
            <w:r>
              <w:rPr>
                <w:rFonts w:ascii="Arial" w:eastAsia="宋体" w:hAnsi="Arial" w:cs="Arial"/>
                <w:sz w:val="14"/>
                <w:szCs w:val="14"/>
              </w:rPr>
              <w:t>StubHub take rate</w:t>
            </w:r>
          </w:p>
        </w:tc>
        <w:tc>
          <w:tcPr>
            <w:tcW w:w="0" w:type="auto"/>
            <w:shd w:val="clear" w:color="auto" w:fill="auto"/>
            <w:tcMar>
              <w:top w:w="40" w:type="dxa"/>
              <w:left w:w="40" w:type="dxa"/>
              <w:bottom w:w="40" w:type="dxa"/>
            </w:tcMar>
            <w:vAlign w:val="bottom"/>
          </w:tcPr>
          <w:p w14:paraId="0BC9819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22.49</w:t>
            </w:r>
          </w:p>
        </w:tc>
        <w:tc>
          <w:tcPr>
            <w:tcW w:w="0" w:type="auto"/>
            <w:shd w:val="clear" w:color="auto" w:fill="auto"/>
            <w:tcMar>
              <w:top w:w="40" w:type="dxa"/>
              <w:bottom w:w="40" w:type="dxa"/>
              <w:right w:w="40" w:type="dxa"/>
            </w:tcMar>
            <w:vAlign w:val="bottom"/>
          </w:tcPr>
          <w:p w14:paraId="0BC98196"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1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19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22.48</w:t>
            </w:r>
          </w:p>
        </w:tc>
        <w:tc>
          <w:tcPr>
            <w:tcW w:w="0" w:type="auto"/>
            <w:shd w:val="clear" w:color="auto" w:fill="auto"/>
            <w:tcMar>
              <w:top w:w="40" w:type="dxa"/>
              <w:bottom w:w="40" w:type="dxa"/>
              <w:right w:w="40" w:type="dxa"/>
            </w:tcMar>
            <w:vAlign w:val="bottom"/>
          </w:tcPr>
          <w:p w14:paraId="0BC9819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19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19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0.01</w:t>
            </w:r>
          </w:p>
        </w:tc>
        <w:tc>
          <w:tcPr>
            <w:tcW w:w="0" w:type="auto"/>
            <w:shd w:val="clear" w:color="auto" w:fill="auto"/>
            <w:tcMar>
              <w:top w:w="40" w:type="dxa"/>
              <w:bottom w:w="40" w:type="dxa"/>
              <w:right w:w="40" w:type="dxa"/>
            </w:tcMar>
            <w:vAlign w:val="bottom"/>
          </w:tcPr>
          <w:p w14:paraId="0BC9819C"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819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19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19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1A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22.48</w:t>
            </w:r>
          </w:p>
        </w:tc>
        <w:tc>
          <w:tcPr>
            <w:tcW w:w="0" w:type="auto"/>
            <w:shd w:val="clear" w:color="auto" w:fill="auto"/>
            <w:tcMar>
              <w:top w:w="40" w:type="dxa"/>
              <w:bottom w:w="40" w:type="dxa"/>
              <w:right w:w="40" w:type="dxa"/>
            </w:tcMar>
            <w:vAlign w:val="bottom"/>
          </w:tcPr>
          <w:p w14:paraId="0BC981A1"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1A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1A3"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22.37</w:t>
            </w:r>
          </w:p>
        </w:tc>
        <w:tc>
          <w:tcPr>
            <w:tcW w:w="0" w:type="auto"/>
            <w:shd w:val="clear" w:color="auto" w:fill="auto"/>
            <w:tcMar>
              <w:top w:w="40" w:type="dxa"/>
              <w:bottom w:w="40" w:type="dxa"/>
              <w:right w:w="40" w:type="dxa"/>
            </w:tcMar>
            <w:vAlign w:val="bottom"/>
          </w:tcPr>
          <w:p w14:paraId="0BC981A4"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1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1A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0.11</w:t>
            </w:r>
          </w:p>
        </w:tc>
        <w:tc>
          <w:tcPr>
            <w:tcW w:w="0" w:type="auto"/>
            <w:shd w:val="clear" w:color="auto" w:fill="auto"/>
            <w:tcMar>
              <w:top w:w="40" w:type="dxa"/>
              <w:bottom w:w="40" w:type="dxa"/>
              <w:right w:w="40" w:type="dxa"/>
            </w:tcMar>
            <w:vAlign w:val="bottom"/>
          </w:tcPr>
          <w:p w14:paraId="0BC981A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1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1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81AB" w14:textId="77777777" w:rsidR="009F0928" w:rsidRDefault="009F0928">
      <w:pPr>
        <w:spacing w:line="288" w:lineRule="auto"/>
        <w:jc w:val="both"/>
        <w:rPr>
          <w:rFonts w:ascii="Times New Roman" w:hAnsi="Times New Roman"/>
          <w:sz w:val="20"/>
          <w:szCs w:val="20"/>
        </w:rPr>
      </w:pPr>
    </w:p>
    <w:p w14:paraId="0BC981AC" w14:textId="77777777" w:rsidR="009F0928" w:rsidRDefault="009F0928">
      <w:pPr>
        <w:rPr>
          <w:rFonts w:ascii="Times New Roman" w:hAnsi="Times New Roman"/>
          <w:sz w:val="20"/>
          <w:szCs w:val="20"/>
        </w:rPr>
      </w:pPr>
    </w:p>
    <w:p w14:paraId="0BC981AD"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41</w:t>
      </w:r>
    </w:p>
    <w:p w14:paraId="0BC981AE" w14:textId="77777777" w:rsidR="009F0928" w:rsidRDefault="002112BD">
      <w:r>
        <w:rPr>
          <w:rFonts w:ascii="Times New Roman" w:hAnsi="Times New Roman"/>
          <w:sz w:val="18"/>
          <w:szCs w:val="18"/>
        </w:rPr>
        <w:pict w14:anchorId="0BC9B4E6">
          <v:rect id="_x0000_i1066" style="width:415.3pt;height:1.5pt" o:hralign="center" o:hrstd="t" o:hr="t" fillcolor="#a0a0a0" stroked="f"/>
        </w:pict>
      </w:r>
    </w:p>
    <w:p w14:paraId="0BC981AF" w14:textId="77777777" w:rsidR="009F0928" w:rsidRDefault="009F0928">
      <w:pPr>
        <w:spacing w:line="288" w:lineRule="auto"/>
        <w:rPr>
          <w:rFonts w:ascii="Times New Roman" w:hAnsi="Times New Roman"/>
          <w:sz w:val="20"/>
          <w:szCs w:val="20"/>
        </w:rPr>
      </w:pPr>
    </w:p>
    <w:p w14:paraId="0BC981B0" w14:textId="77777777" w:rsidR="009F0928" w:rsidRDefault="009F0928">
      <w:pPr>
        <w:rPr>
          <w:rFonts w:ascii="Times New Roman" w:hAnsi="Times New Roman"/>
          <w:sz w:val="20"/>
          <w:szCs w:val="20"/>
        </w:rPr>
      </w:pPr>
    </w:p>
    <w:p w14:paraId="0BC981B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StubHub net transaction revenues in 2019 compared to 2018 decreased slightly primarily driven by lower GMV from concerts and theater, partially offset by an increase in sporting events and a </w:t>
      </w:r>
      <w:r>
        <w:rPr>
          <w:rFonts w:ascii="Arial" w:eastAsia="宋体" w:hAnsi="Arial" w:cs="Arial"/>
          <w:sz w:val="20"/>
          <w:szCs w:val="20"/>
        </w:rPr>
        <w:t>slightly higher take rate. The slight increase in StubHub transaction take rate in 2019 compared to 2018 was primarily due to pricing changes partially offset by event mix.</w:t>
      </w:r>
    </w:p>
    <w:p w14:paraId="0BC981B2" w14:textId="77777777" w:rsidR="009F0928" w:rsidRDefault="009F0928">
      <w:pPr>
        <w:spacing w:line="288" w:lineRule="auto"/>
        <w:ind w:firstLine="720"/>
        <w:jc w:val="both"/>
        <w:rPr>
          <w:rFonts w:ascii="Times New Roman" w:hAnsi="Times New Roman"/>
          <w:sz w:val="20"/>
          <w:szCs w:val="20"/>
        </w:rPr>
      </w:pPr>
    </w:p>
    <w:p w14:paraId="0BC981B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increase in StubHub net transaction revenues in 2018 compared to 2017 was prim</w:t>
      </w:r>
      <w:r>
        <w:rPr>
          <w:rFonts w:ascii="Arial" w:eastAsia="宋体" w:hAnsi="Arial" w:cs="Arial"/>
          <w:sz w:val="20"/>
          <w:szCs w:val="20"/>
        </w:rPr>
        <w:t xml:space="preserve">arily due to an increase in StubHub GMV. The increase in StubHub GMV in 2018 compared to 2017 was primarily driven by concerts and sporting events. The increase in StubHub transaction take rate in 2018 compared to 2017 was primarily due to pricing changes </w:t>
      </w:r>
      <w:r>
        <w:rPr>
          <w:rFonts w:ascii="Arial" w:eastAsia="宋体" w:hAnsi="Arial" w:cs="Arial"/>
          <w:sz w:val="20"/>
          <w:szCs w:val="20"/>
        </w:rPr>
        <w:t xml:space="preserve">on the platform. </w:t>
      </w:r>
    </w:p>
    <w:p w14:paraId="0BC981B4" w14:textId="77777777" w:rsidR="009F0928" w:rsidRDefault="009F0928">
      <w:pPr>
        <w:spacing w:line="288" w:lineRule="auto"/>
        <w:jc w:val="both"/>
        <w:rPr>
          <w:rFonts w:ascii="Times New Roman" w:hAnsi="Times New Roman"/>
          <w:sz w:val="20"/>
          <w:szCs w:val="20"/>
        </w:rPr>
      </w:pPr>
    </w:p>
    <w:p w14:paraId="0BC981B5"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Marketing Services and Other Revenues</w:t>
      </w:r>
    </w:p>
    <w:p w14:paraId="0BC981B6" w14:textId="77777777" w:rsidR="009F0928" w:rsidRDefault="009F0928">
      <w:pPr>
        <w:spacing w:line="288" w:lineRule="auto"/>
        <w:jc w:val="both"/>
        <w:rPr>
          <w:rFonts w:ascii="Times New Roman" w:hAnsi="Times New Roman"/>
          <w:sz w:val="20"/>
          <w:szCs w:val="20"/>
        </w:rPr>
      </w:pPr>
    </w:p>
    <w:p w14:paraId="0BC981B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table presents MS&amp;O revenues (in millions, except percentages):</w:t>
      </w:r>
    </w:p>
    <w:p w14:paraId="0BC981B8" w14:textId="77777777" w:rsidR="009F0928" w:rsidRDefault="009F0928">
      <w:pPr>
        <w:spacing w:line="288" w:lineRule="auto"/>
        <w:rPr>
          <w:rFonts w:ascii="Times New Roman" w:hAnsi="Times New Roman"/>
          <w:sz w:val="20"/>
          <w:szCs w:val="20"/>
        </w:rPr>
      </w:pPr>
    </w:p>
    <w:tbl>
      <w:tblPr>
        <w:tblW w:w="4980" w:type="pct"/>
        <w:jc w:val="center"/>
        <w:tblCellMar>
          <w:left w:w="0" w:type="dxa"/>
          <w:right w:w="0" w:type="dxa"/>
        </w:tblCellMar>
        <w:tblLook w:val="04A0" w:firstRow="1" w:lastRow="0" w:firstColumn="1" w:lastColumn="0" w:noHBand="0" w:noVBand="1"/>
      </w:tblPr>
      <w:tblGrid>
        <w:gridCol w:w="1350"/>
        <w:gridCol w:w="126"/>
        <w:gridCol w:w="373"/>
        <w:gridCol w:w="173"/>
        <w:gridCol w:w="126"/>
        <w:gridCol w:w="125"/>
        <w:gridCol w:w="372"/>
        <w:gridCol w:w="173"/>
        <w:gridCol w:w="126"/>
        <w:gridCol w:w="587"/>
        <w:gridCol w:w="222"/>
        <w:gridCol w:w="126"/>
        <w:gridCol w:w="665"/>
        <w:gridCol w:w="222"/>
        <w:gridCol w:w="126"/>
        <w:gridCol w:w="125"/>
        <w:gridCol w:w="372"/>
        <w:gridCol w:w="173"/>
        <w:gridCol w:w="126"/>
        <w:gridCol w:w="125"/>
        <w:gridCol w:w="372"/>
        <w:gridCol w:w="173"/>
        <w:gridCol w:w="126"/>
        <w:gridCol w:w="587"/>
        <w:gridCol w:w="222"/>
        <w:gridCol w:w="126"/>
        <w:gridCol w:w="665"/>
        <w:gridCol w:w="222"/>
      </w:tblGrid>
      <w:tr w:rsidR="009F0928" w14:paraId="0BC981BA" w14:textId="77777777">
        <w:trPr>
          <w:jc w:val="center"/>
        </w:trPr>
        <w:tc>
          <w:tcPr>
            <w:tcW w:w="0" w:type="auto"/>
            <w:gridSpan w:val="28"/>
            <w:shd w:val="clear" w:color="auto" w:fill="auto"/>
            <w:vAlign w:val="center"/>
          </w:tcPr>
          <w:p w14:paraId="0BC981B9" w14:textId="77777777" w:rsidR="009F0928" w:rsidRDefault="009F0928">
            <w:pPr>
              <w:rPr>
                <w:rFonts w:ascii="Times New Roman" w:hAnsi="Times New Roman"/>
                <w:sz w:val="20"/>
                <w:szCs w:val="20"/>
              </w:rPr>
            </w:pPr>
          </w:p>
        </w:tc>
      </w:tr>
      <w:tr w:rsidR="009F0928" w14:paraId="0BC981D7" w14:textId="77777777">
        <w:trPr>
          <w:jc w:val="center"/>
        </w:trPr>
        <w:tc>
          <w:tcPr>
            <w:tcW w:w="650" w:type="pct"/>
            <w:shd w:val="clear" w:color="auto" w:fill="auto"/>
            <w:vAlign w:val="center"/>
          </w:tcPr>
          <w:p w14:paraId="0BC981BB" w14:textId="77777777" w:rsidR="009F0928" w:rsidRDefault="009F0928">
            <w:pPr>
              <w:rPr>
                <w:rFonts w:ascii="Times New Roman" w:hAnsi="Times New Roman"/>
                <w:sz w:val="20"/>
                <w:szCs w:val="20"/>
              </w:rPr>
            </w:pPr>
          </w:p>
        </w:tc>
        <w:tc>
          <w:tcPr>
            <w:tcW w:w="50" w:type="pct"/>
            <w:shd w:val="clear" w:color="auto" w:fill="auto"/>
            <w:vAlign w:val="center"/>
          </w:tcPr>
          <w:p w14:paraId="0BC981BC" w14:textId="77777777" w:rsidR="009F0928" w:rsidRDefault="009F0928">
            <w:pPr>
              <w:rPr>
                <w:rFonts w:ascii="Times New Roman" w:hAnsi="Times New Roman"/>
                <w:sz w:val="20"/>
                <w:szCs w:val="20"/>
              </w:rPr>
            </w:pPr>
          </w:p>
        </w:tc>
        <w:tc>
          <w:tcPr>
            <w:tcW w:w="400" w:type="pct"/>
            <w:shd w:val="clear" w:color="auto" w:fill="auto"/>
            <w:vAlign w:val="center"/>
          </w:tcPr>
          <w:p w14:paraId="0BC981BD" w14:textId="77777777" w:rsidR="009F0928" w:rsidRDefault="009F0928">
            <w:pPr>
              <w:rPr>
                <w:rFonts w:ascii="Times New Roman" w:hAnsi="Times New Roman"/>
                <w:sz w:val="20"/>
                <w:szCs w:val="20"/>
              </w:rPr>
            </w:pPr>
          </w:p>
        </w:tc>
        <w:tc>
          <w:tcPr>
            <w:tcW w:w="50" w:type="pct"/>
            <w:shd w:val="clear" w:color="auto" w:fill="auto"/>
            <w:vAlign w:val="center"/>
          </w:tcPr>
          <w:p w14:paraId="0BC981BE" w14:textId="77777777" w:rsidR="009F0928" w:rsidRDefault="009F0928">
            <w:pPr>
              <w:rPr>
                <w:rFonts w:ascii="Times New Roman" w:hAnsi="Times New Roman"/>
                <w:sz w:val="20"/>
                <w:szCs w:val="20"/>
              </w:rPr>
            </w:pPr>
          </w:p>
        </w:tc>
        <w:tc>
          <w:tcPr>
            <w:tcW w:w="50" w:type="pct"/>
            <w:shd w:val="clear" w:color="auto" w:fill="auto"/>
            <w:vAlign w:val="center"/>
          </w:tcPr>
          <w:p w14:paraId="0BC981BF" w14:textId="77777777" w:rsidR="009F0928" w:rsidRDefault="009F0928">
            <w:pPr>
              <w:rPr>
                <w:rFonts w:ascii="Times New Roman" w:hAnsi="Times New Roman"/>
                <w:sz w:val="20"/>
                <w:szCs w:val="20"/>
              </w:rPr>
            </w:pPr>
          </w:p>
        </w:tc>
        <w:tc>
          <w:tcPr>
            <w:tcW w:w="50" w:type="pct"/>
            <w:shd w:val="clear" w:color="auto" w:fill="auto"/>
            <w:vAlign w:val="center"/>
          </w:tcPr>
          <w:p w14:paraId="0BC981C0" w14:textId="77777777" w:rsidR="009F0928" w:rsidRDefault="009F0928">
            <w:pPr>
              <w:rPr>
                <w:rFonts w:ascii="Times New Roman" w:hAnsi="Times New Roman"/>
                <w:sz w:val="20"/>
                <w:szCs w:val="20"/>
              </w:rPr>
            </w:pPr>
          </w:p>
        </w:tc>
        <w:tc>
          <w:tcPr>
            <w:tcW w:w="400" w:type="pct"/>
            <w:shd w:val="clear" w:color="auto" w:fill="auto"/>
            <w:vAlign w:val="center"/>
          </w:tcPr>
          <w:p w14:paraId="0BC981C1" w14:textId="77777777" w:rsidR="009F0928" w:rsidRDefault="009F0928">
            <w:pPr>
              <w:rPr>
                <w:rFonts w:ascii="Times New Roman" w:hAnsi="Times New Roman"/>
                <w:sz w:val="20"/>
                <w:szCs w:val="20"/>
              </w:rPr>
            </w:pPr>
          </w:p>
        </w:tc>
        <w:tc>
          <w:tcPr>
            <w:tcW w:w="50" w:type="pct"/>
            <w:shd w:val="clear" w:color="auto" w:fill="auto"/>
            <w:vAlign w:val="center"/>
          </w:tcPr>
          <w:p w14:paraId="0BC981C2" w14:textId="77777777" w:rsidR="009F0928" w:rsidRDefault="009F0928">
            <w:pPr>
              <w:rPr>
                <w:rFonts w:ascii="Times New Roman" w:hAnsi="Times New Roman"/>
                <w:sz w:val="20"/>
                <w:szCs w:val="20"/>
              </w:rPr>
            </w:pPr>
          </w:p>
        </w:tc>
        <w:tc>
          <w:tcPr>
            <w:tcW w:w="50" w:type="pct"/>
            <w:shd w:val="clear" w:color="auto" w:fill="auto"/>
            <w:vAlign w:val="center"/>
          </w:tcPr>
          <w:p w14:paraId="0BC981C3" w14:textId="77777777" w:rsidR="009F0928" w:rsidRDefault="009F0928">
            <w:pPr>
              <w:rPr>
                <w:rFonts w:ascii="Times New Roman" w:hAnsi="Times New Roman"/>
                <w:sz w:val="20"/>
                <w:szCs w:val="20"/>
              </w:rPr>
            </w:pPr>
          </w:p>
        </w:tc>
        <w:tc>
          <w:tcPr>
            <w:tcW w:w="450" w:type="pct"/>
            <w:shd w:val="clear" w:color="auto" w:fill="auto"/>
            <w:vAlign w:val="center"/>
          </w:tcPr>
          <w:p w14:paraId="0BC981C4" w14:textId="77777777" w:rsidR="009F0928" w:rsidRDefault="009F0928">
            <w:pPr>
              <w:rPr>
                <w:rFonts w:ascii="Times New Roman" w:hAnsi="Times New Roman"/>
                <w:sz w:val="20"/>
                <w:szCs w:val="20"/>
              </w:rPr>
            </w:pPr>
          </w:p>
        </w:tc>
        <w:tc>
          <w:tcPr>
            <w:tcW w:w="50" w:type="pct"/>
            <w:shd w:val="clear" w:color="auto" w:fill="auto"/>
            <w:vAlign w:val="center"/>
          </w:tcPr>
          <w:p w14:paraId="0BC981C5" w14:textId="77777777" w:rsidR="009F0928" w:rsidRDefault="009F0928">
            <w:pPr>
              <w:rPr>
                <w:rFonts w:ascii="Times New Roman" w:hAnsi="Times New Roman"/>
                <w:sz w:val="20"/>
                <w:szCs w:val="20"/>
              </w:rPr>
            </w:pPr>
          </w:p>
        </w:tc>
        <w:tc>
          <w:tcPr>
            <w:tcW w:w="50" w:type="pct"/>
            <w:shd w:val="clear" w:color="auto" w:fill="auto"/>
            <w:vAlign w:val="center"/>
          </w:tcPr>
          <w:p w14:paraId="0BC981C6" w14:textId="77777777" w:rsidR="009F0928" w:rsidRDefault="009F0928">
            <w:pPr>
              <w:rPr>
                <w:rFonts w:ascii="Times New Roman" w:hAnsi="Times New Roman"/>
                <w:sz w:val="20"/>
                <w:szCs w:val="20"/>
              </w:rPr>
            </w:pPr>
          </w:p>
        </w:tc>
        <w:tc>
          <w:tcPr>
            <w:tcW w:w="450" w:type="pct"/>
            <w:shd w:val="clear" w:color="auto" w:fill="auto"/>
            <w:vAlign w:val="center"/>
          </w:tcPr>
          <w:p w14:paraId="0BC981C7" w14:textId="77777777" w:rsidR="009F0928" w:rsidRDefault="009F0928">
            <w:pPr>
              <w:rPr>
                <w:rFonts w:ascii="Times New Roman" w:hAnsi="Times New Roman"/>
                <w:sz w:val="20"/>
                <w:szCs w:val="20"/>
              </w:rPr>
            </w:pPr>
          </w:p>
        </w:tc>
        <w:tc>
          <w:tcPr>
            <w:tcW w:w="50" w:type="pct"/>
            <w:shd w:val="clear" w:color="auto" w:fill="auto"/>
            <w:vAlign w:val="center"/>
          </w:tcPr>
          <w:p w14:paraId="0BC981C8" w14:textId="77777777" w:rsidR="009F0928" w:rsidRDefault="009F0928">
            <w:pPr>
              <w:rPr>
                <w:rFonts w:ascii="Times New Roman" w:hAnsi="Times New Roman"/>
                <w:sz w:val="20"/>
                <w:szCs w:val="20"/>
              </w:rPr>
            </w:pPr>
          </w:p>
        </w:tc>
        <w:tc>
          <w:tcPr>
            <w:tcW w:w="50" w:type="pct"/>
            <w:shd w:val="clear" w:color="auto" w:fill="auto"/>
            <w:vAlign w:val="center"/>
          </w:tcPr>
          <w:p w14:paraId="0BC981C9" w14:textId="77777777" w:rsidR="009F0928" w:rsidRDefault="009F0928">
            <w:pPr>
              <w:rPr>
                <w:rFonts w:ascii="Times New Roman" w:hAnsi="Times New Roman"/>
                <w:sz w:val="20"/>
                <w:szCs w:val="20"/>
              </w:rPr>
            </w:pPr>
          </w:p>
        </w:tc>
        <w:tc>
          <w:tcPr>
            <w:tcW w:w="50" w:type="pct"/>
            <w:shd w:val="clear" w:color="auto" w:fill="auto"/>
            <w:vAlign w:val="center"/>
          </w:tcPr>
          <w:p w14:paraId="0BC981CA" w14:textId="77777777" w:rsidR="009F0928" w:rsidRDefault="009F0928">
            <w:pPr>
              <w:rPr>
                <w:rFonts w:ascii="Times New Roman" w:hAnsi="Times New Roman"/>
                <w:sz w:val="20"/>
                <w:szCs w:val="20"/>
              </w:rPr>
            </w:pPr>
          </w:p>
        </w:tc>
        <w:tc>
          <w:tcPr>
            <w:tcW w:w="400" w:type="pct"/>
            <w:shd w:val="clear" w:color="auto" w:fill="auto"/>
            <w:vAlign w:val="center"/>
          </w:tcPr>
          <w:p w14:paraId="0BC981CB" w14:textId="77777777" w:rsidR="009F0928" w:rsidRDefault="009F0928">
            <w:pPr>
              <w:rPr>
                <w:rFonts w:ascii="Times New Roman" w:hAnsi="Times New Roman"/>
                <w:sz w:val="20"/>
                <w:szCs w:val="20"/>
              </w:rPr>
            </w:pPr>
          </w:p>
        </w:tc>
        <w:tc>
          <w:tcPr>
            <w:tcW w:w="50" w:type="pct"/>
            <w:shd w:val="clear" w:color="auto" w:fill="auto"/>
            <w:vAlign w:val="center"/>
          </w:tcPr>
          <w:p w14:paraId="0BC981CC" w14:textId="77777777" w:rsidR="009F0928" w:rsidRDefault="009F0928">
            <w:pPr>
              <w:rPr>
                <w:rFonts w:ascii="Times New Roman" w:hAnsi="Times New Roman"/>
                <w:sz w:val="20"/>
                <w:szCs w:val="20"/>
              </w:rPr>
            </w:pPr>
          </w:p>
        </w:tc>
        <w:tc>
          <w:tcPr>
            <w:tcW w:w="50" w:type="pct"/>
            <w:shd w:val="clear" w:color="auto" w:fill="auto"/>
            <w:vAlign w:val="center"/>
          </w:tcPr>
          <w:p w14:paraId="0BC981CD" w14:textId="77777777" w:rsidR="009F0928" w:rsidRDefault="009F0928">
            <w:pPr>
              <w:rPr>
                <w:rFonts w:ascii="Times New Roman" w:hAnsi="Times New Roman"/>
                <w:sz w:val="20"/>
                <w:szCs w:val="20"/>
              </w:rPr>
            </w:pPr>
          </w:p>
        </w:tc>
        <w:tc>
          <w:tcPr>
            <w:tcW w:w="50" w:type="pct"/>
            <w:shd w:val="clear" w:color="auto" w:fill="auto"/>
            <w:vAlign w:val="center"/>
          </w:tcPr>
          <w:p w14:paraId="0BC981CE" w14:textId="77777777" w:rsidR="009F0928" w:rsidRDefault="009F0928">
            <w:pPr>
              <w:rPr>
                <w:rFonts w:ascii="Times New Roman" w:hAnsi="Times New Roman"/>
                <w:sz w:val="20"/>
                <w:szCs w:val="20"/>
              </w:rPr>
            </w:pPr>
          </w:p>
        </w:tc>
        <w:tc>
          <w:tcPr>
            <w:tcW w:w="400" w:type="pct"/>
            <w:shd w:val="clear" w:color="auto" w:fill="auto"/>
            <w:vAlign w:val="center"/>
          </w:tcPr>
          <w:p w14:paraId="0BC981CF" w14:textId="77777777" w:rsidR="009F0928" w:rsidRDefault="009F0928">
            <w:pPr>
              <w:rPr>
                <w:rFonts w:ascii="Times New Roman" w:hAnsi="Times New Roman"/>
                <w:sz w:val="20"/>
                <w:szCs w:val="20"/>
              </w:rPr>
            </w:pPr>
          </w:p>
        </w:tc>
        <w:tc>
          <w:tcPr>
            <w:tcW w:w="50" w:type="pct"/>
            <w:shd w:val="clear" w:color="auto" w:fill="auto"/>
            <w:vAlign w:val="center"/>
          </w:tcPr>
          <w:p w14:paraId="0BC981D0" w14:textId="77777777" w:rsidR="009F0928" w:rsidRDefault="009F0928">
            <w:pPr>
              <w:rPr>
                <w:rFonts w:ascii="Times New Roman" w:hAnsi="Times New Roman"/>
                <w:sz w:val="20"/>
                <w:szCs w:val="20"/>
              </w:rPr>
            </w:pPr>
          </w:p>
        </w:tc>
        <w:tc>
          <w:tcPr>
            <w:tcW w:w="50" w:type="pct"/>
            <w:shd w:val="clear" w:color="auto" w:fill="auto"/>
            <w:vAlign w:val="center"/>
          </w:tcPr>
          <w:p w14:paraId="0BC981D1" w14:textId="77777777" w:rsidR="009F0928" w:rsidRDefault="009F0928">
            <w:pPr>
              <w:rPr>
                <w:rFonts w:ascii="Times New Roman" w:hAnsi="Times New Roman"/>
                <w:sz w:val="20"/>
                <w:szCs w:val="20"/>
              </w:rPr>
            </w:pPr>
          </w:p>
        </w:tc>
        <w:tc>
          <w:tcPr>
            <w:tcW w:w="450" w:type="pct"/>
            <w:shd w:val="clear" w:color="auto" w:fill="auto"/>
            <w:vAlign w:val="center"/>
          </w:tcPr>
          <w:p w14:paraId="0BC981D2" w14:textId="77777777" w:rsidR="009F0928" w:rsidRDefault="009F0928">
            <w:pPr>
              <w:rPr>
                <w:rFonts w:ascii="Times New Roman" w:hAnsi="Times New Roman"/>
                <w:sz w:val="20"/>
                <w:szCs w:val="20"/>
              </w:rPr>
            </w:pPr>
          </w:p>
        </w:tc>
        <w:tc>
          <w:tcPr>
            <w:tcW w:w="50" w:type="pct"/>
            <w:shd w:val="clear" w:color="auto" w:fill="auto"/>
            <w:vAlign w:val="center"/>
          </w:tcPr>
          <w:p w14:paraId="0BC981D3" w14:textId="77777777" w:rsidR="009F0928" w:rsidRDefault="009F0928">
            <w:pPr>
              <w:rPr>
                <w:rFonts w:ascii="Times New Roman" w:hAnsi="Times New Roman"/>
                <w:sz w:val="20"/>
                <w:szCs w:val="20"/>
              </w:rPr>
            </w:pPr>
          </w:p>
        </w:tc>
        <w:tc>
          <w:tcPr>
            <w:tcW w:w="50" w:type="pct"/>
            <w:shd w:val="clear" w:color="auto" w:fill="auto"/>
            <w:vAlign w:val="center"/>
          </w:tcPr>
          <w:p w14:paraId="0BC981D4" w14:textId="77777777" w:rsidR="009F0928" w:rsidRDefault="009F0928">
            <w:pPr>
              <w:rPr>
                <w:rFonts w:ascii="Times New Roman" w:hAnsi="Times New Roman"/>
                <w:sz w:val="20"/>
                <w:szCs w:val="20"/>
              </w:rPr>
            </w:pPr>
          </w:p>
        </w:tc>
        <w:tc>
          <w:tcPr>
            <w:tcW w:w="450" w:type="pct"/>
            <w:shd w:val="clear" w:color="auto" w:fill="auto"/>
            <w:vAlign w:val="center"/>
          </w:tcPr>
          <w:p w14:paraId="0BC981D5" w14:textId="77777777" w:rsidR="009F0928" w:rsidRDefault="009F0928">
            <w:pPr>
              <w:rPr>
                <w:rFonts w:ascii="Times New Roman" w:hAnsi="Times New Roman"/>
                <w:sz w:val="20"/>
                <w:szCs w:val="20"/>
              </w:rPr>
            </w:pPr>
          </w:p>
        </w:tc>
        <w:tc>
          <w:tcPr>
            <w:tcW w:w="50" w:type="pct"/>
            <w:shd w:val="clear" w:color="auto" w:fill="auto"/>
            <w:vAlign w:val="center"/>
          </w:tcPr>
          <w:p w14:paraId="0BC981D6" w14:textId="77777777" w:rsidR="009F0928" w:rsidRDefault="009F0928">
            <w:pPr>
              <w:rPr>
                <w:rFonts w:ascii="Times New Roman" w:hAnsi="Times New Roman"/>
                <w:sz w:val="20"/>
                <w:szCs w:val="20"/>
              </w:rPr>
            </w:pPr>
          </w:p>
        </w:tc>
      </w:tr>
      <w:tr w:rsidR="009F0928" w14:paraId="0BC981E0" w14:textId="77777777">
        <w:trPr>
          <w:jc w:val="center"/>
        </w:trPr>
        <w:tc>
          <w:tcPr>
            <w:tcW w:w="0" w:type="auto"/>
            <w:shd w:val="clear" w:color="auto" w:fill="auto"/>
            <w:tcMar>
              <w:top w:w="40" w:type="dxa"/>
              <w:left w:w="40" w:type="dxa"/>
              <w:bottom w:w="40" w:type="dxa"/>
              <w:right w:w="40" w:type="dxa"/>
            </w:tcMar>
            <w:vAlign w:val="bottom"/>
          </w:tcPr>
          <w:p w14:paraId="0BC981D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BC981D9"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Year Ended December 31,</w:t>
            </w:r>
          </w:p>
        </w:tc>
        <w:tc>
          <w:tcPr>
            <w:tcW w:w="0" w:type="auto"/>
            <w:shd w:val="clear" w:color="auto" w:fill="auto"/>
            <w:tcMar>
              <w:top w:w="40" w:type="dxa"/>
              <w:left w:w="40" w:type="dxa"/>
              <w:bottom w:w="40" w:type="dxa"/>
              <w:right w:w="40" w:type="dxa"/>
            </w:tcMar>
            <w:vAlign w:val="bottom"/>
          </w:tcPr>
          <w:p w14:paraId="0BC981D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0BC981DB"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Change</w:t>
            </w:r>
          </w:p>
        </w:tc>
        <w:tc>
          <w:tcPr>
            <w:tcW w:w="0" w:type="auto"/>
            <w:shd w:val="clear" w:color="auto" w:fill="auto"/>
            <w:tcMar>
              <w:top w:w="40" w:type="dxa"/>
              <w:left w:w="40" w:type="dxa"/>
              <w:bottom w:w="40" w:type="dxa"/>
              <w:right w:w="40" w:type="dxa"/>
            </w:tcMar>
            <w:vAlign w:val="bottom"/>
          </w:tcPr>
          <w:p w14:paraId="0BC981D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BC981DD"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Year Ended December 31,</w:t>
            </w:r>
          </w:p>
        </w:tc>
        <w:tc>
          <w:tcPr>
            <w:tcW w:w="0" w:type="auto"/>
            <w:shd w:val="clear" w:color="auto" w:fill="auto"/>
            <w:tcMar>
              <w:top w:w="40" w:type="dxa"/>
              <w:left w:w="40" w:type="dxa"/>
              <w:bottom w:w="40" w:type="dxa"/>
              <w:right w:w="40" w:type="dxa"/>
            </w:tcMar>
            <w:vAlign w:val="bottom"/>
          </w:tcPr>
          <w:p w14:paraId="0BC981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0BC981DF"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Change</w:t>
            </w:r>
          </w:p>
        </w:tc>
      </w:tr>
      <w:tr w:rsidR="009F0928" w14:paraId="0BC981F1" w14:textId="77777777">
        <w:trPr>
          <w:jc w:val="center"/>
        </w:trPr>
        <w:tc>
          <w:tcPr>
            <w:tcW w:w="0" w:type="auto"/>
            <w:shd w:val="clear" w:color="auto" w:fill="auto"/>
            <w:tcMar>
              <w:top w:w="40" w:type="dxa"/>
              <w:left w:w="40" w:type="dxa"/>
              <w:bottom w:w="40" w:type="dxa"/>
              <w:right w:w="40" w:type="dxa"/>
            </w:tcMar>
            <w:vAlign w:val="center"/>
          </w:tcPr>
          <w:p w14:paraId="0BC981E1" w14:textId="77777777" w:rsidR="009F0928" w:rsidRDefault="002112BD">
            <w:pPr>
              <w:textAlignment w:val="center"/>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1E2"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0BC981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1E4"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0BC981E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1E6"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As Reported</w:t>
            </w:r>
          </w:p>
        </w:tc>
        <w:tc>
          <w:tcPr>
            <w:tcW w:w="0" w:type="auto"/>
            <w:shd w:val="clear" w:color="auto" w:fill="auto"/>
            <w:tcMar>
              <w:top w:w="40" w:type="dxa"/>
              <w:left w:w="40" w:type="dxa"/>
              <w:bottom w:w="40" w:type="dxa"/>
              <w:right w:w="40" w:type="dxa"/>
            </w:tcMar>
            <w:vAlign w:val="bottom"/>
          </w:tcPr>
          <w:p w14:paraId="0BC981E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1E8"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FX-Neutral</w:t>
            </w:r>
          </w:p>
        </w:tc>
        <w:tc>
          <w:tcPr>
            <w:tcW w:w="0" w:type="auto"/>
            <w:shd w:val="clear" w:color="auto" w:fill="auto"/>
            <w:tcMar>
              <w:top w:w="40" w:type="dxa"/>
              <w:left w:w="40" w:type="dxa"/>
              <w:bottom w:w="40" w:type="dxa"/>
              <w:right w:w="40" w:type="dxa"/>
            </w:tcMar>
            <w:vAlign w:val="bottom"/>
          </w:tcPr>
          <w:p w14:paraId="0BC981E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1EA"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0BC981E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1EC"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2017</w:t>
            </w:r>
          </w:p>
        </w:tc>
        <w:tc>
          <w:tcPr>
            <w:tcW w:w="0" w:type="auto"/>
            <w:shd w:val="clear" w:color="auto" w:fill="auto"/>
            <w:tcMar>
              <w:top w:w="40" w:type="dxa"/>
              <w:left w:w="40" w:type="dxa"/>
              <w:bottom w:w="40" w:type="dxa"/>
              <w:right w:w="40" w:type="dxa"/>
            </w:tcMar>
            <w:vAlign w:val="bottom"/>
          </w:tcPr>
          <w:p w14:paraId="0BC981E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1EE"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As Reported</w:t>
            </w:r>
          </w:p>
        </w:tc>
        <w:tc>
          <w:tcPr>
            <w:tcW w:w="0" w:type="auto"/>
            <w:shd w:val="clear" w:color="auto" w:fill="auto"/>
            <w:tcMar>
              <w:top w:w="40" w:type="dxa"/>
              <w:left w:w="40" w:type="dxa"/>
              <w:bottom w:w="40" w:type="dxa"/>
              <w:right w:w="40" w:type="dxa"/>
            </w:tcMar>
            <w:vAlign w:val="bottom"/>
          </w:tcPr>
          <w:p w14:paraId="0BC981E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1F0"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FX-Neutral</w:t>
            </w:r>
          </w:p>
        </w:tc>
      </w:tr>
      <w:tr w:rsidR="009F0928" w14:paraId="0BC9820E" w14:textId="77777777">
        <w:trPr>
          <w:jc w:val="center"/>
        </w:trPr>
        <w:tc>
          <w:tcPr>
            <w:tcW w:w="0" w:type="auto"/>
            <w:shd w:val="clear" w:color="auto" w:fill="auto"/>
            <w:tcMar>
              <w:top w:w="40" w:type="dxa"/>
              <w:left w:w="240" w:type="dxa"/>
              <w:bottom w:w="40" w:type="dxa"/>
              <w:right w:w="40" w:type="dxa"/>
            </w:tcMar>
            <w:vAlign w:val="bottom"/>
          </w:tcPr>
          <w:p w14:paraId="0BC981F2" w14:textId="77777777" w:rsidR="009F0928" w:rsidRDefault="002112BD">
            <w:pPr>
              <w:textAlignment w:val="bottom"/>
              <w:rPr>
                <w:rFonts w:ascii="Times New Roman" w:hAnsi="Times New Roman"/>
                <w:sz w:val="16"/>
                <w:szCs w:val="16"/>
              </w:rPr>
            </w:pPr>
            <w:r>
              <w:rPr>
                <w:rFonts w:ascii="Arial" w:eastAsia="宋体" w:hAnsi="Arial" w:cs="Arial"/>
                <w:sz w:val="16"/>
                <w:szCs w:val="16"/>
              </w:rPr>
              <w:t xml:space="preserve">Marketplace </w:t>
            </w:r>
          </w:p>
        </w:tc>
        <w:tc>
          <w:tcPr>
            <w:tcW w:w="0" w:type="auto"/>
            <w:shd w:val="clear" w:color="auto" w:fill="auto"/>
            <w:tcMar>
              <w:top w:w="40" w:type="dxa"/>
              <w:left w:w="40" w:type="dxa"/>
              <w:bottom w:w="40" w:type="dxa"/>
            </w:tcMar>
            <w:vAlign w:val="bottom"/>
          </w:tcPr>
          <w:p w14:paraId="0BC981F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1F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1,060</w:t>
            </w:r>
          </w:p>
        </w:tc>
        <w:tc>
          <w:tcPr>
            <w:tcW w:w="0" w:type="auto"/>
            <w:shd w:val="clear" w:color="auto" w:fill="auto"/>
            <w:vAlign w:val="bottom"/>
          </w:tcPr>
          <w:p w14:paraId="0BC981F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1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1F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1F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1,225</w:t>
            </w:r>
          </w:p>
        </w:tc>
        <w:tc>
          <w:tcPr>
            <w:tcW w:w="0" w:type="auto"/>
            <w:shd w:val="clear" w:color="auto" w:fill="auto"/>
            <w:vAlign w:val="bottom"/>
          </w:tcPr>
          <w:p w14:paraId="0BC981F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1F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1F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(13</w:t>
            </w:r>
          </w:p>
        </w:tc>
        <w:tc>
          <w:tcPr>
            <w:tcW w:w="0" w:type="auto"/>
            <w:shd w:val="clear" w:color="auto" w:fill="auto"/>
            <w:tcMar>
              <w:top w:w="40" w:type="dxa"/>
              <w:bottom w:w="40" w:type="dxa"/>
              <w:right w:w="40" w:type="dxa"/>
            </w:tcMar>
            <w:vAlign w:val="bottom"/>
          </w:tcPr>
          <w:p w14:paraId="0BC981FC"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1F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1F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(11</w:t>
            </w:r>
          </w:p>
        </w:tc>
        <w:tc>
          <w:tcPr>
            <w:tcW w:w="0" w:type="auto"/>
            <w:shd w:val="clear" w:color="auto" w:fill="auto"/>
            <w:tcMar>
              <w:top w:w="40" w:type="dxa"/>
              <w:bottom w:w="40" w:type="dxa"/>
              <w:right w:w="40" w:type="dxa"/>
            </w:tcMar>
            <w:vAlign w:val="bottom"/>
          </w:tcPr>
          <w:p w14:paraId="0BC981F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2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201"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20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1,225</w:t>
            </w:r>
          </w:p>
        </w:tc>
        <w:tc>
          <w:tcPr>
            <w:tcW w:w="0" w:type="auto"/>
            <w:shd w:val="clear" w:color="auto" w:fill="auto"/>
            <w:vAlign w:val="bottom"/>
          </w:tcPr>
          <w:p w14:paraId="0BC9820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2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20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20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1,192</w:t>
            </w:r>
          </w:p>
        </w:tc>
        <w:tc>
          <w:tcPr>
            <w:tcW w:w="0" w:type="auto"/>
            <w:shd w:val="clear" w:color="auto" w:fill="auto"/>
            <w:vAlign w:val="bottom"/>
          </w:tcPr>
          <w:p w14:paraId="0BC9820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20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20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w:t>
            </w:r>
          </w:p>
        </w:tc>
        <w:tc>
          <w:tcPr>
            <w:tcW w:w="0" w:type="auto"/>
            <w:shd w:val="clear" w:color="auto" w:fill="auto"/>
            <w:tcMar>
              <w:top w:w="40" w:type="dxa"/>
              <w:bottom w:w="40" w:type="dxa"/>
              <w:right w:w="40" w:type="dxa"/>
            </w:tcMar>
            <w:vAlign w:val="bottom"/>
          </w:tcPr>
          <w:p w14:paraId="0BC9820A"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820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20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auto"/>
            <w:tcMar>
              <w:top w:w="40" w:type="dxa"/>
              <w:bottom w:w="40" w:type="dxa"/>
              <w:right w:w="40" w:type="dxa"/>
            </w:tcMar>
            <w:vAlign w:val="bottom"/>
          </w:tcPr>
          <w:p w14:paraId="0BC9820D"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r>
      <w:tr w:rsidR="009F0928" w14:paraId="0BC98227" w14:textId="77777777">
        <w:trPr>
          <w:jc w:val="center"/>
        </w:trPr>
        <w:tc>
          <w:tcPr>
            <w:tcW w:w="0" w:type="auto"/>
            <w:shd w:val="clear" w:color="auto" w:fill="E2E2E2"/>
            <w:tcMar>
              <w:top w:w="40" w:type="dxa"/>
              <w:left w:w="240" w:type="dxa"/>
              <w:bottom w:w="40" w:type="dxa"/>
              <w:right w:w="40" w:type="dxa"/>
            </w:tcMar>
            <w:vAlign w:val="bottom"/>
          </w:tcPr>
          <w:p w14:paraId="0BC9820F" w14:textId="77777777" w:rsidR="009F0928" w:rsidRDefault="002112BD">
            <w:pPr>
              <w:textAlignment w:val="bottom"/>
              <w:rPr>
                <w:rFonts w:ascii="Times New Roman" w:hAnsi="Times New Roman"/>
                <w:sz w:val="16"/>
                <w:szCs w:val="16"/>
              </w:rPr>
            </w:pPr>
            <w:r>
              <w:rPr>
                <w:rFonts w:ascii="Arial" w:eastAsia="宋体" w:hAnsi="Arial" w:cs="Arial"/>
                <w:sz w:val="16"/>
                <w:szCs w:val="16"/>
              </w:rPr>
              <w:t>Classifieds</w:t>
            </w:r>
          </w:p>
        </w:tc>
        <w:tc>
          <w:tcPr>
            <w:tcW w:w="0" w:type="auto"/>
            <w:gridSpan w:val="2"/>
            <w:shd w:val="clear" w:color="auto" w:fill="E2E2E2"/>
            <w:tcMar>
              <w:top w:w="40" w:type="dxa"/>
              <w:left w:w="40" w:type="dxa"/>
              <w:bottom w:w="40" w:type="dxa"/>
            </w:tcMar>
            <w:vAlign w:val="bottom"/>
          </w:tcPr>
          <w:p w14:paraId="0BC9821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1,061</w:t>
            </w:r>
          </w:p>
        </w:tc>
        <w:tc>
          <w:tcPr>
            <w:tcW w:w="0" w:type="auto"/>
            <w:shd w:val="clear" w:color="auto" w:fill="E2E2E2"/>
            <w:vAlign w:val="bottom"/>
          </w:tcPr>
          <w:p w14:paraId="0BC9821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21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213"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1,022</w:t>
            </w:r>
          </w:p>
        </w:tc>
        <w:tc>
          <w:tcPr>
            <w:tcW w:w="0" w:type="auto"/>
            <w:shd w:val="clear" w:color="auto" w:fill="E2E2E2"/>
            <w:vAlign w:val="bottom"/>
          </w:tcPr>
          <w:p w14:paraId="0BC9821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21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21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w:t>
            </w:r>
          </w:p>
        </w:tc>
        <w:tc>
          <w:tcPr>
            <w:tcW w:w="0" w:type="auto"/>
            <w:shd w:val="clear" w:color="auto" w:fill="E2E2E2"/>
            <w:tcMar>
              <w:top w:w="40" w:type="dxa"/>
              <w:bottom w:w="40" w:type="dxa"/>
              <w:right w:w="40" w:type="dxa"/>
            </w:tcMar>
            <w:vAlign w:val="bottom"/>
          </w:tcPr>
          <w:p w14:paraId="0BC98217"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82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21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w:t>
            </w:r>
          </w:p>
        </w:tc>
        <w:tc>
          <w:tcPr>
            <w:tcW w:w="0" w:type="auto"/>
            <w:shd w:val="clear" w:color="auto" w:fill="E2E2E2"/>
            <w:tcMar>
              <w:top w:w="40" w:type="dxa"/>
              <w:bottom w:w="40" w:type="dxa"/>
              <w:right w:w="40" w:type="dxa"/>
            </w:tcMar>
            <w:vAlign w:val="bottom"/>
          </w:tcPr>
          <w:p w14:paraId="0BC9821A"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821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21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1,022</w:t>
            </w:r>
          </w:p>
        </w:tc>
        <w:tc>
          <w:tcPr>
            <w:tcW w:w="0" w:type="auto"/>
            <w:shd w:val="clear" w:color="auto" w:fill="E2E2E2"/>
            <w:vAlign w:val="bottom"/>
          </w:tcPr>
          <w:p w14:paraId="0BC9821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2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21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897</w:t>
            </w:r>
          </w:p>
        </w:tc>
        <w:tc>
          <w:tcPr>
            <w:tcW w:w="0" w:type="auto"/>
            <w:shd w:val="clear" w:color="auto" w:fill="E2E2E2"/>
            <w:vAlign w:val="bottom"/>
          </w:tcPr>
          <w:p w14:paraId="0BC9822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22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22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14</w:t>
            </w:r>
          </w:p>
        </w:tc>
        <w:tc>
          <w:tcPr>
            <w:tcW w:w="0" w:type="auto"/>
            <w:shd w:val="clear" w:color="auto" w:fill="E2E2E2"/>
            <w:tcMar>
              <w:top w:w="40" w:type="dxa"/>
              <w:bottom w:w="40" w:type="dxa"/>
              <w:right w:w="40" w:type="dxa"/>
            </w:tcMar>
            <w:vAlign w:val="bottom"/>
          </w:tcPr>
          <w:p w14:paraId="0BC98223"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822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22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w:t>
            </w:r>
          </w:p>
        </w:tc>
        <w:tc>
          <w:tcPr>
            <w:tcW w:w="0" w:type="auto"/>
            <w:shd w:val="clear" w:color="auto" w:fill="E2E2E2"/>
            <w:tcMar>
              <w:top w:w="40" w:type="dxa"/>
              <w:bottom w:w="40" w:type="dxa"/>
              <w:right w:w="40" w:type="dxa"/>
            </w:tcMar>
            <w:vAlign w:val="bottom"/>
          </w:tcPr>
          <w:p w14:paraId="0BC98226"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r>
      <w:tr w:rsidR="009F0928" w14:paraId="0BC98240" w14:textId="77777777">
        <w:trPr>
          <w:jc w:val="center"/>
        </w:trPr>
        <w:tc>
          <w:tcPr>
            <w:tcW w:w="0" w:type="auto"/>
            <w:shd w:val="clear" w:color="auto" w:fill="auto"/>
            <w:tcMar>
              <w:top w:w="40" w:type="dxa"/>
              <w:left w:w="240" w:type="dxa"/>
              <w:bottom w:w="40" w:type="dxa"/>
              <w:right w:w="40" w:type="dxa"/>
            </w:tcMar>
            <w:vAlign w:val="bottom"/>
          </w:tcPr>
          <w:p w14:paraId="0BC98228" w14:textId="77777777" w:rsidR="009F0928" w:rsidRDefault="002112BD">
            <w:pPr>
              <w:textAlignment w:val="bottom"/>
              <w:rPr>
                <w:rFonts w:ascii="Times New Roman" w:hAnsi="Times New Roman"/>
                <w:sz w:val="16"/>
                <w:szCs w:val="16"/>
              </w:rPr>
            </w:pPr>
            <w:r>
              <w:rPr>
                <w:rFonts w:ascii="Arial" w:eastAsia="宋体" w:hAnsi="Arial" w:cs="Arial"/>
                <w:sz w:val="16"/>
                <w:szCs w:val="16"/>
              </w:rPr>
              <w:t>StubHub</w:t>
            </w:r>
          </w:p>
        </w:tc>
        <w:tc>
          <w:tcPr>
            <w:tcW w:w="0" w:type="auto"/>
            <w:gridSpan w:val="2"/>
            <w:shd w:val="clear" w:color="auto" w:fill="auto"/>
            <w:tcMar>
              <w:top w:w="40" w:type="dxa"/>
              <w:left w:w="40" w:type="dxa"/>
              <w:bottom w:w="40" w:type="dxa"/>
            </w:tcMar>
            <w:vAlign w:val="bottom"/>
          </w:tcPr>
          <w:p w14:paraId="0BC9822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64</w:t>
            </w:r>
          </w:p>
        </w:tc>
        <w:tc>
          <w:tcPr>
            <w:tcW w:w="0" w:type="auto"/>
            <w:shd w:val="clear" w:color="auto" w:fill="auto"/>
            <w:vAlign w:val="bottom"/>
          </w:tcPr>
          <w:p w14:paraId="0BC9822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22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22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15</w:t>
            </w:r>
          </w:p>
        </w:tc>
        <w:tc>
          <w:tcPr>
            <w:tcW w:w="0" w:type="auto"/>
            <w:shd w:val="clear" w:color="auto" w:fill="auto"/>
            <w:vAlign w:val="bottom"/>
          </w:tcPr>
          <w:p w14:paraId="0BC9822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22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22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0BC9823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23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23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0BC9823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23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23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15</w:t>
            </w:r>
          </w:p>
        </w:tc>
        <w:tc>
          <w:tcPr>
            <w:tcW w:w="0" w:type="auto"/>
            <w:shd w:val="clear" w:color="auto" w:fill="auto"/>
            <w:vAlign w:val="bottom"/>
          </w:tcPr>
          <w:p w14:paraId="0BC9823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2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23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18</w:t>
            </w:r>
          </w:p>
        </w:tc>
        <w:tc>
          <w:tcPr>
            <w:tcW w:w="0" w:type="auto"/>
            <w:shd w:val="clear" w:color="auto" w:fill="auto"/>
            <w:vAlign w:val="bottom"/>
          </w:tcPr>
          <w:p w14:paraId="0BC9823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2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23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(17</w:t>
            </w:r>
          </w:p>
        </w:tc>
        <w:tc>
          <w:tcPr>
            <w:tcW w:w="0" w:type="auto"/>
            <w:shd w:val="clear" w:color="auto" w:fill="auto"/>
            <w:tcMar>
              <w:top w:w="40" w:type="dxa"/>
              <w:bottom w:w="40" w:type="dxa"/>
              <w:right w:w="40" w:type="dxa"/>
            </w:tcMar>
            <w:vAlign w:val="bottom"/>
          </w:tcPr>
          <w:p w14:paraId="0BC9823C"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2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23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(18</w:t>
            </w:r>
          </w:p>
        </w:tc>
        <w:tc>
          <w:tcPr>
            <w:tcW w:w="0" w:type="auto"/>
            <w:shd w:val="clear" w:color="auto" w:fill="auto"/>
            <w:tcMar>
              <w:top w:w="40" w:type="dxa"/>
              <w:bottom w:w="40" w:type="dxa"/>
              <w:right w:w="40" w:type="dxa"/>
            </w:tcMar>
            <w:vAlign w:val="bottom"/>
          </w:tcPr>
          <w:p w14:paraId="0BC9823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2112BD" w14:paraId="0BC9825D" w14:textId="77777777">
        <w:trPr>
          <w:jc w:val="center"/>
        </w:trPr>
        <w:tc>
          <w:tcPr>
            <w:tcW w:w="0" w:type="auto"/>
            <w:shd w:val="clear" w:color="auto" w:fill="E2E2E2"/>
            <w:tcMar>
              <w:top w:w="40" w:type="dxa"/>
              <w:left w:w="400" w:type="dxa"/>
              <w:bottom w:w="40" w:type="dxa"/>
              <w:right w:w="40" w:type="dxa"/>
            </w:tcMar>
            <w:vAlign w:val="bottom"/>
          </w:tcPr>
          <w:p w14:paraId="0BC98241" w14:textId="77777777" w:rsidR="009F0928" w:rsidRDefault="002112BD">
            <w:pPr>
              <w:textAlignment w:val="bottom"/>
              <w:rPr>
                <w:rFonts w:ascii="Times New Roman" w:hAnsi="Times New Roman"/>
                <w:sz w:val="16"/>
                <w:szCs w:val="16"/>
              </w:rPr>
            </w:pPr>
            <w:r>
              <w:rPr>
                <w:rFonts w:ascii="Arial" w:eastAsia="宋体" w:hAnsi="Arial" w:cs="Arial"/>
                <w:sz w:val="16"/>
                <w:szCs w:val="16"/>
              </w:rPr>
              <w:t>Elimination of inter-segment net revenues</w:t>
            </w:r>
          </w:p>
        </w:tc>
        <w:tc>
          <w:tcPr>
            <w:tcW w:w="0" w:type="auto"/>
            <w:tcBorders>
              <w:bottom w:val="single" w:sz="8" w:space="0" w:color="000000"/>
            </w:tcBorders>
            <w:shd w:val="clear" w:color="auto" w:fill="E2E2E2"/>
            <w:tcMar>
              <w:top w:w="40" w:type="dxa"/>
              <w:left w:w="40" w:type="dxa"/>
              <w:bottom w:w="40" w:type="dxa"/>
            </w:tcMar>
            <w:vAlign w:val="bottom"/>
          </w:tcPr>
          <w:p w14:paraId="0BC98242"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E2E2E2"/>
            <w:tcMar>
              <w:top w:w="40" w:type="dxa"/>
              <w:bottom w:w="40" w:type="dxa"/>
            </w:tcMar>
            <w:vAlign w:val="bottom"/>
          </w:tcPr>
          <w:p w14:paraId="0BC98243"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(20</w:t>
            </w:r>
          </w:p>
        </w:tc>
        <w:tc>
          <w:tcPr>
            <w:tcW w:w="0" w:type="auto"/>
            <w:tcBorders>
              <w:bottom w:val="single" w:sz="8" w:space="0" w:color="000000"/>
            </w:tcBorders>
            <w:shd w:val="clear" w:color="auto" w:fill="E2E2E2"/>
            <w:tcMar>
              <w:top w:w="40" w:type="dxa"/>
              <w:bottom w:w="40" w:type="dxa"/>
              <w:right w:w="40" w:type="dxa"/>
            </w:tcMar>
            <w:vAlign w:val="bottom"/>
          </w:tcPr>
          <w:p w14:paraId="0BC98244"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24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E2E2E2"/>
            <w:tcMar>
              <w:top w:w="40" w:type="dxa"/>
              <w:left w:w="40" w:type="dxa"/>
              <w:bottom w:w="40" w:type="dxa"/>
            </w:tcMar>
            <w:vAlign w:val="bottom"/>
          </w:tcPr>
          <w:p w14:paraId="0BC98246"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E2E2E2"/>
            <w:tcMar>
              <w:top w:w="40" w:type="dxa"/>
              <w:bottom w:w="40" w:type="dxa"/>
            </w:tcMar>
            <w:vAlign w:val="bottom"/>
          </w:tcPr>
          <w:p w14:paraId="0BC9824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E2E2E2"/>
            <w:vAlign w:val="bottom"/>
          </w:tcPr>
          <w:p w14:paraId="0BC9824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24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24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vAlign w:val="bottom"/>
          </w:tcPr>
          <w:p w14:paraId="0BC9824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24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24D"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vAlign w:val="bottom"/>
          </w:tcPr>
          <w:p w14:paraId="0BC9824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24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E2E2E2"/>
            <w:tcMar>
              <w:top w:w="40" w:type="dxa"/>
              <w:left w:w="40" w:type="dxa"/>
              <w:bottom w:w="40" w:type="dxa"/>
            </w:tcMar>
            <w:vAlign w:val="bottom"/>
          </w:tcPr>
          <w:p w14:paraId="0BC98250"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E2E2E2"/>
            <w:tcMar>
              <w:top w:w="40" w:type="dxa"/>
              <w:bottom w:w="40" w:type="dxa"/>
            </w:tcMar>
            <w:vAlign w:val="bottom"/>
          </w:tcPr>
          <w:p w14:paraId="0BC9825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E2E2E2"/>
            <w:vAlign w:val="bottom"/>
          </w:tcPr>
          <w:p w14:paraId="0BC9825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25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E2E2E2"/>
            <w:tcMar>
              <w:top w:w="40" w:type="dxa"/>
              <w:left w:w="40" w:type="dxa"/>
              <w:bottom w:w="40" w:type="dxa"/>
            </w:tcMar>
            <w:vAlign w:val="bottom"/>
          </w:tcPr>
          <w:p w14:paraId="0BC98254"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E2E2E2"/>
            <w:tcMar>
              <w:top w:w="40" w:type="dxa"/>
              <w:bottom w:w="40" w:type="dxa"/>
            </w:tcMar>
            <w:vAlign w:val="bottom"/>
          </w:tcPr>
          <w:p w14:paraId="0BC9825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E2E2E2"/>
            <w:vAlign w:val="bottom"/>
          </w:tcPr>
          <w:p w14:paraId="0BC9825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25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25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right w:w="40" w:type="dxa"/>
            </w:tcMar>
            <w:vAlign w:val="bottom"/>
          </w:tcPr>
          <w:p w14:paraId="0BC98259"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825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25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right w:w="40" w:type="dxa"/>
            </w:tcMar>
            <w:vAlign w:val="bottom"/>
          </w:tcPr>
          <w:p w14:paraId="0BC9825C"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r>
      <w:tr w:rsidR="009F0928" w14:paraId="0BC9827A" w14:textId="77777777">
        <w:trPr>
          <w:jc w:val="center"/>
        </w:trPr>
        <w:tc>
          <w:tcPr>
            <w:tcW w:w="0" w:type="auto"/>
            <w:shd w:val="clear" w:color="auto" w:fill="auto"/>
            <w:tcMar>
              <w:top w:w="40" w:type="dxa"/>
              <w:left w:w="400" w:type="dxa"/>
              <w:bottom w:w="40" w:type="dxa"/>
              <w:right w:w="40" w:type="dxa"/>
            </w:tcMar>
            <w:vAlign w:val="bottom"/>
          </w:tcPr>
          <w:p w14:paraId="0BC9825E" w14:textId="77777777" w:rsidR="009F0928" w:rsidRDefault="002112BD">
            <w:pPr>
              <w:textAlignment w:val="bottom"/>
              <w:rPr>
                <w:rFonts w:ascii="Times New Roman" w:hAnsi="Times New Roman"/>
                <w:sz w:val="16"/>
                <w:szCs w:val="16"/>
              </w:rPr>
            </w:pPr>
            <w:r>
              <w:rPr>
                <w:rFonts w:ascii="Arial" w:eastAsia="宋体" w:hAnsi="Arial" w:cs="Arial"/>
                <w:sz w:val="16"/>
                <w:szCs w:val="16"/>
              </w:rPr>
              <w:t>Total MS&amp;O revenues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25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26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2,165</w:t>
            </w:r>
          </w:p>
        </w:tc>
        <w:tc>
          <w:tcPr>
            <w:tcW w:w="0" w:type="auto"/>
            <w:tcBorders>
              <w:top w:val="single" w:sz="8" w:space="0" w:color="000000"/>
              <w:bottom w:val="double" w:sz="6" w:space="0" w:color="000000"/>
            </w:tcBorders>
            <w:shd w:val="clear" w:color="auto" w:fill="auto"/>
            <w:vAlign w:val="bottom"/>
          </w:tcPr>
          <w:p w14:paraId="0BC9826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26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26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26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2,262</w:t>
            </w:r>
          </w:p>
        </w:tc>
        <w:tc>
          <w:tcPr>
            <w:tcW w:w="0" w:type="auto"/>
            <w:tcBorders>
              <w:top w:val="single" w:sz="8" w:space="0" w:color="000000"/>
              <w:bottom w:val="double" w:sz="6" w:space="0" w:color="000000"/>
            </w:tcBorders>
            <w:shd w:val="clear" w:color="auto" w:fill="auto"/>
            <w:vAlign w:val="bottom"/>
          </w:tcPr>
          <w:p w14:paraId="0BC9826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26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26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w:t>
            </w:r>
          </w:p>
        </w:tc>
        <w:tc>
          <w:tcPr>
            <w:tcW w:w="0" w:type="auto"/>
            <w:shd w:val="clear" w:color="auto" w:fill="auto"/>
            <w:tcMar>
              <w:top w:w="40" w:type="dxa"/>
              <w:bottom w:w="40" w:type="dxa"/>
              <w:right w:w="40" w:type="dxa"/>
            </w:tcMar>
            <w:vAlign w:val="bottom"/>
          </w:tcPr>
          <w:p w14:paraId="0BC98268"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26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26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auto"/>
            <w:tcMar>
              <w:top w:w="40" w:type="dxa"/>
              <w:bottom w:w="40" w:type="dxa"/>
              <w:right w:w="40" w:type="dxa"/>
            </w:tcMar>
            <w:vAlign w:val="bottom"/>
          </w:tcPr>
          <w:p w14:paraId="0BC9826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26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26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26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2,262</w:t>
            </w:r>
          </w:p>
        </w:tc>
        <w:tc>
          <w:tcPr>
            <w:tcW w:w="0" w:type="auto"/>
            <w:tcBorders>
              <w:top w:val="single" w:sz="8" w:space="0" w:color="000000"/>
              <w:bottom w:val="double" w:sz="6" w:space="0" w:color="000000"/>
            </w:tcBorders>
            <w:shd w:val="clear" w:color="auto" w:fill="auto"/>
            <w:vAlign w:val="bottom"/>
          </w:tcPr>
          <w:p w14:paraId="0BC9826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27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271"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27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2,107</w:t>
            </w:r>
          </w:p>
        </w:tc>
        <w:tc>
          <w:tcPr>
            <w:tcW w:w="0" w:type="auto"/>
            <w:tcBorders>
              <w:top w:val="single" w:sz="8" w:space="0" w:color="000000"/>
              <w:bottom w:val="double" w:sz="6" w:space="0" w:color="000000"/>
            </w:tcBorders>
            <w:shd w:val="clear" w:color="auto" w:fill="auto"/>
            <w:vAlign w:val="bottom"/>
          </w:tcPr>
          <w:p w14:paraId="0BC9827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27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27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w:t>
            </w:r>
          </w:p>
        </w:tc>
        <w:tc>
          <w:tcPr>
            <w:tcW w:w="0" w:type="auto"/>
            <w:shd w:val="clear" w:color="auto" w:fill="auto"/>
            <w:tcMar>
              <w:top w:w="40" w:type="dxa"/>
              <w:bottom w:w="40" w:type="dxa"/>
              <w:right w:w="40" w:type="dxa"/>
            </w:tcMar>
            <w:vAlign w:val="bottom"/>
          </w:tcPr>
          <w:p w14:paraId="0BC98276"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827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27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auto"/>
            <w:tcMar>
              <w:top w:w="40" w:type="dxa"/>
              <w:bottom w:w="40" w:type="dxa"/>
              <w:right w:w="40" w:type="dxa"/>
            </w:tcMar>
            <w:vAlign w:val="bottom"/>
          </w:tcPr>
          <w:p w14:paraId="0BC98279"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r>
      <w:tr w:rsidR="009F0928" w14:paraId="0BC9828F" w14:textId="77777777">
        <w:trPr>
          <w:jc w:val="center"/>
        </w:trPr>
        <w:tc>
          <w:tcPr>
            <w:tcW w:w="0" w:type="auto"/>
            <w:shd w:val="clear" w:color="auto" w:fill="E2E2E2"/>
            <w:tcMar>
              <w:top w:w="40" w:type="dxa"/>
              <w:left w:w="400" w:type="dxa"/>
              <w:bottom w:w="40" w:type="dxa"/>
              <w:right w:w="40" w:type="dxa"/>
            </w:tcMar>
            <w:vAlign w:val="bottom"/>
          </w:tcPr>
          <w:p w14:paraId="0BC9827B"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Percentage of net revenues</w:t>
            </w:r>
          </w:p>
        </w:tc>
        <w:tc>
          <w:tcPr>
            <w:tcW w:w="0" w:type="auto"/>
            <w:gridSpan w:val="2"/>
            <w:shd w:val="clear" w:color="auto" w:fill="E2E2E2"/>
            <w:tcMar>
              <w:top w:w="40" w:type="dxa"/>
              <w:left w:w="40" w:type="dxa"/>
              <w:bottom w:w="40" w:type="dxa"/>
            </w:tcMar>
            <w:vAlign w:val="bottom"/>
          </w:tcPr>
          <w:p w14:paraId="0BC9827C"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20</w:t>
            </w:r>
          </w:p>
        </w:tc>
        <w:tc>
          <w:tcPr>
            <w:tcW w:w="0" w:type="auto"/>
            <w:shd w:val="clear" w:color="auto" w:fill="E2E2E2"/>
            <w:tcMar>
              <w:top w:w="40" w:type="dxa"/>
              <w:bottom w:w="40" w:type="dxa"/>
              <w:right w:w="40" w:type="dxa"/>
            </w:tcMar>
            <w:vAlign w:val="bottom"/>
          </w:tcPr>
          <w:p w14:paraId="0BC9827D"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c>
          <w:tcPr>
            <w:tcW w:w="0" w:type="auto"/>
            <w:shd w:val="clear" w:color="auto" w:fill="E2E2E2"/>
            <w:tcMar>
              <w:top w:w="40" w:type="dxa"/>
              <w:left w:w="40" w:type="dxa"/>
              <w:bottom w:w="40" w:type="dxa"/>
              <w:right w:w="40" w:type="dxa"/>
            </w:tcMar>
            <w:vAlign w:val="bottom"/>
          </w:tcPr>
          <w:p w14:paraId="0BC9827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27F"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21</w:t>
            </w:r>
          </w:p>
        </w:tc>
        <w:tc>
          <w:tcPr>
            <w:tcW w:w="0" w:type="auto"/>
            <w:shd w:val="clear" w:color="auto" w:fill="E2E2E2"/>
            <w:tcMar>
              <w:top w:w="40" w:type="dxa"/>
              <w:bottom w:w="40" w:type="dxa"/>
              <w:right w:w="40" w:type="dxa"/>
            </w:tcMar>
            <w:vAlign w:val="bottom"/>
          </w:tcPr>
          <w:p w14:paraId="0BC98280"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c>
          <w:tcPr>
            <w:tcW w:w="0" w:type="auto"/>
            <w:shd w:val="clear" w:color="auto" w:fill="E2E2E2"/>
            <w:tcMar>
              <w:top w:w="40" w:type="dxa"/>
              <w:left w:w="40" w:type="dxa"/>
              <w:bottom w:w="40" w:type="dxa"/>
              <w:right w:w="40" w:type="dxa"/>
            </w:tcMar>
            <w:vAlign w:val="bottom"/>
          </w:tcPr>
          <w:p w14:paraId="0BC9828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28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28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28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28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286"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21</w:t>
            </w:r>
          </w:p>
        </w:tc>
        <w:tc>
          <w:tcPr>
            <w:tcW w:w="0" w:type="auto"/>
            <w:shd w:val="clear" w:color="auto" w:fill="E2E2E2"/>
            <w:tcMar>
              <w:top w:w="40" w:type="dxa"/>
              <w:bottom w:w="40" w:type="dxa"/>
              <w:right w:w="40" w:type="dxa"/>
            </w:tcMar>
            <w:vAlign w:val="bottom"/>
          </w:tcPr>
          <w:p w14:paraId="0BC98287"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c>
          <w:tcPr>
            <w:tcW w:w="0" w:type="auto"/>
            <w:shd w:val="clear" w:color="auto" w:fill="E2E2E2"/>
            <w:tcMar>
              <w:top w:w="40" w:type="dxa"/>
              <w:left w:w="40" w:type="dxa"/>
              <w:bottom w:w="40" w:type="dxa"/>
              <w:right w:w="40" w:type="dxa"/>
            </w:tcMar>
            <w:vAlign w:val="bottom"/>
          </w:tcPr>
          <w:p w14:paraId="0BC9828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289"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21</w:t>
            </w:r>
          </w:p>
        </w:tc>
        <w:tc>
          <w:tcPr>
            <w:tcW w:w="0" w:type="auto"/>
            <w:shd w:val="clear" w:color="auto" w:fill="E2E2E2"/>
            <w:tcMar>
              <w:top w:w="40" w:type="dxa"/>
              <w:bottom w:w="40" w:type="dxa"/>
              <w:right w:w="40" w:type="dxa"/>
            </w:tcMar>
            <w:vAlign w:val="bottom"/>
          </w:tcPr>
          <w:p w14:paraId="0BC9828A"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c>
          <w:tcPr>
            <w:tcW w:w="0" w:type="auto"/>
            <w:shd w:val="clear" w:color="auto" w:fill="E2E2E2"/>
            <w:tcMar>
              <w:top w:w="40" w:type="dxa"/>
              <w:left w:w="40" w:type="dxa"/>
              <w:bottom w:w="40" w:type="dxa"/>
              <w:right w:w="40" w:type="dxa"/>
            </w:tcMar>
            <w:vAlign w:val="bottom"/>
          </w:tcPr>
          <w:p w14:paraId="0BC9828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28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2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28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8290" w14:textId="77777777" w:rsidR="009F0928" w:rsidRDefault="009F0928">
      <w:pPr>
        <w:rPr>
          <w:vanish/>
        </w:rPr>
      </w:pPr>
    </w:p>
    <w:tbl>
      <w:tblPr>
        <w:tblW w:w="2400" w:type="dxa"/>
        <w:tblCellMar>
          <w:left w:w="0" w:type="dxa"/>
          <w:right w:w="0" w:type="dxa"/>
        </w:tblCellMar>
        <w:tblLook w:val="04A0" w:firstRow="1" w:lastRow="0" w:firstColumn="1" w:lastColumn="0" w:noHBand="0" w:noVBand="1"/>
      </w:tblPr>
      <w:tblGrid>
        <w:gridCol w:w="2400"/>
      </w:tblGrid>
      <w:tr w:rsidR="009F0928" w14:paraId="0BC98292" w14:textId="77777777">
        <w:tc>
          <w:tcPr>
            <w:tcW w:w="0" w:type="auto"/>
            <w:shd w:val="clear" w:color="auto" w:fill="auto"/>
            <w:vAlign w:val="center"/>
          </w:tcPr>
          <w:p w14:paraId="0BC98291" w14:textId="77777777" w:rsidR="009F0928" w:rsidRDefault="009F0928">
            <w:pPr>
              <w:rPr>
                <w:rFonts w:ascii="Times New Roman" w:hAnsi="Times New Roman"/>
                <w:sz w:val="20"/>
                <w:szCs w:val="20"/>
              </w:rPr>
            </w:pPr>
          </w:p>
        </w:tc>
      </w:tr>
      <w:tr w:rsidR="009F0928" w14:paraId="0BC98294" w14:textId="77777777">
        <w:tc>
          <w:tcPr>
            <w:tcW w:w="2400" w:type="dxa"/>
            <w:shd w:val="clear" w:color="auto" w:fill="auto"/>
            <w:vAlign w:val="center"/>
          </w:tcPr>
          <w:p w14:paraId="0BC98293" w14:textId="77777777" w:rsidR="009F0928" w:rsidRDefault="009F0928">
            <w:pPr>
              <w:rPr>
                <w:rFonts w:ascii="Times New Roman" w:hAnsi="Times New Roman"/>
                <w:sz w:val="20"/>
                <w:szCs w:val="20"/>
              </w:rPr>
            </w:pPr>
          </w:p>
        </w:tc>
      </w:tr>
      <w:tr w:rsidR="009F0928" w14:paraId="0BC98296"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0BC9829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8297"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1077"/>
      </w:tblGrid>
      <w:tr w:rsidR="009F0928" w14:paraId="0BC9829A" w14:textId="77777777">
        <w:trPr>
          <w:tblCellSpacing w:w="0" w:type="dxa"/>
        </w:trPr>
        <w:tc>
          <w:tcPr>
            <w:tcW w:w="480" w:type="dxa"/>
            <w:shd w:val="clear" w:color="auto" w:fill="auto"/>
            <w:vAlign w:val="center"/>
          </w:tcPr>
          <w:p w14:paraId="0BC98298" w14:textId="77777777" w:rsidR="009F0928" w:rsidRDefault="009F0928">
            <w:pPr>
              <w:rPr>
                <w:rFonts w:ascii="Times New Roman" w:hAnsi="Times New Roman"/>
                <w:sz w:val="20"/>
                <w:szCs w:val="20"/>
              </w:rPr>
            </w:pPr>
          </w:p>
        </w:tc>
        <w:tc>
          <w:tcPr>
            <w:tcW w:w="0" w:type="auto"/>
            <w:shd w:val="clear" w:color="auto" w:fill="auto"/>
            <w:vAlign w:val="center"/>
          </w:tcPr>
          <w:p w14:paraId="0BC98299" w14:textId="77777777" w:rsidR="009F0928" w:rsidRDefault="009F0928">
            <w:pPr>
              <w:rPr>
                <w:rFonts w:ascii="Times New Roman" w:hAnsi="Times New Roman"/>
                <w:sz w:val="20"/>
                <w:szCs w:val="20"/>
              </w:rPr>
            </w:pPr>
          </w:p>
        </w:tc>
      </w:tr>
      <w:tr w:rsidR="009F0928" w14:paraId="0BC9829D" w14:textId="77777777">
        <w:trPr>
          <w:tblCellSpacing w:w="0" w:type="dxa"/>
        </w:trPr>
        <w:tc>
          <w:tcPr>
            <w:tcW w:w="0" w:type="auto"/>
            <w:shd w:val="clear" w:color="auto" w:fill="auto"/>
          </w:tcPr>
          <w:p w14:paraId="0BC9829B"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w:t>
            </w:r>
          </w:p>
        </w:tc>
        <w:tc>
          <w:tcPr>
            <w:tcW w:w="0" w:type="auto"/>
            <w:shd w:val="clear" w:color="auto" w:fill="auto"/>
          </w:tcPr>
          <w:p w14:paraId="0BC9829C"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Not meaningful</w:t>
            </w:r>
          </w:p>
        </w:tc>
      </w:tr>
    </w:tbl>
    <w:p w14:paraId="0BC9829E" w14:textId="77777777" w:rsidR="009F0928" w:rsidRDefault="009F0928">
      <w:pPr>
        <w:spacing w:line="288" w:lineRule="auto"/>
        <w:ind w:hanging="480"/>
        <w:jc w:val="both"/>
        <w:rPr>
          <w:rFonts w:ascii="Times New Roman" w:hAnsi="Times New Roman"/>
          <w:sz w:val="16"/>
          <w:szCs w:val="16"/>
        </w:rPr>
      </w:pPr>
    </w:p>
    <w:p w14:paraId="0BC9829F"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i/>
          <w:iCs/>
          <w:sz w:val="20"/>
          <w:szCs w:val="20"/>
        </w:rPr>
        <w:t>Marketplace MS&amp;O Revenues</w:t>
      </w:r>
    </w:p>
    <w:p w14:paraId="0BC982A0" w14:textId="77777777" w:rsidR="009F0928" w:rsidRDefault="009F0928">
      <w:pPr>
        <w:spacing w:line="288" w:lineRule="auto"/>
        <w:ind w:firstLine="720"/>
        <w:jc w:val="both"/>
        <w:rPr>
          <w:rFonts w:ascii="Times New Roman" w:hAnsi="Times New Roman"/>
          <w:sz w:val="20"/>
          <w:szCs w:val="20"/>
        </w:rPr>
      </w:pPr>
    </w:p>
    <w:p w14:paraId="0BC982A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decrease in Marketplace MS&amp;O revenues during 2019 compared to 2018 was primarily due to a decrease in advertising revenues that was driven by our ongoing shift to promoted listing fees, </w:t>
      </w:r>
      <w:r>
        <w:rPr>
          <w:rFonts w:ascii="Arial" w:eastAsia="宋体" w:hAnsi="Arial" w:cs="Arial"/>
          <w:sz w:val="20"/>
          <w:szCs w:val="20"/>
        </w:rPr>
        <w:t>which are recognized in net transaction revenues and lower revenues resulting from the sale of brands4friends. These decreases were partially offset by increases in first-party inventory program in Korea in 2019 compared to 2018.</w:t>
      </w:r>
    </w:p>
    <w:p w14:paraId="0BC982A2" w14:textId="77777777" w:rsidR="009F0928" w:rsidRDefault="009F0928">
      <w:pPr>
        <w:spacing w:line="288" w:lineRule="auto"/>
        <w:ind w:firstLine="720"/>
        <w:jc w:val="both"/>
        <w:rPr>
          <w:rFonts w:ascii="Times New Roman" w:hAnsi="Times New Roman"/>
          <w:sz w:val="20"/>
          <w:szCs w:val="20"/>
        </w:rPr>
      </w:pPr>
    </w:p>
    <w:p w14:paraId="0BC982A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increase in Marketpla</w:t>
      </w:r>
      <w:r>
        <w:rPr>
          <w:rFonts w:ascii="Arial" w:eastAsia="宋体" w:hAnsi="Arial" w:cs="Arial"/>
          <w:sz w:val="20"/>
          <w:szCs w:val="20"/>
        </w:rPr>
        <w:t>ce MS&amp;O revenues in 2018 compared to 2017 was primarily driven by an increase in revenues attributable to our first-party inventory program in Korea and revenue sharing arrangements, particularly shipping, partially offset by a decrease in advertising reve</w:t>
      </w:r>
      <w:r>
        <w:rPr>
          <w:rFonts w:ascii="Arial" w:eastAsia="宋体" w:hAnsi="Arial" w:cs="Arial"/>
          <w:sz w:val="20"/>
          <w:szCs w:val="20"/>
        </w:rPr>
        <w:t>nues that was driven by our ongoing shift to promoted listing fees, which are recognized in net transaction revenues.</w:t>
      </w:r>
    </w:p>
    <w:p w14:paraId="0BC982A4" w14:textId="77777777" w:rsidR="009F0928" w:rsidRDefault="009F0928">
      <w:pPr>
        <w:spacing w:line="288" w:lineRule="auto"/>
        <w:ind w:firstLine="720"/>
        <w:jc w:val="both"/>
        <w:rPr>
          <w:rFonts w:ascii="Times New Roman" w:hAnsi="Times New Roman"/>
          <w:sz w:val="20"/>
          <w:szCs w:val="20"/>
        </w:rPr>
      </w:pPr>
    </w:p>
    <w:p w14:paraId="0BC982A5"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i/>
          <w:iCs/>
          <w:sz w:val="20"/>
          <w:szCs w:val="20"/>
        </w:rPr>
        <w:t>Classifieds MS&amp;O Revenues</w:t>
      </w:r>
    </w:p>
    <w:p w14:paraId="0BC982A6" w14:textId="77777777" w:rsidR="009F0928" w:rsidRDefault="009F0928">
      <w:pPr>
        <w:spacing w:line="288" w:lineRule="auto"/>
        <w:ind w:firstLine="720"/>
        <w:jc w:val="both"/>
        <w:rPr>
          <w:rFonts w:ascii="Times New Roman" w:hAnsi="Times New Roman"/>
          <w:sz w:val="20"/>
          <w:szCs w:val="20"/>
        </w:rPr>
      </w:pPr>
    </w:p>
    <w:p w14:paraId="0BC982A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increases in Classifieds MS&amp;O revenues in 2019 compared to 2018 and in 2018 compared to 2017 was primarily</w:t>
      </w:r>
      <w:r>
        <w:rPr>
          <w:rFonts w:ascii="Arial" w:eastAsia="宋体" w:hAnsi="Arial" w:cs="Arial"/>
          <w:sz w:val="20"/>
          <w:szCs w:val="20"/>
        </w:rPr>
        <w:t xml:space="preserve"> driven by increased revenue from our Classifieds horizontal and vertical motors platforms primarily in Germany. </w:t>
      </w:r>
    </w:p>
    <w:p w14:paraId="0BC982A8" w14:textId="77777777" w:rsidR="009F0928" w:rsidRDefault="009F0928">
      <w:pPr>
        <w:spacing w:line="288" w:lineRule="auto"/>
        <w:ind w:firstLine="720"/>
        <w:jc w:val="both"/>
        <w:rPr>
          <w:rFonts w:ascii="Times New Roman" w:hAnsi="Times New Roman"/>
          <w:sz w:val="20"/>
          <w:szCs w:val="20"/>
        </w:rPr>
      </w:pPr>
    </w:p>
    <w:p w14:paraId="0BC982A9"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i/>
          <w:iCs/>
          <w:sz w:val="20"/>
          <w:szCs w:val="20"/>
        </w:rPr>
        <w:t>StubHub MS&amp;O Revenues</w:t>
      </w:r>
    </w:p>
    <w:p w14:paraId="0BC982AA" w14:textId="77777777" w:rsidR="009F0928" w:rsidRDefault="009F0928">
      <w:pPr>
        <w:spacing w:line="288" w:lineRule="auto"/>
        <w:ind w:firstLine="360"/>
        <w:jc w:val="both"/>
        <w:rPr>
          <w:rFonts w:ascii="Times New Roman" w:hAnsi="Times New Roman"/>
          <w:sz w:val="20"/>
          <w:szCs w:val="20"/>
        </w:rPr>
      </w:pPr>
    </w:p>
    <w:p w14:paraId="0BC982A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increase in StubHub MS&amp;O revenues in 2019 compared to 2018 primarily related to growth in revenues from first-part</w:t>
      </w:r>
      <w:r>
        <w:rPr>
          <w:rFonts w:ascii="Arial" w:eastAsia="宋体" w:hAnsi="Arial" w:cs="Arial"/>
          <w:sz w:val="20"/>
          <w:szCs w:val="20"/>
        </w:rPr>
        <w:t>y inventory sales from sporting events. The change in StubHub MS&amp;O revenue in 2018 compared to 2017 was relatively flat.</w:t>
      </w:r>
    </w:p>
    <w:p w14:paraId="0BC982AC" w14:textId="77777777" w:rsidR="009F0928" w:rsidRDefault="009F0928">
      <w:pPr>
        <w:spacing w:line="288" w:lineRule="auto"/>
        <w:ind w:firstLine="720"/>
        <w:jc w:val="both"/>
        <w:rPr>
          <w:rFonts w:ascii="Times New Roman" w:hAnsi="Times New Roman"/>
          <w:sz w:val="20"/>
          <w:szCs w:val="20"/>
        </w:rPr>
      </w:pPr>
    </w:p>
    <w:p w14:paraId="0BC982AD" w14:textId="77777777" w:rsidR="009F0928" w:rsidRDefault="009F0928">
      <w:pPr>
        <w:spacing w:line="288" w:lineRule="auto"/>
        <w:jc w:val="both"/>
        <w:rPr>
          <w:rFonts w:ascii="Times New Roman" w:hAnsi="Times New Roman"/>
          <w:sz w:val="20"/>
          <w:szCs w:val="20"/>
        </w:rPr>
      </w:pPr>
    </w:p>
    <w:p w14:paraId="0BC982AE" w14:textId="77777777" w:rsidR="009F0928" w:rsidRDefault="009F0928">
      <w:pPr>
        <w:rPr>
          <w:rFonts w:ascii="Times New Roman" w:hAnsi="Times New Roman"/>
          <w:sz w:val="20"/>
          <w:szCs w:val="20"/>
        </w:rPr>
      </w:pPr>
    </w:p>
    <w:p w14:paraId="0BC982AF"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42</w:t>
      </w:r>
    </w:p>
    <w:p w14:paraId="0BC982B0" w14:textId="77777777" w:rsidR="009F0928" w:rsidRDefault="002112BD">
      <w:r>
        <w:rPr>
          <w:rFonts w:ascii="Times New Roman" w:hAnsi="Times New Roman"/>
          <w:sz w:val="18"/>
          <w:szCs w:val="18"/>
        </w:rPr>
        <w:pict w14:anchorId="0BC9B4E7">
          <v:rect id="_x0000_i1067" style="width:415.3pt;height:1.5pt" o:hralign="center" o:hrstd="t" o:hr="t" fillcolor="#a0a0a0" stroked="f"/>
        </w:pict>
      </w:r>
    </w:p>
    <w:p w14:paraId="0BC982B1" w14:textId="77777777" w:rsidR="009F0928" w:rsidRDefault="009F0928">
      <w:pPr>
        <w:spacing w:line="288" w:lineRule="auto"/>
        <w:rPr>
          <w:rFonts w:ascii="Times New Roman" w:hAnsi="Times New Roman"/>
          <w:sz w:val="20"/>
          <w:szCs w:val="20"/>
        </w:rPr>
      </w:pPr>
    </w:p>
    <w:p w14:paraId="0BC982B2" w14:textId="77777777" w:rsidR="009F0928" w:rsidRDefault="009F0928">
      <w:pPr>
        <w:rPr>
          <w:rFonts w:ascii="Times New Roman" w:hAnsi="Times New Roman"/>
          <w:sz w:val="20"/>
          <w:szCs w:val="20"/>
        </w:rPr>
      </w:pPr>
    </w:p>
    <w:p w14:paraId="0BC982B3"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Cost of Net Revenues</w:t>
      </w:r>
    </w:p>
    <w:p w14:paraId="0BC982B4" w14:textId="77777777" w:rsidR="009F0928" w:rsidRDefault="009F0928">
      <w:pPr>
        <w:spacing w:line="288" w:lineRule="auto"/>
        <w:jc w:val="both"/>
        <w:rPr>
          <w:rFonts w:ascii="Times New Roman" w:hAnsi="Times New Roman"/>
          <w:sz w:val="20"/>
          <w:szCs w:val="20"/>
        </w:rPr>
      </w:pPr>
    </w:p>
    <w:p w14:paraId="0BC982B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Cost of net revenues primarily consists of costs associated with customer support, site </w:t>
      </w:r>
      <w:r>
        <w:rPr>
          <w:rFonts w:ascii="Arial" w:eastAsia="宋体" w:hAnsi="Arial" w:cs="Arial"/>
          <w:sz w:val="20"/>
          <w:szCs w:val="20"/>
        </w:rPr>
        <w:t>operations, costs of goods sold and payment processing. Significant components of these costs include employee compensation, contractor costs, facilities costs, depreciation of equipment and amortization expense, first party inventory costs, bank transacti</w:t>
      </w:r>
      <w:r>
        <w:rPr>
          <w:rFonts w:ascii="Arial" w:eastAsia="宋体" w:hAnsi="Arial" w:cs="Arial"/>
          <w:sz w:val="20"/>
          <w:szCs w:val="20"/>
        </w:rPr>
        <w:t>on fees, and credit card interchange and assessment fees. The following table presents cost of net revenues (in millions, except percentages): </w:t>
      </w:r>
    </w:p>
    <w:p w14:paraId="0BC982B6" w14:textId="77777777" w:rsidR="009F0928" w:rsidRDefault="009F0928">
      <w:pPr>
        <w:spacing w:line="288" w:lineRule="auto"/>
        <w:ind w:firstLine="720"/>
        <w:jc w:val="both"/>
        <w:rPr>
          <w:rFonts w:ascii="Times New Roman" w:hAnsi="Times New Roman"/>
          <w:sz w:val="20"/>
          <w:szCs w:val="20"/>
        </w:rPr>
      </w:pPr>
    </w:p>
    <w:tbl>
      <w:tblPr>
        <w:tblW w:w="4980" w:type="pct"/>
        <w:jc w:val="center"/>
        <w:tblCellMar>
          <w:left w:w="0" w:type="dxa"/>
          <w:right w:w="0" w:type="dxa"/>
        </w:tblCellMar>
        <w:tblLook w:val="04A0" w:firstRow="1" w:lastRow="0" w:firstColumn="1" w:lastColumn="0" w:noHBand="0" w:noVBand="1"/>
      </w:tblPr>
      <w:tblGrid>
        <w:gridCol w:w="3240"/>
        <w:gridCol w:w="129"/>
        <w:gridCol w:w="593"/>
        <w:gridCol w:w="183"/>
        <w:gridCol w:w="130"/>
        <w:gridCol w:w="676"/>
        <w:gridCol w:w="183"/>
        <w:gridCol w:w="169"/>
        <w:gridCol w:w="129"/>
        <w:gridCol w:w="594"/>
        <w:gridCol w:w="183"/>
        <w:gridCol w:w="130"/>
        <w:gridCol w:w="676"/>
        <w:gridCol w:w="183"/>
        <w:gridCol w:w="169"/>
        <w:gridCol w:w="129"/>
        <w:gridCol w:w="594"/>
        <w:gridCol w:w="183"/>
      </w:tblGrid>
      <w:tr w:rsidR="009F0928" w14:paraId="0BC982B8" w14:textId="77777777">
        <w:trPr>
          <w:jc w:val="center"/>
        </w:trPr>
        <w:tc>
          <w:tcPr>
            <w:tcW w:w="0" w:type="auto"/>
            <w:gridSpan w:val="18"/>
            <w:shd w:val="clear" w:color="auto" w:fill="auto"/>
            <w:vAlign w:val="center"/>
          </w:tcPr>
          <w:p w14:paraId="0BC982B7" w14:textId="77777777" w:rsidR="009F0928" w:rsidRDefault="009F0928">
            <w:pPr>
              <w:rPr>
                <w:rFonts w:ascii="Times New Roman" w:hAnsi="Times New Roman"/>
                <w:sz w:val="20"/>
                <w:szCs w:val="20"/>
              </w:rPr>
            </w:pPr>
          </w:p>
        </w:tc>
      </w:tr>
      <w:tr w:rsidR="009F0928" w14:paraId="0BC982CB" w14:textId="77777777">
        <w:trPr>
          <w:jc w:val="center"/>
        </w:trPr>
        <w:tc>
          <w:tcPr>
            <w:tcW w:w="2050" w:type="pct"/>
            <w:shd w:val="clear" w:color="auto" w:fill="auto"/>
            <w:vAlign w:val="center"/>
          </w:tcPr>
          <w:p w14:paraId="0BC982B9" w14:textId="77777777" w:rsidR="009F0928" w:rsidRDefault="009F0928">
            <w:pPr>
              <w:rPr>
                <w:rFonts w:ascii="Times New Roman" w:hAnsi="Times New Roman"/>
                <w:sz w:val="20"/>
                <w:szCs w:val="20"/>
              </w:rPr>
            </w:pPr>
          </w:p>
        </w:tc>
        <w:tc>
          <w:tcPr>
            <w:tcW w:w="50" w:type="pct"/>
            <w:shd w:val="clear" w:color="auto" w:fill="auto"/>
            <w:vAlign w:val="center"/>
          </w:tcPr>
          <w:p w14:paraId="0BC982BA" w14:textId="77777777" w:rsidR="009F0928" w:rsidRDefault="009F0928">
            <w:pPr>
              <w:rPr>
                <w:rFonts w:ascii="Times New Roman" w:hAnsi="Times New Roman"/>
                <w:sz w:val="20"/>
                <w:szCs w:val="20"/>
              </w:rPr>
            </w:pPr>
          </w:p>
        </w:tc>
        <w:tc>
          <w:tcPr>
            <w:tcW w:w="450" w:type="pct"/>
            <w:shd w:val="clear" w:color="auto" w:fill="auto"/>
            <w:vAlign w:val="center"/>
          </w:tcPr>
          <w:p w14:paraId="0BC982BB" w14:textId="77777777" w:rsidR="009F0928" w:rsidRDefault="009F0928">
            <w:pPr>
              <w:rPr>
                <w:rFonts w:ascii="Times New Roman" w:hAnsi="Times New Roman"/>
                <w:sz w:val="20"/>
                <w:szCs w:val="20"/>
              </w:rPr>
            </w:pPr>
          </w:p>
        </w:tc>
        <w:tc>
          <w:tcPr>
            <w:tcW w:w="50" w:type="pct"/>
            <w:shd w:val="clear" w:color="auto" w:fill="auto"/>
            <w:vAlign w:val="center"/>
          </w:tcPr>
          <w:p w14:paraId="0BC982BC" w14:textId="77777777" w:rsidR="009F0928" w:rsidRDefault="009F0928">
            <w:pPr>
              <w:rPr>
                <w:rFonts w:ascii="Times New Roman" w:hAnsi="Times New Roman"/>
                <w:sz w:val="20"/>
                <w:szCs w:val="20"/>
              </w:rPr>
            </w:pPr>
          </w:p>
        </w:tc>
        <w:tc>
          <w:tcPr>
            <w:tcW w:w="50" w:type="pct"/>
            <w:shd w:val="clear" w:color="auto" w:fill="auto"/>
            <w:vAlign w:val="center"/>
          </w:tcPr>
          <w:p w14:paraId="0BC982BD" w14:textId="77777777" w:rsidR="009F0928" w:rsidRDefault="009F0928">
            <w:pPr>
              <w:rPr>
                <w:rFonts w:ascii="Times New Roman" w:hAnsi="Times New Roman"/>
                <w:sz w:val="20"/>
                <w:szCs w:val="20"/>
              </w:rPr>
            </w:pPr>
          </w:p>
        </w:tc>
        <w:tc>
          <w:tcPr>
            <w:tcW w:w="500" w:type="pct"/>
            <w:shd w:val="clear" w:color="auto" w:fill="auto"/>
            <w:vAlign w:val="center"/>
          </w:tcPr>
          <w:p w14:paraId="0BC982BE" w14:textId="77777777" w:rsidR="009F0928" w:rsidRDefault="009F0928">
            <w:pPr>
              <w:rPr>
                <w:rFonts w:ascii="Times New Roman" w:hAnsi="Times New Roman"/>
                <w:sz w:val="20"/>
                <w:szCs w:val="20"/>
              </w:rPr>
            </w:pPr>
          </w:p>
        </w:tc>
        <w:tc>
          <w:tcPr>
            <w:tcW w:w="50" w:type="pct"/>
            <w:shd w:val="clear" w:color="auto" w:fill="auto"/>
            <w:vAlign w:val="center"/>
          </w:tcPr>
          <w:p w14:paraId="0BC982BF" w14:textId="77777777" w:rsidR="009F0928" w:rsidRDefault="009F0928">
            <w:pPr>
              <w:rPr>
                <w:rFonts w:ascii="Times New Roman" w:hAnsi="Times New Roman"/>
                <w:sz w:val="20"/>
                <w:szCs w:val="20"/>
              </w:rPr>
            </w:pPr>
          </w:p>
        </w:tc>
        <w:tc>
          <w:tcPr>
            <w:tcW w:w="50" w:type="pct"/>
            <w:shd w:val="clear" w:color="auto" w:fill="auto"/>
            <w:vAlign w:val="center"/>
          </w:tcPr>
          <w:p w14:paraId="0BC982C0" w14:textId="77777777" w:rsidR="009F0928" w:rsidRDefault="009F0928">
            <w:pPr>
              <w:rPr>
                <w:rFonts w:ascii="Times New Roman" w:hAnsi="Times New Roman"/>
                <w:sz w:val="20"/>
                <w:szCs w:val="20"/>
              </w:rPr>
            </w:pPr>
          </w:p>
        </w:tc>
        <w:tc>
          <w:tcPr>
            <w:tcW w:w="50" w:type="pct"/>
            <w:shd w:val="clear" w:color="auto" w:fill="auto"/>
            <w:vAlign w:val="center"/>
          </w:tcPr>
          <w:p w14:paraId="0BC982C1" w14:textId="77777777" w:rsidR="009F0928" w:rsidRDefault="009F0928">
            <w:pPr>
              <w:rPr>
                <w:rFonts w:ascii="Times New Roman" w:hAnsi="Times New Roman"/>
                <w:sz w:val="20"/>
                <w:szCs w:val="20"/>
              </w:rPr>
            </w:pPr>
          </w:p>
        </w:tc>
        <w:tc>
          <w:tcPr>
            <w:tcW w:w="450" w:type="pct"/>
            <w:shd w:val="clear" w:color="auto" w:fill="auto"/>
            <w:vAlign w:val="center"/>
          </w:tcPr>
          <w:p w14:paraId="0BC982C2" w14:textId="77777777" w:rsidR="009F0928" w:rsidRDefault="009F0928">
            <w:pPr>
              <w:rPr>
                <w:rFonts w:ascii="Times New Roman" w:hAnsi="Times New Roman"/>
                <w:sz w:val="20"/>
                <w:szCs w:val="20"/>
              </w:rPr>
            </w:pPr>
          </w:p>
        </w:tc>
        <w:tc>
          <w:tcPr>
            <w:tcW w:w="50" w:type="pct"/>
            <w:shd w:val="clear" w:color="auto" w:fill="auto"/>
            <w:vAlign w:val="center"/>
          </w:tcPr>
          <w:p w14:paraId="0BC982C3" w14:textId="77777777" w:rsidR="009F0928" w:rsidRDefault="009F0928">
            <w:pPr>
              <w:rPr>
                <w:rFonts w:ascii="Times New Roman" w:hAnsi="Times New Roman"/>
                <w:sz w:val="20"/>
                <w:szCs w:val="20"/>
              </w:rPr>
            </w:pPr>
          </w:p>
        </w:tc>
        <w:tc>
          <w:tcPr>
            <w:tcW w:w="50" w:type="pct"/>
            <w:shd w:val="clear" w:color="auto" w:fill="auto"/>
            <w:vAlign w:val="center"/>
          </w:tcPr>
          <w:p w14:paraId="0BC982C4" w14:textId="77777777" w:rsidR="009F0928" w:rsidRDefault="009F0928">
            <w:pPr>
              <w:rPr>
                <w:rFonts w:ascii="Times New Roman" w:hAnsi="Times New Roman"/>
                <w:sz w:val="20"/>
                <w:szCs w:val="20"/>
              </w:rPr>
            </w:pPr>
          </w:p>
        </w:tc>
        <w:tc>
          <w:tcPr>
            <w:tcW w:w="500" w:type="pct"/>
            <w:shd w:val="clear" w:color="auto" w:fill="auto"/>
            <w:vAlign w:val="center"/>
          </w:tcPr>
          <w:p w14:paraId="0BC982C5" w14:textId="77777777" w:rsidR="009F0928" w:rsidRDefault="009F0928">
            <w:pPr>
              <w:rPr>
                <w:rFonts w:ascii="Times New Roman" w:hAnsi="Times New Roman"/>
                <w:sz w:val="20"/>
                <w:szCs w:val="20"/>
              </w:rPr>
            </w:pPr>
          </w:p>
        </w:tc>
        <w:tc>
          <w:tcPr>
            <w:tcW w:w="50" w:type="pct"/>
            <w:shd w:val="clear" w:color="auto" w:fill="auto"/>
            <w:vAlign w:val="center"/>
          </w:tcPr>
          <w:p w14:paraId="0BC982C6" w14:textId="77777777" w:rsidR="009F0928" w:rsidRDefault="009F0928">
            <w:pPr>
              <w:rPr>
                <w:rFonts w:ascii="Times New Roman" w:hAnsi="Times New Roman"/>
                <w:sz w:val="20"/>
                <w:szCs w:val="20"/>
              </w:rPr>
            </w:pPr>
          </w:p>
        </w:tc>
        <w:tc>
          <w:tcPr>
            <w:tcW w:w="50" w:type="pct"/>
            <w:shd w:val="clear" w:color="auto" w:fill="auto"/>
            <w:vAlign w:val="center"/>
          </w:tcPr>
          <w:p w14:paraId="0BC982C7" w14:textId="77777777" w:rsidR="009F0928" w:rsidRDefault="009F0928">
            <w:pPr>
              <w:rPr>
                <w:rFonts w:ascii="Times New Roman" w:hAnsi="Times New Roman"/>
                <w:sz w:val="20"/>
                <w:szCs w:val="20"/>
              </w:rPr>
            </w:pPr>
          </w:p>
        </w:tc>
        <w:tc>
          <w:tcPr>
            <w:tcW w:w="50" w:type="pct"/>
            <w:shd w:val="clear" w:color="auto" w:fill="auto"/>
            <w:vAlign w:val="center"/>
          </w:tcPr>
          <w:p w14:paraId="0BC982C8" w14:textId="77777777" w:rsidR="009F0928" w:rsidRDefault="009F0928">
            <w:pPr>
              <w:rPr>
                <w:rFonts w:ascii="Times New Roman" w:hAnsi="Times New Roman"/>
                <w:sz w:val="20"/>
                <w:szCs w:val="20"/>
              </w:rPr>
            </w:pPr>
          </w:p>
        </w:tc>
        <w:tc>
          <w:tcPr>
            <w:tcW w:w="450" w:type="pct"/>
            <w:shd w:val="clear" w:color="auto" w:fill="auto"/>
            <w:vAlign w:val="center"/>
          </w:tcPr>
          <w:p w14:paraId="0BC982C9" w14:textId="77777777" w:rsidR="009F0928" w:rsidRDefault="009F0928">
            <w:pPr>
              <w:rPr>
                <w:rFonts w:ascii="Times New Roman" w:hAnsi="Times New Roman"/>
                <w:sz w:val="20"/>
                <w:szCs w:val="20"/>
              </w:rPr>
            </w:pPr>
          </w:p>
        </w:tc>
        <w:tc>
          <w:tcPr>
            <w:tcW w:w="50" w:type="pct"/>
            <w:shd w:val="clear" w:color="auto" w:fill="auto"/>
            <w:vAlign w:val="center"/>
          </w:tcPr>
          <w:p w14:paraId="0BC982CA" w14:textId="77777777" w:rsidR="009F0928" w:rsidRDefault="009F0928">
            <w:pPr>
              <w:rPr>
                <w:rFonts w:ascii="Times New Roman" w:hAnsi="Times New Roman"/>
                <w:sz w:val="20"/>
                <w:szCs w:val="20"/>
              </w:rPr>
            </w:pPr>
          </w:p>
        </w:tc>
      </w:tr>
      <w:tr w:rsidR="009F0928" w14:paraId="0BC982CE" w14:textId="77777777">
        <w:trPr>
          <w:jc w:val="center"/>
        </w:trPr>
        <w:tc>
          <w:tcPr>
            <w:tcW w:w="0" w:type="auto"/>
            <w:shd w:val="clear" w:color="auto" w:fill="auto"/>
            <w:tcMar>
              <w:top w:w="40" w:type="dxa"/>
              <w:left w:w="40" w:type="dxa"/>
              <w:bottom w:w="40" w:type="dxa"/>
              <w:right w:w="40" w:type="dxa"/>
            </w:tcMar>
            <w:vAlign w:val="bottom"/>
          </w:tcPr>
          <w:p w14:paraId="0BC982CC"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17"/>
            <w:tcBorders>
              <w:bottom w:val="single" w:sz="8" w:space="0" w:color="000000"/>
            </w:tcBorders>
            <w:shd w:val="clear" w:color="auto" w:fill="auto"/>
            <w:tcMar>
              <w:top w:w="40" w:type="dxa"/>
              <w:left w:w="40" w:type="dxa"/>
              <w:bottom w:w="40" w:type="dxa"/>
            </w:tcMar>
            <w:vAlign w:val="bottom"/>
          </w:tcPr>
          <w:p w14:paraId="0BC982CD"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Year Ended December 31,</w:t>
            </w:r>
          </w:p>
        </w:tc>
      </w:tr>
      <w:tr w:rsidR="009F0928" w14:paraId="0BC982D9" w14:textId="77777777">
        <w:trPr>
          <w:jc w:val="center"/>
        </w:trPr>
        <w:tc>
          <w:tcPr>
            <w:tcW w:w="0" w:type="auto"/>
            <w:shd w:val="clear" w:color="auto" w:fill="auto"/>
            <w:tcMar>
              <w:top w:w="40" w:type="dxa"/>
              <w:left w:w="40" w:type="dxa"/>
              <w:bottom w:w="40" w:type="dxa"/>
              <w:right w:w="40" w:type="dxa"/>
            </w:tcMar>
            <w:vAlign w:val="bottom"/>
          </w:tcPr>
          <w:p w14:paraId="0BC982CF"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2D0"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0BC982D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2D2"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Change</w:t>
            </w:r>
          </w:p>
        </w:tc>
        <w:tc>
          <w:tcPr>
            <w:tcW w:w="0" w:type="auto"/>
            <w:shd w:val="clear" w:color="auto" w:fill="auto"/>
            <w:tcMar>
              <w:top w:w="40" w:type="dxa"/>
              <w:left w:w="40" w:type="dxa"/>
              <w:bottom w:w="40" w:type="dxa"/>
              <w:right w:w="40" w:type="dxa"/>
            </w:tcMar>
            <w:vAlign w:val="bottom"/>
          </w:tcPr>
          <w:p w14:paraId="0BC982D3"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2D4"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0BC982D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2D6"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Change</w:t>
            </w:r>
          </w:p>
        </w:tc>
        <w:tc>
          <w:tcPr>
            <w:tcW w:w="0" w:type="auto"/>
            <w:shd w:val="clear" w:color="auto" w:fill="auto"/>
            <w:tcMar>
              <w:top w:w="40" w:type="dxa"/>
              <w:left w:w="40" w:type="dxa"/>
              <w:bottom w:w="40" w:type="dxa"/>
              <w:right w:w="40" w:type="dxa"/>
            </w:tcMar>
            <w:vAlign w:val="bottom"/>
          </w:tcPr>
          <w:p w14:paraId="0BC982D7"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2D8"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2017</w:t>
            </w:r>
          </w:p>
        </w:tc>
      </w:tr>
      <w:tr w:rsidR="009F0928" w14:paraId="0BC982EC" w14:textId="77777777">
        <w:trPr>
          <w:jc w:val="center"/>
        </w:trPr>
        <w:tc>
          <w:tcPr>
            <w:tcW w:w="0" w:type="auto"/>
            <w:shd w:val="clear" w:color="auto" w:fill="E2E2E2"/>
            <w:tcMar>
              <w:top w:w="40" w:type="dxa"/>
              <w:left w:w="40" w:type="dxa"/>
              <w:bottom w:w="40" w:type="dxa"/>
              <w:right w:w="40" w:type="dxa"/>
            </w:tcMar>
            <w:vAlign w:val="bottom"/>
          </w:tcPr>
          <w:p w14:paraId="0BC982DA" w14:textId="77777777" w:rsidR="009F0928" w:rsidRDefault="002112BD">
            <w:pPr>
              <w:textAlignment w:val="bottom"/>
              <w:rPr>
                <w:rFonts w:ascii="Times New Roman" w:hAnsi="Times New Roman"/>
                <w:sz w:val="16"/>
                <w:szCs w:val="16"/>
              </w:rPr>
            </w:pPr>
            <w:r>
              <w:rPr>
                <w:rFonts w:ascii="Arial" w:eastAsia="宋体" w:hAnsi="Arial" w:cs="Arial"/>
                <w:sz w:val="16"/>
                <w:szCs w:val="16"/>
              </w:rPr>
              <w:t xml:space="preserve">Cost of net </w:t>
            </w:r>
            <w:r>
              <w:rPr>
                <w:rFonts w:ascii="Arial" w:eastAsia="宋体" w:hAnsi="Arial" w:cs="Arial"/>
                <w:sz w:val="16"/>
                <w:szCs w:val="16"/>
              </w:rPr>
              <w:t>revenues</w:t>
            </w:r>
          </w:p>
        </w:tc>
        <w:tc>
          <w:tcPr>
            <w:tcW w:w="0" w:type="auto"/>
            <w:tcBorders>
              <w:top w:val="single" w:sz="8" w:space="0" w:color="000000"/>
            </w:tcBorders>
            <w:shd w:val="clear" w:color="auto" w:fill="E2E2E2"/>
            <w:tcMar>
              <w:top w:w="40" w:type="dxa"/>
              <w:left w:w="40" w:type="dxa"/>
              <w:bottom w:w="40" w:type="dxa"/>
            </w:tcMar>
            <w:vAlign w:val="bottom"/>
          </w:tcPr>
          <w:p w14:paraId="0BC982D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E2E2E2"/>
            <w:tcMar>
              <w:top w:w="40" w:type="dxa"/>
              <w:bottom w:w="40" w:type="dxa"/>
            </w:tcMar>
            <w:vAlign w:val="bottom"/>
          </w:tcPr>
          <w:p w14:paraId="0BC982D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2,508</w:t>
            </w:r>
          </w:p>
        </w:tc>
        <w:tc>
          <w:tcPr>
            <w:tcW w:w="0" w:type="auto"/>
            <w:tcBorders>
              <w:top w:val="single" w:sz="8" w:space="0" w:color="000000"/>
            </w:tcBorders>
            <w:shd w:val="clear" w:color="auto" w:fill="E2E2E2"/>
            <w:vAlign w:val="bottom"/>
          </w:tcPr>
          <w:p w14:paraId="0BC982D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2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2D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E2E2E2"/>
            <w:tcMar>
              <w:top w:w="40" w:type="dxa"/>
              <w:bottom w:w="40" w:type="dxa"/>
              <w:right w:w="40" w:type="dxa"/>
            </w:tcMar>
            <w:vAlign w:val="bottom"/>
          </w:tcPr>
          <w:p w14:paraId="0BC982E0"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2E1"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tcMar>
            <w:vAlign w:val="bottom"/>
          </w:tcPr>
          <w:p w14:paraId="0BC982E2"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82E3"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2,382</w:t>
            </w:r>
          </w:p>
        </w:tc>
        <w:tc>
          <w:tcPr>
            <w:tcW w:w="0" w:type="auto"/>
            <w:shd w:val="clear" w:color="auto" w:fill="E2E2E2"/>
            <w:vAlign w:val="bottom"/>
          </w:tcPr>
          <w:p w14:paraId="0BC982E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2E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2E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w:t>
            </w:r>
          </w:p>
        </w:tc>
        <w:tc>
          <w:tcPr>
            <w:tcW w:w="0" w:type="auto"/>
            <w:shd w:val="clear" w:color="auto" w:fill="E2E2E2"/>
            <w:tcMar>
              <w:top w:w="40" w:type="dxa"/>
              <w:bottom w:w="40" w:type="dxa"/>
              <w:right w:w="40" w:type="dxa"/>
            </w:tcMar>
            <w:vAlign w:val="bottom"/>
          </w:tcPr>
          <w:p w14:paraId="0BC982E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2E8"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tcMar>
            <w:vAlign w:val="bottom"/>
          </w:tcPr>
          <w:p w14:paraId="0BC982E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82E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2,221</w:t>
            </w:r>
          </w:p>
        </w:tc>
        <w:tc>
          <w:tcPr>
            <w:tcW w:w="0" w:type="auto"/>
            <w:shd w:val="clear" w:color="auto" w:fill="E2E2E2"/>
            <w:vAlign w:val="bottom"/>
          </w:tcPr>
          <w:p w14:paraId="0BC982EB" w14:textId="77777777" w:rsidR="009F0928" w:rsidRDefault="009F0928">
            <w:pPr>
              <w:textAlignment w:val="bottom"/>
              <w:rPr>
                <w:rFonts w:ascii="Times New Roman" w:hAnsi="Times New Roman"/>
                <w:sz w:val="20"/>
                <w:szCs w:val="20"/>
              </w:rPr>
            </w:pPr>
          </w:p>
        </w:tc>
      </w:tr>
      <w:tr w:rsidR="009F0928" w14:paraId="0BC982FA" w14:textId="77777777">
        <w:trPr>
          <w:jc w:val="center"/>
        </w:trPr>
        <w:tc>
          <w:tcPr>
            <w:tcW w:w="0" w:type="auto"/>
            <w:shd w:val="clear" w:color="auto" w:fill="auto"/>
            <w:tcMar>
              <w:top w:w="40" w:type="dxa"/>
              <w:left w:w="240" w:type="dxa"/>
              <w:bottom w:w="40" w:type="dxa"/>
              <w:right w:w="40" w:type="dxa"/>
            </w:tcMar>
            <w:vAlign w:val="bottom"/>
          </w:tcPr>
          <w:p w14:paraId="0BC982ED" w14:textId="77777777" w:rsidR="009F0928" w:rsidRDefault="002112BD">
            <w:pPr>
              <w:textAlignment w:val="bottom"/>
              <w:rPr>
                <w:rFonts w:ascii="Times New Roman" w:hAnsi="Times New Roman"/>
                <w:sz w:val="16"/>
                <w:szCs w:val="16"/>
              </w:rPr>
            </w:pPr>
            <w:r>
              <w:rPr>
                <w:rFonts w:ascii="Arial" w:eastAsia="宋体" w:hAnsi="Arial" w:cs="Arial"/>
                <w:sz w:val="16"/>
                <w:szCs w:val="16"/>
              </w:rPr>
              <w:t>As</w:t>
            </w:r>
            <w:r>
              <w:rPr>
                <w:rFonts w:ascii="Arial" w:eastAsia="宋体" w:hAnsi="Arial" w:cs="Arial"/>
                <w:sz w:val="16"/>
                <w:szCs w:val="16"/>
              </w:rPr>
              <w:t xml:space="preserve"> a percentage of net revenues</w:t>
            </w:r>
          </w:p>
        </w:tc>
        <w:tc>
          <w:tcPr>
            <w:tcW w:w="0" w:type="auto"/>
            <w:gridSpan w:val="2"/>
            <w:shd w:val="clear" w:color="auto" w:fill="auto"/>
            <w:tcMar>
              <w:top w:w="40" w:type="dxa"/>
              <w:left w:w="40" w:type="dxa"/>
              <w:bottom w:w="40" w:type="dxa"/>
            </w:tcMar>
            <w:vAlign w:val="bottom"/>
          </w:tcPr>
          <w:p w14:paraId="0BC982E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23.2</w:t>
            </w:r>
          </w:p>
        </w:tc>
        <w:tc>
          <w:tcPr>
            <w:tcW w:w="0" w:type="auto"/>
            <w:shd w:val="clear" w:color="auto" w:fill="auto"/>
            <w:tcMar>
              <w:top w:w="40" w:type="dxa"/>
              <w:bottom w:w="40" w:type="dxa"/>
              <w:right w:w="40" w:type="dxa"/>
            </w:tcMar>
            <w:vAlign w:val="bottom"/>
          </w:tcPr>
          <w:p w14:paraId="0BC982E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2F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2F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2F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2F3"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22.2</w:t>
            </w:r>
          </w:p>
        </w:tc>
        <w:tc>
          <w:tcPr>
            <w:tcW w:w="0" w:type="auto"/>
            <w:shd w:val="clear" w:color="auto" w:fill="auto"/>
            <w:tcMar>
              <w:top w:w="40" w:type="dxa"/>
              <w:bottom w:w="40" w:type="dxa"/>
              <w:right w:w="40" w:type="dxa"/>
            </w:tcMar>
            <w:vAlign w:val="bottom"/>
          </w:tcPr>
          <w:p w14:paraId="0BC982F4"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2F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2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2F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2F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22.4</w:t>
            </w:r>
          </w:p>
        </w:tc>
        <w:tc>
          <w:tcPr>
            <w:tcW w:w="0" w:type="auto"/>
            <w:shd w:val="clear" w:color="auto" w:fill="auto"/>
            <w:tcMar>
              <w:top w:w="40" w:type="dxa"/>
              <w:bottom w:w="40" w:type="dxa"/>
              <w:right w:w="40" w:type="dxa"/>
            </w:tcMar>
            <w:vAlign w:val="bottom"/>
          </w:tcPr>
          <w:p w14:paraId="0BC982F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bl>
    <w:p w14:paraId="0BC982FB" w14:textId="77777777" w:rsidR="009F0928" w:rsidRDefault="009F0928">
      <w:pPr>
        <w:spacing w:line="288" w:lineRule="auto"/>
        <w:jc w:val="both"/>
        <w:rPr>
          <w:rFonts w:ascii="Times New Roman" w:hAnsi="Times New Roman"/>
          <w:sz w:val="20"/>
          <w:szCs w:val="20"/>
        </w:rPr>
      </w:pPr>
    </w:p>
    <w:p w14:paraId="0BC982FC"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increase in cost of net revenues in 2019 compared to 2018 and 2018 compared to 2017 was primarily due to an increase in site operation and payment processing costs as we increased our investments in our business, and an increase in costs of goods sold </w:t>
      </w:r>
      <w:r>
        <w:rPr>
          <w:rFonts w:ascii="Arial" w:eastAsia="宋体" w:hAnsi="Arial" w:cs="Arial"/>
          <w:sz w:val="20"/>
          <w:szCs w:val="20"/>
        </w:rPr>
        <w:t xml:space="preserve">driven by our first-party inventory program in Korea. </w:t>
      </w:r>
    </w:p>
    <w:p w14:paraId="0BC982FD" w14:textId="77777777" w:rsidR="009F0928" w:rsidRDefault="002112BD">
      <w:pPr>
        <w:spacing w:line="288" w:lineRule="auto"/>
        <w:ind w:firstLine="640"/>
        <w:jc w:val="both"/>
        <w:rPr>
          <w:rFonts w:ascii="Times New Roman" w:hAnsi="Times New Roman"/>
          <w:sz w:val="20"/>
          <w:szCs w:val="20"/>
        </w:rPr>
      </w:pPr>
      <w:r>
        <w:rPr>
          <w:rFonts w:ascii="Arial" w:eastAsia="宋体" w:hAnsi="Arial" w:cs="Arial"/>
          <w:sz w:val="20"/>
          <w:szCs w:val="20"/>
        </w:rPr>
        <w:t> </w:t>
      </w:r>
    </w:p>
    <w:p w14:paraId="0BC982F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Cost of net revenues, net of immaterial hedging activities, was favorably impacted by $56 million attributable to foreign currency movements relative to the U.S. dollar in 2019 compared to 2018. Cost of net revenues was unfavorably impacted by $34 million </w:t>
      </w:r>
      <w:r>
        <w:rPr>
          <w:rFonts w:ascii="Arial" w:eastAsia="宋体" w:hAnsi="Arial" w:cs="Arial"/>
          <w:sz w:val="20"/>
          <w:szCs w:val="20"/>
        </w:rPr>
        <w:t xml:space="preserve">attributable to foreign currency movements relative to the U.S. dollar in 2018. There was no hedging activity within cost of net revenues in 2018. </w:t>
      </w:r>
    </w:p>
    <w:p w14:paraId="0BC982FF" w14:textId="77777777" w:rsidR="009F0928" w:rsidRDefault="009F0928">
      <w:pPr>
        <w:spacing w:line="288" w:lineRule="auto"/>
        <w:ind w:firstLine="720"/>
        <w:jc w:val="both"/>
        <w:rPr>
          <w:rFonts w:ascii="Times New Roman" w:hAnsi="Times New Roman"/>
          <w:sz w:val="20"/>
          <w:szCs w:val="20"/>
        </w:rPr>
      </w:pPr>
    </w:p>
    <w:p w14:paraId="0BC98300" w14:textId="77777777" w:rsidR="009F0928" w:rsidRDefault="009F0928">
      <w:pPr>
        <w:spacing w:line="288" w:lineRule="auto"/>
        <w:jc w:val="both"/>
        <w:rPr>
          <w:rFonts w:ascii="Times New Roman" w:hAnsi="Times New Roman"/>
          <w:sz w:val="20"/>
          <w:szCs w:val="20"/>
        </w:rPr>
      </w:pPr>
    </w:p>
    <w:p w14:paraId="0BC98301"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Operating Expenses</w:t>
      </w:r>
    </w:p>
    <w:p w14:paraId="0BC98302" w14:textId="77777777" w:rsidR="009F0928" w:rsidRDefault="009F0928">
      <w:pPr>
        <w:spacing w:line="288" w:lineRule="auto"/>
        <w:ind w:firstLine="600"/>
        <w:jc w:val="both"/>
        <w:rPr>
          <w:rFonts w:ascii="Times New Roman" w:hAnsi="Times New Roman"/>
          <w:sz w:val="20"/>
          <w:szCs w:val="20"/>
        </w:rPr>
      </w:pPr>
    </w:p>
    <w:p w14:paraId="0BC9830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following table presents operating expenses (in millions, except </w:t>
      </w:r>
      <w:r>
        <w:rPr>
          <w:rFonts w:ascii="Arial" w:eastAsia="宋体" w:hAnsi="Arial" w:cs="Arial"/>
          <w:sz w:val="20"/>
          <w:szCs w:val="20"/>
        </w:rPr>
        <w:t>percentages): </w:t>
      </w:r>
    </w:p>
    <w:tbl>
      <w:tblPr>
        <w:tblW w:w="4990" w:type="pct"/>
        <w:tblCellMar>
          <w:left w:w="0" w:type="dxa"/>
          <w:right w:w="0" w:type="dxa"/>
        </w:tblCellMar>
        <w:tblLook w:val="04A0" w:firstRow="1" w:lastRow="0" w:firstColumn="1" w:lastColumn="0" w:noHBand="0" w:noVBand="1"/>
      </w:tblPr>
      <w:tblGrid>
        <w:gridCol w:w="3251"/>
        <w:gridCol w:w="129"/>
        <w:gridCol w:w="599"/>
        <w:gridCol w:w="183"/>
        <w:gridCol w:w="130"/>
        <w:gridCol w:w="682"/>
        <w:gridCol w:w="236"/>
        <w:gridCol w:w="130"/>
        <w:gridCol w:w="129"/>
        <w:gridCol w:w="599"/>
        <w:gridCol w:w="183"/>
        <w:gridCol w:w="130"/>
        <w:gridCol w:w="683"/>
        <w:gridCol w:w="183"/>
        <w:gridCol w:w="130"/>
        <w:gridCol w:w="129"/>
        <w:gridCol w:w="600"/>
        <w:gridCol w:w="183"/>
      </w:tblGrid>
      <w:tr w:rsidR="009F0928" w14:paraId="0BC98305" w14:textId="77777777">
        <w:tc>
          <w:tcPr>
            <w:tcW w:w="0" w:type="auto"/>
            <w:gridSpan w:val="18"/>
            <w:shd w:val="clear" w:color="auto" w:fill="auto"/>
            <w:vAlign w:val="center"/>
          </w:tcPr>
          <w:p w14:paraId="0BC98304" w14:textId="77777777" w:rsidR="009F0928" w:rsidRDefault="009F0928">
            <w:pPr>
              <w:rPr>
                <w:rFonts w:ascii="Times New Roman" w:hAnsi="Times New Roman"/>
                <w:sz w:val="20"/>
                <w:szCs w:val="20"/>
              </w:rPr>
            </w:pPr>
          </w:p>
        </w:tc>
      </w:tr>
      <w:tr w:rsidR="009F0928" w14:paraId="0BC98318" w14:textId="77777777">
        <w:tc>
          <w:tcPr>
            <w:tcW w:w="2050" w:type="pct"/>
            <w:shd w:val="clear" w:color="auto" w:fill="auto"/>
            <w:vAlign w:val="center"/>
          </w:tcPr>
          <w:p w14:paraId="0BC98306" w14:textId="77777777" w:rsidR="009F0928" w:rsidRDefault="009F0928">
            <w:pPr>
              <w:rPr>
                <w:rFonts w:ascii="Times New Roman" w:hAnsi="Times New Roman"/>
                <w:sz w:val="20"/>
                <w:szCs w:val="20"/>
              </w:rPr>
            </w:pPr>
          </w:p>
        </w:tc>
        <w:tc>
          <w:tcPr>
            <w:tcW w:w="50" w:type="pct"/>
            <w:shd w:val="clear" w:color="auto" w:fill="auto"/>
            <w:vAlign w:val="center"/>
          </w:tcPr>
          <w:p w14:paraId="0BC98307" w14:textId="77777777" w:rsidR="009F0928" w:rsidRDefault="009F0928">
            <w:pPr>
              <w:rPr>
                <w:rFonts w:ascii="Times New Roman" w:hAnsi="Times New Roman"/>
                <w:sz w:val="20"/>
                <w:szCs w:val="20"/>
              </w:rPr>
            </w:pPr>
          </w:p>
        </w:tc>
        <w:tc>
          <w:tcPr>
            <w:tcW w:w="450" w:type="pct"/>
            <w:shd w:val="clear" w:color="auto" w:fill="auto"/>
            <w:vAlign w:val="center"/>
          </w:tcPr>
          <w:p w14:paraId="0BC98308" w14:textId="77777777" w:rsidR="009F0928" w:rsidRDefault="009F0928">
            <w:pPr>
              <w:rPr>
                <w:rFonts w:ascii="Times New Roman" w:hAnsi="Times New Roman"/>
                <w:sz w:val="20"/>
                <w:szCs w:val="20"/>
              </w:rPr>
            </w:pPr>
          </w:p>
        </w:tc>
        <w:tc>
          <w:tcPr>
            <w:tcW w:w="50" w:type="pct"/>
            <w:shd w:val="clear" w:color="auto" w:fill="auto"/>
            <w:vAlign w:val="center"/>
          </w:tcPr>
          <w:p w14:paraId="0BC98309" w14:textId="77777777" w:rsidR="009F0928" w:rsidRDefault="009F0928">
            <w:pPr>
              <w:rPr>
                <w:rFonts w:ascii="Times New Roman" w:hAnsi="Times New Roman"/>
                <w:sz w:val="20"/>
                <w:szCs w:val="20"/>
              </w:rPr>
            </w:pPr>
          </w:p>
        </w:tc>
        <w:tc>
          <w:tcPr>
            <w:tcW w:w="50" w:type="pct"/>
            <w:shd w:val="clear" w:color="auto" w:fill="auto"/>
            <w:vAlign w:val="center"/>
          </w:tcPr>
          <w:p w14:paraId="0BC9830A" w14:textId="77777777" w:rsidR="009F0928" w:rsidRDefault="009F0928">
            <w:pPr>
              <w:rPr>
                <w:rFonts w:ascii="Times New Roman" w:hAnsi="Times New Roman"/>
                <w:sz w:val="20"/>
                <w:szCs w:val="20"/>
              </w:rPr>
            </w:pPr>
          </w:p>
        </w:tc>
        <w:tc>
          <w:tcPr>
            <w:tcW w:w="500" w:type="pct"/>
            <w:shd w:val="clear" w:color="auto" w:fill="auto"/>
            <w:vAlign w:val="center"/>
          </w:tcPr>
          <w:p w14:paraId="0BC9830B" w14:textId="77777777" w:rsidR="009F0928" w:rsidRDefault="009F0928">
            <w:pPr>
              <w:rPr>
                <w:rFonts w:ascii="Times New Roman" w:hAnsi="Times New Roman"/>
                <w:sz w:val="20"/>
                <w:szCs w:val="20"/>
              </w:rPr>
            </w:pPr>
          </w:p>
        </w:tc>
        <w:tc>
          <w:tcPr>
            <w:tcW w:w="50" w:type="pct"/>
            <w:shd w:val="clear" w:color="auto" w:fill="auto"/>
            <w:vAlign w:val="center"/>
          </w:tcPr>
          <w:p w14:paraId="0BC9830C" w14:textId="77777777" w:rsidR="009F0928" w:rsidRDefault="009F0928">
            <w:pPr>
              <w:rPr>
                <w:rFonts w:ascii="Times New Roman" w:hAnsi="Times New Roman"/>
                <w:sz w:val="20"/>
                <w:szCs w:val="20"/>
              </w:rPr>
            </w:pPr>
          </w:p>
        </w:tc>
        <w:tc>
          <w:tcPr>
            <w:tcW w:w="50" w:type="pct"/>
            <w:shd w:val="clear" w:color="auto" w:fill="auto"/>
            <w:vAlign w:val="center"/>
          </w:tcPr>
          <w:p w14:paraId="0BC9830D" w14:textId="77777777" w:rsidR="009F0928" w:rsidRDefault="009F0928">
            <w:pPr>
              <w:rPr>
                <w:rFonts w:ascii="Times New Roman" w:hAnsi="Times New Roman"/>
                <w:sz w:val="20"/>
                <w:szCs w:val="20"/>
              </w:rPr>
            </w:pPr>
          </w:p>
        </w:tc>
        <w:tc>
          <w:tcPr>
            <w:tcW w:w="50" w:type="pct"/>
            <w:shd w:val="clear" w:color="auto" w:fill="auto"/>
            <w:vAlign w:val="center"/>
          </w:tcPr>
          <w:p w14:paraId="0BC9830E" w14:textId="77777777" w:rsidR="009F0928" w:rsidRDefault="009F0928">
            <w:pPr>
              <w:rPr>
                <w:rFonts w:ascii="Times New Roman" w:hAnsi="Times New Roman"/>
                <w:sz w:val="20"/>
                <w:szCs w:val="20"/>
              </w:rPr>
            </w:pPr>
          </w:p>
        </w:tc>
        <w:tc>
          <w:tcPr>
            <w:tcW w:w="450" w:type="pct"/>
            <w:shd w:val="clear" w:color="auto" w:fill="auto"/>
            <w:vAlign w:val="center"/>
          </w:tcPr>
          <w:p w14:paraId="0BC9830F" w14:textId="77777777" w:rsidR="009F0928" w:rsidRDefault="009F0928">
            <w:pPr>
              <w:rPr>
                <w:rFonts w:ascii="Times New Roman" w:hAnsi="Times New Roman"/>
                <w:sz w:val="20"/>
                <w:szCs w:val="20"/>
              </w:rPr>
            </w:pPr>
          </w:p>
        </w:tc>
        <w:tc>
          <w:tcPr>
            <w:tcW w:w="50" w:type="pct"/>
            <w:shd w:val="clear" w:color="auto" w:fill="auto"/>
            <w:vAlign w:val="center"/>
          </w:tcPr>
          <w:p w14:paraId="0BC98310" w14:textId="77777777" w:rsidR="009F0928" w:rsidRDefault="009F0928">
            <w:pPr>
              <w:rPr>
                <w:rFonts w:ascii="Times New Roman" w:hAnsi="Times New Roman"/>
                <w:sz w:val="20"/>
                <w:szCs w:val="20"/>
              </w:rPr>
            </w:pPr>
          </w:p>
        </w:tc>
        <w:tc>
          <w:tcPr>
            <w:tcW w:w="50" w:type="pct"/>
            <w:shd w:val="clear" w:color="auto" w:fill="auto"/>
            <w:vAlign w:val="center"/>
          </w:tcPr>
          <w:p w14:paraId="0BC98311" w14:textId="77777777" w:rsidR="009F0928" w:rsidRDefault="009F0928">
            <w:pPr>
              <w:rPr>
                <w:rFonts w:ascii="Times New Roman" w:hAnsi="Times New Roman"/>
                <w:sz w:val="20"/>
                <w:szCs w:val="20"/>
              </w:rPr>
            </w:pPr>
          </w:p>
        </w:tc>
        <w:tc>
          <w:tcPr>
            <w:tcW w:w="500" w:type="pct"/>
            <w:shd w:val="clear" w:color="auto" w:fill="auto"/>
            <w:vAlign w:val="center"/>
          </w:tcPr>
          <w:p w14:paraId="0BC98312" w14:textId="77777777" w:rsidR="009F0928" w:rsidRDefault="009F0928">
            <w:pPr>
              <w:rPr>
                <w:rFonts w:ascii="Times New Roman" w:hAnsi="Times New Roman"/>
                <w:sz w:val="20"/>
                <w:szCs w:val="20"/>
              </w:rPr>
            </w:pPr>
          </w:p>
        </w:tc>
        <w:tc>
          <w:tcPr>
            <w:tcW w:w="50" w:type="pct"/>
            <w:shd w:val="clear" w:color="auto" w:fill="auto"/>
            <w:vAlign w:val="center"/>
          </w:tcPr>
          <w:p w14:paraId="0BC98313" w14:textId="77777777" w:rsidR="009F0928" w:rsidRDefault="009F0928">
            <w:pPr>
              <w:rPr>
                <w:rFonts w:ascii="Times New Roman" w:hAnsi="Times New Roman"/>
                <w:sz w:val="20"/>
                <w:szCs w:val="20"/>
              </w:rPr>
            </w:pPr>
          </w:p>
        </w:tc>
        <w:tc>
          <w:tcPr>
            <w:tcW w:w="50" w:type="pct"/>
            <w:shd w:val="clear" w:color="auto" w:fill="auto"/>
            <w:vAlign w:val="center"/>
          </w:tcPr>
          <w:p w14:paraId="0BC98314" w14:textId="77777777" w:rsidR="009F0928" w:rsidRDefault="009F0928">
            <w:pPr>
              <w:rPr>
                <w:rFonts w:ascii="Times New Roman" w:hAnsi="Times New Roman"/>
                <w:sz w:val="20"/>
                <w:szCs w:val="20"/>
              </w:rPr>
            </w:pPr>
          </w:p>
        </w:tc>
        <w:tc>
          <w:tcPr>
            <w:tcW w:w="50" w:type="pct"/>
            <w:shd w:val="clear" w:color="auto" w:fill="auto"/>
            <w:vAlign w:val="center"/>
          </w:tcPr>
          <w:p w14:paraId="0BC98315" w14:textId="77777777" w:rsidR="009F0928" w:rsidRDefault="009F0928">
            <w:pPr>
              <w:rPr>
                <w:rFonts w:ascii="Times New Roman" w:hAnsi="Times New Roman"/>
                <w:sz w:val="20"/>
                <w:szCs w:val="20"/>
              </w:rPr>
            </w:pPr>
          </w:p>
        </w:tc>
        <w:tc>
          <w:tcPr>
            <w:tcW w:w="450" w:type="pct"/>
            <w:shd w:val="clear" w:color="auto" w:fill="auto"/>
            <w:vAlign w:val="center"/>
          </w:tcPr>
          <w:p w14:paraId="0BC98316" w14:textId="77777777" w:rsidR="009F0928" w:rsidRDefault="009F0928">
            <w:pPr>
              <w:rPr>
                <w:rFonts w:ascii="Times New Roman" w:hAnsi="Times New Roman"/>
                <w:sz w:val="20"/>
                <w:szCs w:val="20"/>
              </w:rPr>
            </w:pPr>
          </w:p>
        </w:tc>
        <w:tc>
          <w:tcPr>
            <w:tcW w:w="50" w:type="pct"/>
            <w:shd w:val="clear" w:color="auto" w:fill="auto"/>
            <w:vAlign w:val="center"/>
          </w:tcPr>
          <w:p w14:paraId="0BC98317" w14:textId="77777777" w:rsidR="009F0928" w:rsidRDefault="009F0928">
            <w:pPr>
              <w:rPr>
                <w:rFonts w:ascii="Times New Roman" w:hAnsi="Times New Roman"/>
                <w:sz w:val="20"/>
                <w:szCs w:val="20"/>
              </w:rPr>
            </w:pPr>
          </w:p>
        </w:tc>
      </w:tr>
      <w:tr w:rsidR="009F0928" w14:paraId="0BC9831B" w14:textId="77777777">
        <w:tc>
          <w:tcPr>
            <w:tcW w:w="0" w:type="auto"/>
            <w:shd w:val="clear" w:color="auto" w:fill="auto"/>
            <w:tcMar>
              <w:top w:w="40" w:type="dxa"/>
              <w:left w:w="40" w:type="dxa"/>
              <w:bottom w:w="40" w:type="dxa"/>
              <w:right w:w="40" w:type="dxa"/>
            </w:tcMar>
            <w:vAlign w:val="bottom"/>
          </w:tcPr>
          <w:p w14:paraId="0BC98319"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17"/>
            <w:tcBorders>
              <w:bottom w:val="single" w:sz="8" w:space="0" w:color="000000"/>
            </w:tcBorders>
            <w:shd w:val="clear" w:color="auto" w:fill="auto"/>
            <w:tcMar>
              <w:top w:w="40" w:type="dxa"/>
              <w:left w:w="40" w:type="dxa"/>
              <w:bottom w:w="40" w:type="dxa"/>
            </w:tcMar>
            <w:vAlign w:val="bottom"/>
          </w:tcPr>
          <w:p w14:paraId="0BC9831A"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Year Ended December 31,</w:t>
            </w:r>
          </w:p>
        </w:tc>
      </w:tr>
      <w:tr w:rsidR="009F0928" w14:paraId="0BC98326" w14:textId="77777777">
        <w:tc>
          <w:tcPr>
            <w:tcW w:w="0" w:type="auto"/>
            <w:shd w:val="clear" w:color="auto" w:fill="auto"/>
            <w:tcMar>
              <w:top w:w="40" w:type="dxa"/>
              <w:left w:w="40" w:type="dxa"/>
              <w:bottom w:w="40" w:type="dxa"/>
              <w:right w:w="40" w:type="dxa"/>
            </w:tcMar>
            <w:vAlign w:val="bottom"/>
          </w:tcPr>
          <w:p w14:paraId="0BC9831C"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31D"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0BC983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31F"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Change</w:t>
            </w:r>
          </w:p>
        </w:tc>
        <w:tc>
          <w:tcPr>
            <w:tcW w:w="0" w:type="auto"/>
            <w:shd w:val="clear" w:color="auto" w:fill="auto"/>
            <w:tcMar>
              <w:top w:w="40" w:type="dxa"/>
              <w:left w:w="40" w:type="dxa"/>
              <w:bottom w:w="40" w:type="dxa"/>
              <w:right w:w="40" w:type="dxa"/>
            </w:tcMar>
            <w:vAlign w:val="bottom"/>
          </w:tcPr>
          <w:p w14:paraId="0BC9832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321"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0BC9832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323"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Change</w:t>
            </w:r>
          </w:p>
        </w:tc>
        <w:tc>
          <w:tcPr>
            <w:tcW w:w="0" w:type="auto"/>
            <w:shd w:val="clear" w:color="auto" w:fill="auto"/>
            <w:tcMar>
              <w:top w:w="40" w:type="dxa"/>
              <w:left w:w="40" w:type="dxa"/>
              <w:bottom w:w="40" w:type="dxa"/>
              <w:right w:w="40" w:type="dxa"/>
            </w:tcMar>
            <w:vAlign w:val="bottom"/>
          </w:tcPr>
          <w:p w14:paraId="0BC9832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325"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2017</w:t>
            </w:r>
          </w:p>
        </w:tc>
      </w:tr>
      <w:tr w:rsidR="009F0928" w14:paraId="0BC98339" w14:textId="77777777">
        <w:tc>
          <w:tcPr>
            <w:tcW w:w="0" w:type="auto"/>
            <w:shd w:val="clear" w:color="auto" w:fill="E2E2E2"/>
            <w:tcMar>
              <w:top w:w="40" w:type="dxa"/>
              <w:left w:w="40" w:type="dxa"/>
              <w:bottom w:w="40" w:type="dxa"/>
              <w:right w:w="40" w:type="dxa"/>
            </w:tcMar>
            <w:vAlign w:val="bottom"/>
          </w:tcPr>
          <w:p w14:paraId="0BC98327" w14:textId="77777777" w:rsidR="009F0928" w:rsidRDefault="002112BD">
            <w:pPr>
              <w:textAlignment w:val="bottom"/>
              <w:rPr>
                <w:rFonts w:ascii="Times New Roman" w:hAnsi="Times New Roman"/>
                <w:sz w:val="16"/>
                <w:szCs w:val="16"/>
              </w:rPr>
            </w:pPr>
            <w:r>
              <w:rPr>
                <w:rFonts w:ascii="Arial" w:eastAsia="宋体" w:hAnsi="Arial" w:cs="Arial"/>
                <w:sz w:val="16"/>
                <w:szCs w:val="16"/>
              </w:rPr>
              <w:t>Sales and marketing</w:t>
            </w:r>
          </w:p>
        </w:tc>
        <w:tc>
          <w:tcPr>
            <w:tcW w:w="0" w:type="auto"/>
            <w:shd w:val="clear" w:color="auto" w:fill="E2E2E2"/>
            <w:tcMar>
              <w:top w:w="40" w:type="dxa"/>
              <w:left w:w="40" w:type="dxa"/>
              <w:bottom w:w="40" w:type="dxa"/>
            </w:tcMar>
            <w:vAlign w:val="bottom"/>
          </w:tcPr>
          <w:p w14:paraId="0BC98328"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832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3,194</w:t>
            </w:r>
          </w:p>
        </w:tc>
        <w:tc>
          <w:tcPr>
            <w:tcW w:w="0" w:type="auto"/>
            <w:shd w:val="clear" w:color="auto" w:fill="E2E2E2"/>
            <w:vAlign w:val="bottom"/>
          </w:tcPr>
          <w:p w14:paraId="0BC9832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32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32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w:t>
            </w:r>
          </w:p>
        </w:tc>
        <w:tc>
          <w:tcPr>
            <w:tcW w:w="0" w:type="auto"/>
            <w:shd w:val="clear" w:color="auto" w:fill="E2E2E2"/>
            <w:tcMar>
              <w:top w:w="40" w:type="dxa"/>
              <w:bottom w:w="40" w:type="dxa"/>
              <w:right w:w="40" w:type="dxa"/>
            </w:tcMar>
            <w:vAlign w:val="bottom"/>
          </w:tcPr>
          <w:p w14:paraId="0BC9832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32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32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833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3,391</w:t>
            </w:r>
          </w:p>
        </w:tc>
        <w:tc>
          <w:tcPr>
            <w:tcW w:w="0" w:type="auto"/>
            <w:shd w:val="clear" w:color="auto" w:fill="E2E2E2"/>
            <w:vAlign w:val="bottom"/>
          </w:tcPr>
          <w:p w14:paraId="0BC9833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33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333"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18</w:t>
            </w:r>
          </w:p>
        </w:tc>
        <w:tc>
          <w:tcPr>
            <w:tcW w:w="0" w:type="auto"/>
            <w:shd w:val="clear" w:color="auto" w:fill="E2E2E2"/>
            <w:tcMar>
              <w:top w:w="40" w:type="dxa"/>
              <w:bottom w:w="40" w:type="dxa"/>
              <w:right w:w="40" w:type="dxa"/>
            </w:tcMar>
            <w:vAlign w:val="bottom"/>
          </w:tcPr>
          <w:p w14:paraId="0BC98334"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33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336"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833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2,878</w:t>
            </w:r>
          </w:p>
        </w:tc>
        <w:tc>
          <w:tcPr>
            <w:tcW w:w="0" w:type="auto"/>
            <w:shd w:val="clear" w:color="auto" w:fill="E2E2E2"/>
            <w:vAlign w:val="bottom"/>
          </w:tcPr>
          <w:p w14:paraId="0BC98338" w14:textId="77777777" w:rsidR="009F0928" w:rsidRDefault="009F0928">
            <w:pPr>
              <w:textAlignment w:val="bottom"/>
              <w:rPr>
                <w:rFonts w:ascii="Times New Roman" w:hAnsi="Times New Roman"/>
                <w:sz w:val="20"/>
                <w:szCs w:val="20"/>
              </w:rPr>
            </w:pPr>
          </w:p>
        </w:tc>
      </w:tr>
      <w:tr w:rsidR="009F0928" w14:paraId="0BC98347" w14:textId="77777777">
        <w:tc>
          <w:tcPr>
            <w:tcW w:w="0" w:type="auto"/>
            <w:shd w:val="clear" w:color="auto" w:fill="auto"/>
            <w:tcMar>
              <w:top w:w="40" w:type="dxa"/>
              <w:left w:w="240" w:type="dxa"/>
              <w:bottom w:w="40" w:type="dxa"/>
              <w:right w:w="40" w:type="dxa"/>
            </w:tcMar>
            <w:vAlign w:val="bottom"/>
          </w:tcPr>
          <w:p w14:paraId="0BC9833A"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Percentage of net revenues</w:t>
            </w:r>
          </w:p>
        </w:tc>
        <w:tc>
          <w:tcPr>
            <w:tcW w:w="0" w:type="auto"/>
            <w:gridSpan w:val="2"/>
            <w:shd w:val="clear" w:color="auto" w:fill="auto"/>
            <w:tcMar>
              <w:top w:w="40" w:type="dxa"/>
              <w:left w:w="40" w:type="dxa"/>
              <w:bottom w:w="40" w:type="dxa"/>
            </w:tcMar>
            <w:vAlign w:val="bottom"/>
          </w:tcPr>
          <w:p w14:paraId="0BC9833B"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30</w:t>
            </w:r>
          </w:p>
        </w:tc>
        <w:tc>
          <w:tcPr>
            <w:tcW w:w="0" w:type="auto"/>
            <w:shd w:val="clear" w:color="auto" w:fill="auto"/>
            <w:tcMar>
              <w:top w:w="40" w:type="dxa"/>
              <w:bottom w:w="40" w:type="dxa"/>
              <w:right w:w="40" w:type="dxa"/>
            </w:tcMar>
            <w:vAlign w:val="bottom"/>
          </w:tcPr>
          <w:p w14:paraId="0BC9833C"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c>
          <w:tcPr>
            <w:tcW w:w="0" w:type="auto"/>
            <w:shd w:val="clear" w:color="auto" w:fill="auto"/>
            <w:tcMar>
              <w:top w:w="40" w:type="dxa"/>
              <w:left w:w="40" w:type="dxa"/>
              <w:bottom w:w="40" w:type="dxa"/>
              <w:right w:w="40" w:type="dxa"/>
            </w:tcMar>
            <w:vAlign w:val="bottom"/>
          </w:tcPr>
          <w:p w14:paraId="0BC983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33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33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340"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32</w:t>
            </w:r>
          </w:p>
        </w:tc>
        <w:tc>
          <w:tcPr>
            <w:tcW w:w="0" w:type="auto"/>
            <w:shd w:val="clear" w:color="auto" w:fill="auto"/>
            <w:tcMar>
              <w:top w:w="40" w:type="dxa"/>
              <w:bottom w:w="40" w:type="dxa"/>
              <w:right w:w="40" w:type="dxa"/>
            </w:tcMar>
            <w:vAlign w:val="bottom"/>
          </w:tcPr>
          <w:p w14:paraId="0BC98341"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c>
          <w:tcPr>
            <w:tcW w:w="0" w:type="auto"/>
            <w:shd w:val="clear" w:color="auto" w:fill="auto"/>
            <w:tcMar>
              <w:top w:w="40" w:type="dxa"/>
              <w:left w:w="40" w:type="dxa"/>
              <w:bottom w:w="40" w:type="dxa"/>
              <w:right w:w="40" w:type="dxa"/>
            </w:tcMar>
            <w:vAlign w:val="bottom"/>
          </w:tcPr>
          <w:p w14:paraId="0BC9834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34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34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345"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29</w:t>
            </w:r>
          </w:p>
        </w:tc>
        <w:tc>
          <w:tcPr>
            <w:tcW w:w="0" w:type="auto"/>
            <w:shd w:val="clear" w:color="auto" w:fill="auto"/>
            <w:tcMar>
              <w:top w:w="40" w:type="dxa"/>
              <w:bottom w:w="40" w:type="dxa"/>
              <w:right w:w="40" w:type="dxa"/>
            </w:tcMar>
            <w:vAlign w:val="bottom"/>
          </w:tcPr>
          <w:p w14:paraId="0BC98346"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r>
      <w:tr w:rsidR="009F0928" w14:paraId="0BC98357" w14:textId="77777777">
        <w:tc>
          <w:tcPr>
            <w:tcW w:w="0" w:type="auto"/>
            <w:shd w:val="clear" w:color="auto" w:fill="E2E2E2"/>
            <w:tcMar>
              <w:top w:w="40" w:type="dxa"/>
              <w:left w:w="40" w:type="dxa"/>
              <w:bottom w:w="40" w:type="dxa"/>
              <w:right w:w="40" w:type="dxa"/>
            </w:tcMar>
            <w:vAlign w:val="bottom"/>
          </w:tcPr>
          <w:p w14:paraId="0BC98348" w14:textId="77777777" w:rsidR="009F0928" w:rsidRDefault="002112BD">
            <w:pPr>
              <w:textAlignment w:val="bottom"/>
              <w:rPr>
                <w:rFonts w:ascii="Times New Roman" w:hAnsi="Times New Roman"/>
                <w:sz w:val="16"/>
                <w:szCs w:val="16"/>
              </w:rPr>
            </w:pPr>
            <w:r>
              <w:rPr>
                <w:rFonts w:ascii="Arial" w:eastAsia="宋体" w:hAnsi="Arial" w:cs="Arial"/>
                <w:sz w:val="16"/>
                <w:szCs w:val="16"/>
              </w:rPr>
              <w:t xml:space="preserve">Product </w:t>
            </w:r>
            <w:r>
              <w:rPr>
                <w:rFonts w:ascii="Arial" w:eastAsia="宋体" w:hAnsi="Arial" w:cs="Arial"/>
                <w:sz w:val="16"/>
                <w:szCs w:val="16"/>
              </w:rPr>
              <w:t>development</w:t>
            </w:r>
          </w:p>
        </w:tc>
        <w:tc>
          <w:tcPr>
            <w:tcW w:w="0" w:type="auto"/>
            <w:gridSpan w:val="2"/>
            <w:shd w:val="clear" w:color="auto" w:fill="E2E2E2"/>
            <w:tcMar>
              <w:top w:w="40" w:type="dxa"/>
              <w:left w:w="40" w:type="dxa"/>
              <w:bottom w:w="40" w:type="dxa"/>
            </w:tcMar>
            <w:vAlign w:val="bottom"/>
          </w:tcPr>
          <w:p w14:paraId="0BC9834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1,240</w:t>
            </w:r>
          </w:p>
        </w:tc>
        <w:tc>
          <w:tcPr>
            <w:tcW w:w="0" w:type="auto"/>
            <w:shd w:val="clear" w:color="auto" w:fill="E2E2E2"/>
            <w:vAlign w:val="bottom"/>
          </w:tcPr>
          <w:p w14:paraId="0BC9834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34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34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w:t>
            </w:r>
          </w:p>
        </w:tc>
        <w:tc>
          <w:tcPr>
            <w:tcW w:w="0" w:type="auto"/>
            <w:shd w:val="clear" w:color="auto" w:fill="E2E2E2"/>
            <w:tcMar>
              <w:top w:w="40" w:type="dxa"/>
              <w:bottom w:w="40" w:type="dxa"/>
              <w:right w:w="40" w:type="dxa"/>
            </w:tcMar>
            <w:vAlign w:val="bottom"/>
          </w:tcPr>
          <w:p w14:paraId="0BC9834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34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34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1,285</w:t>
            </w:r>
          </w:p>
        </w:tc>
        <w:tc>
          <w:tcPr>
            <w:tcW w:w="0" w:type="auto"/>
            <w:shd w:val="clear" w:color="auto" w:fill="E2E2E2"/>
            <w:vAlign w:val="bottom"/>
          </w:tcPr>
          <w:p w14:paraId="0BC9835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35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35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E2E2E2"/>
            <w:tcMar>
              <w:top w:w="40" w:type="dxa"/>
              <w:bottom w:w="40" w:type="dxa"/>
              <w:right w:w="40" w:type="dxa"/>
            </w:tcMar>
            <w:vAlign w:val="bottom"/>
          </w:tcPr>
          <w:p w14:paraId="0BC9835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35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35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1,224</w:t>
            </w:r>
          </w:p>
        </w:tc>
        <w:tc>
          <w:tcPr>
            <w:tcW w:w="0" w:type="auto"/>
            <w:shd w:val="clear" w:color="auto" w:fill="E2E2E2"/>
            <w:vAlign w:val="bottom"/>
          </w:tcPr>
          <w:p w14:paraId="0BC98356" w14:textId="77777777" w:rsidR="009F0928" w:rsidRDefault="009F0928">
            <w:pPr>
              <w:textAlignment w:val="bottom"/>
              <w:rPr>
                <w:rFonts w:ascii="Times New Roman" w:hAnsi="Times New Roman"/>
                <w:sz w:val="20"/>
                <w:szCs w:val="20"/>
              </w:rPr>
            </w:pPr>
          </w:p>
        </w:tc>
      </w:tr>
      <w:tr w:rsidR="009F0928" w14:paraId="0BC98365" w14:textId="77777777">
        <w:tc>
          <w:tcPr>
            <w:tcW w:w="0" w:type="auto"/>
            <w:shd w:val="clear" w:color="auto" w:fill="auto"/>
            <w:tcMar>
              <w:top w:w="40" w:type="dxa"/>
              <w:left w:w="240" w:type="dxa"/>
              <w:bottom w:w="40" w:type="dxa"/>
              <w:right w:w="40" w:type="dxa"/>
            </w:tcMar>
            <w:vAlign w:val="bottom"/>
          </w:tcPr>
          <w:p w14:paraId="0BC98358"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Percentage of net revenues</w:t>
            </w:r>
          </w:p>
        </w:tc>
        <w:tc>
          <w:tcPr>
            <w:tcW w:w="0" w:type="auto"/>
            <w:gridSpan w:val="2"/>
            <w:shd w:val="clear" w:color="auto" w:fill="auto"/>
            <w:tcMar>
              <w:top w:w="40" w:type="dxa"/>
              <w:left w:w="40" w:type="dxa"/>
              <w:bottom w:w="40" w:type="dxa"/>
            </w:tcMar>
            <w:vAlign w:val="bottom"/>
          </w:tcPr>
          <w:p w14:paraId="0BC98359"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11</w:t>
            </w:r>
          </w:p>
        </w:tc>
        <w:tc>
          <w:tcPr>
            <w:tcW w:w="0" w:type="auto"/>
            <w:shd w:val="clear" w:color="auto" w:fill="auto"/>
            <w:tcMar>
              <w:top w:w="40" w:type="dxa"/>
              <w:bottom w:w="40" w:type="dxa"/>
              <w:right w:w="40" w:type="dxa"/>
            </w:tcMar>
            <w:vAlign w:val="bottom"/>
          </w:tcPr>
          <w:p w14:paraId="0BC9835A"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c>
          <w:tcPr>
            <w:tcW w:w="0" w:type="auto"/>
            <w:shd w:val="clear" w:color="auto" w:fill="auto"/>
            <w:tcMar>
              <w:top w:w="40" w:type="dxa"/>
              <w:left w:w="40" w:type="dxa"/>
              <w:bottom w:w="40" w:type="dxa"/>
              <w:right w:w="40" w:type="dxa"/>
            </w:tcMar>
            <w:vAlign w:val="bottom"/>
          </w:tcPr>
          <w:p w14:paraId="0BC9835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35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35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35E"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12</w:t>
            </w:r>
          </w:p>
        </w:tc>
        <w:tc>
          <w:tcPr>
            <w:tcW w:w="0" w:type="auto"/>
            <w:shd w:val="clear" w:color="auto" w:fill="auto"/>
            <w:tcMar>
              <w:top w:w="40" w:type="dxa"/>
              <w:bottom w:w="40" w:type="dxa"/>
              <w:right w:w="40" w:type="dxa"/>
            </w:tcMar>
            <w:vAlign w:val="bottom"/>
          </w:tcPr>
          <w:p w14:paraId="0BC9835F"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c>
          <w:tcPr>
            <w:tcW w:w="0" w:type="auto"/>
            <w:shd w:val="clear" w:color="auto" w:fill="auto"/>
            <w:tcMar>
              <w:top w:w="40" w:type="dxa"/>
              <w:left w:w="40" w:type="dxa"/>
              <w:bottom w:w="40" w:type="dxa"/>
              <w:right w:w="40" w:type="dxa"/>
            </w:tcMar>
            <w:vAlign w:val="bottom"/>
          </w:tcPr>
          <w:p w14:paraId="0BC9836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36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36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363"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12</w:t>
            </w:r>
          </w:p>
        </w:tc>
        <w:tc>
          <w:tcPr>
            <w:tcW w:w="0" w:type="auto"/>
            <w:shd w:val="clear" w:color="auto" w:fill="auto"/>
            <w:tcMar>
              <w:top w:w="40" w:type="dxa"/>
              <w:bottom w:w="40" w:type="dxa"/>
              <w:right w:w="40" w:type="dxa"/>
            </w:tcMar>
            <w:vAlign w:val="bottom"/>
          </w:tcPr>
          <w:p w14:paraId="0BC98364"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r>
      <w:tr w:rsidR="009F0928" w14:paraId="0BC98375" w14:textId="77777777">
        <w:tc>
          <w:tcPr>
            <w:tcW w:w="0" w:type="auto"/>
            <w:shd w:val="clear" w:color="auto" w:fill="E2E2E2"/>
            <w:tcMar>
              <w:top w:w="40" w:type="dxa"/>
              <w:left w:w="40" w:type="dxa"/>
              <w:bottom w:w="40" w:type="dxa"/>
              <w:right w:w="40" w:type="dxa"/>
            </w:tcMar>
            <w:vAlign w:val="bottom"/>
          </w:tcPr>
          <w:p w14:paraId="0BC98366" w14:textId="77777777" w:rsidR="009F0928" w:rsidRDefault="002112BD">
            <w:pPr>
              <w:textAlignment w:val="bottom"/>
              <w:rPr>
                <w:rFonts w:ascii="Times New Roman" w:hAnsi="Times New Roman"/>
                <w:sz w:val="16"/>
                <w:szCs w:val="16"/>
              </w:rPr>
            </w:pPr>
            <w:r>
              <w:rPr>
                <w:rFonts w:ascii="Arial" w:eastAsia="宋体" w:hAnsi="Arial" w:cs="Arial"/>
                <w:sz w:val="16"/>
                <w:szCs w:val="16"/>
              </w:rPr>
              <w:t>General and administrative</w:t>
            </w:r>
          </w:p>
        </w:tc>
        <w:tc>
          <w:tcPr>
            <w:tcW w:w="0" w:type="auto"/>
            <w:gridSpan w:val="2"/>
            <w:shd w:val="clear" w:color="auto" w:fill="E2E2E2"/>
            <w:tcMar>
              <w:top w:w="40" w:type="dxa"/>
              <w:left w:w="40" w:type="dxa"/>
              <w:bottom w:w="40" w:type="dxa"/>
            </w:tcMar>
            <w:vAlign w:val="bottom"/>
          </w:tcPr>
          <w:p w14:paraId="0BC9836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1,189</w:t>
            </w:r>
          </w:p>
        </w:tc>
        <w:tc>
          <w:tcPr>
            <w:tcW w:w="0" w:type="auto"/>
            <w:shd w:val="clear" w:color="auto" w:fill="E2E2E2"/>
            <w:vAlign w:val="bottom"/>
          </w:tcPr>
          <w:p w14:paraId="0BC9836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36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36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E2E2E2"/>
            <w:tcMar>
              <w:top w:w="40" w:type="dxa"/>
              <w:bottom w:w="40" w:type="dxa"/>
              <w:right w:w="40" w:type="dxa"/>
            </w:tcMar>
            <w:vAlign w:val="bottom"/>
          </w:tcPr>
          <w:p w14:paraId="0BC9836B"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836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36D"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1,131</w:t>
            </w:r>
          </w:p>
        </w:tc>
        <w:tc>
          <w:tcPr>
            <w:tcW w:w="0" w:type="auto"/>
            <w:shd w:val="clear" w:color="auto" w:fill="E2E2E2"/>
            <w:vAlign w:val="bottom"/>
          </w:tcPr>
          <w:p w14:paraId="0BC9836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36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37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w:t>
            </w:r>
          </w:p>
        </w:tc>
        <w:tc>
          <w:tcPr>
            <w:tcW w:w="0" w:type="auto"/>
            <w:shd w:val="clear" w:color="auto" w:fill="E2E2E2"/>
            <w:tcMar>
              <w:top w:w="40" w:type="dxa"/>
              <w:bottom w:w="40" w:type="dxa"/>
              <w:right w:w="40" w:type="dxa"/>
            </w:tcMar>
            <w:vAlign w:val="bottom"/>
          </w:tcPr>
          <w:p w14:paraId="0BC98371"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37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373"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1,030</w:t>
            </w:r>
          </w:p>
        </w:tc>
        <w:tc>
          <w:tcPr>
            <w:tcW w:w="0" w:type="auto"/>
            <w:shd w:val="clear" w:color="auto" w:fill="E2E2E2"/>
            <w:vAlign w:val="bottom"/>
          </w:tcPr>
          <w:p w14:paraId="0BC98374" w14:textId="77777777" w:rsidR="009F0928" w:rsidRDefault="009F0928">
            <w:pPr>
              <w:textAlignment w:val="bottom"/>
              <w:rPr>
                <w:rFonts w:ascii="Times New Roman" w:hAnsi="Times New Roman"/>
                <w:sz w:val="20"/>
                <w:szCs w:val="20"/>
              </w:rPr>
            </w:pPr>
          </w:p>
        </w:tc>
      </w:tr>
      <w:tr w:rsidR="009F0928" w14:paraId="0BC98383" w14:textId="77777777">
        <w:tc>
          <w:tcPr>
            <w:tcW w:w="0" w:type="auto"/>
            <w:shd w:val="clear" w:color="auto" w:fill="auto"/>
            <w:tcMar>
              <w:top w:w="40" w:type="dxa"/>
              <w:left w:w="240" w:type="dxa"/>
              <w:bottom w:w="40" w:type="dxa"/>
              <w:right w:w="40" w:type="dxa"/>
            </w:tcMar>
            <w:vAlign w:val="bottom"/>
          </w:tcPr>
          <w:p w14:paraId="0BC98376"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Percentage of net revenues</w:t>
            </w:r>
          </w:p>
        </w:tc>
        <w:tc>
          <w:tcPr>
            <w:tcW w:w="0" w:type="auto"/>
            <w:gridSpan w:val="2"/>
            <w:shd w:val="clear" w:color="auto" w:fill="auto"/>
            <w:tcMar>
              <w:top w:w="40" w:type="dxa"/>
              <w:left w:w="40" w:type="dxa"/>
              <w:bottom w:w="40" w:type="dxa"/>
            </w:tcMar>
            <w:vAlign w:val="bottom"/>
          </w:tcPr>
          <w:p w14:paraId="0BC98377"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11</w:t>
            </w:r>
          </w:p>
        </w:tc>
        <w:tc>
          <w:tcPr>
            <w:tcW w:w="0" w:type="auto"/>
            <w:shd w:val="clear" w:color="auto" w:fill="auto"/>
            <w:tcMar>
              <w:top w:w="40" w:type="dxa"/>
              <w:bottom w:w="40" w:type="dxa"/>
              <w:right w:w="40" w:type="dxa"/>
            </w:tcMar>
            <w:vAlign w:val="bottom"/>
          </w:tcPr>
          <w:p w14:paraId="0BC98378"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c>
          <w:tcPr>
            <w:tcW w:w="0" w:type="auto"/>
            <w:shd w:val="clear" w:color="auto" w:fill="auto"/>
            <w:tcMar>
              <w:top w:w="40" w:type="dxa"/>
              <w:left w:w="40" w:type="dxa"/>
              <w:bottom w:w="40" w:type="dxa"/>
              <w:right w:w="40" w:type="dxa"/>
            </w:tcMar>
            <w:vAlign w:val="bottom"/>
          </w:tcPr>
          <w:p w14:paraId="0BC983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37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37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37C"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11</w:t>
            </w:r>
          </w:p>
        </w:tc>
        <w:tc>
          <w:tcPr>
            <w:tcW w:w="0" w:type="auto"/>
            <w:shd w:val="clear" w:color="auto" w:fill="auto"/>
            <w:tcMar>
              <w:top w:w="40" w:type="dxa"/>
              <w:bottom w:w="40" w:type="dxa"/>
              <w:right w:w="40" w:type="dxa"/>
            </w:tcMar>
            <w:vAlign w:val="bottom"/>
          </w:tcPr>
          <w:p w14:paraId="0BC9837D"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c>
          <w:tcPr>
            <w:tcW w:w="0" w:type="auto"/>
            <w:shd w:val="clear" w:color="auto" w:fill="auto"/>
            <w:tcMar>
              <w:top w:w="40" w:type="dxa"/>
              <w:left w:w="40" w:type="dxa"/>
              <w:bottom w:w="40" w:type="dxa"/>
              <w:right w:w="40" w:type="dxa"/>
            </w:tcMar>
            <w:vAlign w:val="bottom"/>
          </w:tcPr>
          <w:p w14:paraId="0BC9837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37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38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381"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10</w:t>
            </w:r>
          </w:p>
        </w:tc>
        <w:tc>
          <w:tcPr>
            <w:tcW w:w="0" w:type="auto"/>
            <w:shd w:val="clear" w:color="auto" w:fill="auto"/>
            <w:tcMar>
              <w:top w:w="40" w:type="dxa"/>
              <w:bottom w:w="40" w:type="dxa"/>
              <w:right w:w="40" w:type="dxa"/>
            </w:tcMar>
            <w:vAlign w:val="bottom"/>
          </w:tcPr>
          <w:p w14:paraId="0BC98382"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r>
      <w:tr w:rsidR="009F0928" w14:paraId="0BC98393" w14:textId="77777777">
        <w:tc>
          <w:tcPr>
            <w:tcW w:w="0" w:type="auto"/>
            <w:shd w:val="clear" w:color="auto" w:fill="E2E2E2"/>
            <w:tcMar>
              <w:top w:w="40" w:type="dxa"/>
              <w:left w:w="40" w:type="dxa"/>
              <w:bottom w:w="40" w:type="dxa"/>
              <w:right w:w="40" w:type="dxa"/>
            </w:tcMar>
            <w:vAlign w:val="bottom"/>
          </w:tcPr>
          <w:p w14:paraId="0BC98384" w14:textId="77777777" w:rsidR="009F0928" w:rsidRDefault="002112BD">
            <w:pPr>
              <w:textAlignment w:val="bottom"/>
              <w:rPr>
                <w:rFonts w:ascii="Times New Roman" w:hAnsi="Times New Roman"/>
                <w:sz w:val="16"/>
                <w:szCs w:val="16"/>
              </w:rPr>
            </w:pPr>
            <w:r>
              <w:rPr>
                <w:rFonts w:ascii="Arial" w:eastAsia="宋体" w:hAnsi="Arial" w:cs="Arial"/>
                <w:sz w:val="16"/>
                <w:szCs w:val="16"/>
              </w:rPr>
              <w:t xml:space="preserve">Provision for </w:t>
            </w:r>
            <w:r>
              <w:rPr>
                <w:rFonts w:ascii="Arial" w:eastAsia="宋体" w:hAnsi="Arial" w:cs="Arial"/>
                <w:sz w:val="16"/>
                <w:szCs w:val="16"/>
              </w:rPr>
              <w:t>transaction losses</w:t>
            </w:r>
          </w:p>
        </w:tc>
        <w:tc>
          <w:tcPr>
            <w:tcW w:w="0" w:type="auto"/>
            <w:gridSpan w:val="2"/>
            <w:shd w:val="clear" w:color="auto" w:fill="E2E2E2"/>
            <w:tcMar>
              <w:top w:w="40" w:type="dxa"/>
              <w:left w:w="40" w:type="dxa"/>
              <w:bottom w:w="40" w:type="dxa"/>
            </w:tcMar>
            <w:vAlign w:val="bottom"/>
          </w:tcPr>
          <w:p w14:paraId="0BC9838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300</w:t>
            </w:r>
          </w:p>
        </w:tc>
        <w:tc>
          <w:tcPr>
            <w:tcW w:w="0" w:type="auto"/>
            <w:shd w:val="clear" w:color="auto" w:fill="E2E2E2"/>
            <w:vAlign w:val="bottom"/>
          </w:tcPr>
          <w:p w14:paraId="0BC9838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38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38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E2E2E2"/>
            <w:tcMar>
              <w:top w:w="40" w:type="dxa"/>
              <w:bottom w:w="40" w:type="dxa"/>
              <w:right w:w="40" w:type="dxa"/>
            </w:tcMar>
            <w:vAlign w:val="bottom"/>
          </w:tcPr>
          <w:p w14:paraId="0BC98389"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838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38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286</w:t>
            </w:r>
          </w:p>
        </w:tc>
        <w:tc>
          <w:tcPr>
            <w:tcW w:w="0" w:type="auto"/>
            <w:shd w:val="clear" w:color="auto" w:fill="E2E2E2"/>
            <w:vAlign w:val="bottom"/>
          </w:tcPr>
          <w:p w14:paraId="0BC9838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3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38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E2E2E2"/>
            <w:tcMar>
              <w:top w:w="40" w:type="dxa"/>
              <w:bottom w:w="40" w:type="dxa"/>
              <w:right w:w="40" w:type="dxa"/>
            </w:tcMar>
            <w:vAlign w:val="bottom"/>
          </w:tcPr>
          <w:p w14:paraId="0BC9838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3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39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272</w:t>
            </w:r>
          </w:p>
        </w:tc>
        <w:tc>
          <w:tcPr>
            <w:tcW w:w="0" w:type="auto"/>
            <w:shd w:val="clear" w:color="auto" w:fill="E2E2E2"/>
            <w:vAlign w:val="bottom"/>
          </w:tcPr>
          <w:p w14:paraId="0BC98392" w14:textId="77777777" w:rsidR="009F0928" w:rsidRDefault="009F0928">
            <w:pPr>
              <w:textAlignment w:val="bottom"/>
              <w:rPr>
                <w:rFonts w:ascii="Times New Roman" w:hAnsi="Times New Roman"/>
                <w:sz w:val="20"/>
                <w:szCs w:val="20"/>
              </w:rPr>
            </w:pPr>
          </w:p>
        </w:tc>
      </w:tr>
      <w:tr w:rsidR="009F0928" w14:paraId="0BC983A1" w14:textId="77777777">
        <w:tc>
          <w:tcPr>
            <w:tcW w:w="0" w:type="auto"/>
            <w:shd w:val="clear" w:color="auto" w:fill="auto"/>
            <w:tcMar>
              <w:top w:w="40" w:type="dxa"/>
              <w:left w:w="240" w:type="dxa"/>
              <w:bottom w:w="40" w:type="dxa"/>
              <w:right w:w="40" w:type="dxa"/>
            </w:tcMar>
            <w:vAlign w:val="bottom"/>
          </w:tcPr>
          <w:p w14:paraId="0BC98394"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Percentage of net revenues</w:t>
            </w:r>
          </w:p>
        </w:tc>
        <w:tc>
          <w:tcPr>
            <w:tcW w:w="0" w:type="auto"/>
            <w:gridSpan w:val="2"/>
            <w:shd w:val="clear" w:color="auto" w:fill="auto"/>
            <w:tcMar>
              <w:top w:w="40" w:type="dxa"/>
              <w:left w:w="40" w:type="dxa"/>
              <w:bottom w:w="40" w:type="dxa"/>
            </w:tcMar>
            <w:vAlign w:val="bottom"/>
          </w:tcPr>
          <w:p w14:paraId="0BC98395"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3</w:t>
            </w:r>
          </w:p>
        </w:tc>
        <w:tc>
          <w:tcPr>
            <w:tcW w:w="0" w:type="auto"/>
            <w:shd w:val="clear" w:color="auto" w:fill="auto"/>
            <w:tcMar>
              <w:top w:w="40" w:type="dxa"/>
              <w:bottom w:w="40" w:type="dxa"/>
              <w:right w:w="40" w:type="dxa"/>
            </w:tcMar>
            <w:vAlign w:val="bottom"/>
          </w:tcPr>
          <w:p w14:paraId="0BC98396"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c>
          <w:tcPr>
            <w:tcW w:w="0" w:type="auto"/>
            <w:shd w:val="clear" w:color="auto" w:fill="auto"/>
            <w:tcMar>
              <w:top w:w="40" w:type="dxa"/>
              <w:left w:w="40" w:type="dxa"/>
              <w:bottom w:w="40" w:type="dxa"/>
              <w:right w:w="40" w:type="dxa"/>
            </w:tcMar>
            <w:vAlign w:val="bottom"/>
          </w:tcPr>
          <w:p w14:paraId="0BC983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39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39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39A"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3</w:t>
            </w:r>
          </w:p>
        </w:tc>
        <w:tc>
          <w:tcPr>
            <w:tcW w:w="0" w:type="auto"/>
            <w:shd w:val="clear" w:color="auto" w:fill="auto"/>
            <w:tcMar>
              <w:top w:w="40" w:type="dxa"/>
              <w:bottom w:w="40" w:type="dxa"/>
              <w:right w:w="40" w:type="dxa"/>
            </w:tcMar>
            <w:vAlign w:val="bottom"/>
          </w:tcPr>
          <w:p w14:paraId="0BC9839B"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c>
          <w:tcPr>
            <w:tcW w:w="0" w:type="auto"/>
            <w:shd w:val="clear" w:color="auto" w:fill="auto"/>
            <w:tcMar>
              <w:top w:w="40" w:type="dxa"/>
              <w:left w:w="40" w:type="dxa"/>
              <w:bottom w:w="40" w:type="dxa"/>
              <w:right w:w="40" w:type="dxa"/>
            </w:tcMar>
            <w:vAlign w:val="bottom"/>
          </w:tcPr>
          <w:p w14:paraId="0BC9839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39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39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39F"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3</w:t>
            </w:r>
          </w:p>
        </w:tc>
        <w:tc>
          <w:tcPr>
            <w:tcW w:w="0" w:type="auto"/>
            <w:shd w:val="clear" w:color="auto" w:fill="auto"/>
            <w:tcMar>
              <w:top w:w="40" w:type="dxa"/>
              <w:bottom w:w="40" w:type="dxa"/>
              <w:right w:w="40" w:type="dxa"/>
            </w:tcMar>
            <w:vAlign w:val="bottom"/>
          </w:tcPr>
          <w:p w14:paraId="0BC983A0"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r>
      <w:tr w:rsidR="009F0928" w14:paraId="0BC983B1" w14:textId="77777777">
        <w:tc>
          <w:tcPr>
            <w:tcW w:w="0" w:type="auto"/>
            <w:shd w:val="clear" w:color="auto" w:fill="E2E2E2"/>
            <w:tcMar>
              <w:top w:w="40" w:type="dxa"/>
              <w:left w:w="40" w:type="dxa"/>
              <w:bottom w:w="40" w:type="dxa"/>
              <w:right w:w="40" w:type="dxa"/>
            </w:tcMar>
            <w:vAlign w:val="bottom"/>
          </w:tcPr>
          <w:p w14:paraId="0BC983A2" w14:textId="77777777" w:rsidR="009F0928" w:rsidRDefault="002112BD">
            <w:pPr>
              <w:textAlignment w:val="bottom"/>
              <w:rPr>
                <w:rFonts w:ascii="Times New Roman" w:hAnsi="Times New Roman"/>
                <w:sz w:val="16"/>
                <w:szCs w:val="16"/>
              </w:rPr>
            </w:pPr>
            <w:r>
              <w:rPr>
                <w:rFonts w:ascii="Arial" w:eastAsia="宋体" w:hAnsi="Arial" w:cs="Arial"/>
                <w:sz w:val="16"/>
                <w:szCs w:val="16"/>
              </w:rPr>
              <w:t>Amortization of acquired intangible assets</w:t>
            </w:r>
          </w:p>
        </w:tc>
        <w:tc>
          <w:tcPr>
            <w:tcW w:w="0" w:type="auto"/>
            <w:gridSpan w:val="2"/>
            <w:shd w:val="clear" w:color="auto" w:fill="E2E2E2"/>
            <w:tcMar>
              <w:top w:w="40" w:type="dxa"/>
              <w:left w:w="40" w:type="dxa"/>
              <w:bottom w:w="40" w:type="dxa"/>
            </w:tcMar>
            <w:vAlign w:val="bottom"/>
          </w:tcPr>
          <w:p w14:paraId="0BC983A3"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48</w:t>
            </w:r>
          </w:p>
        </w:tc>
        <w:tc>
          <w:tcPr>
            <w:tcW w:w="0" w:type="auto"/>
            <w:shd w:val="clear" w:color="auto" w:fill="E2E2E2"/>
            <w:vAlign w:val="bottom"/>
          </w:tcPr>
          <w:p w14:paraId="0BC983A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3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3A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E2E2E2"/>
            <w:tcMar>
              <w:top w:w="40" w:type="dxa"/>
              <w:bottom w:w="40" w:type="dxa"/>
              <w:right w:w="40" w:type="dxa"/>
            </w:tcMar>
            <w:vAlign w:val="bottom"/>
          </w:tcPr>
          <w:p w14:paraId="0BC983A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3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3A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49</w:t>
            </w:r>
          </w:p>
        </w:tc>
        <w:tc>
          <w:tcPr>
            <w:tcW w:w="0" w:type="auto"/>
            <w:shd w:val="clear" w:color="auto" w:fill="E2E2E2"/>
            <w:vAlign w:val="bottom"/>
          </w:tcPr>
          <w:p w14:paraId="0BC983A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3A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3A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27</w:t>
            </w:r>
          </w:p>
        </w:tc>
        <w:tc>
          <w:tcPr>
            <w:tcW w:w="0" w:type="auto"/>
            <w:shd w:val="clear" w:color="auto" w:fill="E2E2E2"/>
            <w:tcMar>
              <w:top w:w="40" w:type="dxa"/>
              <w:bottom w:w="40" w:type="dxa"/>
              <w:right w:w="40" w:type="dxa"/>
            </w:tcMar>
            <w:vAlign w:val="bottom"/>
          </w:tcPr>
          <w:p w14:paraId="0BC983A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3A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3A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38</w:t>
            </w:r>
          </w:p>
        </w:tc>
        <w:tc>
          <w:tcPr>
            <w:tcW w:w="0" w:type="auto"/>
            <w:shd w:val="clear" w:color="auto" w:fill="E2E2E2"/>
            <w:vAlign w:val="bottom"/>
          </w:tcPr>
          <w:p w14:paraId="0BC983B0" w14:textId="77777777" w:rsidR="009F0928" w:rsidRDefault="009F0928">
            <w:pPr>
              <w:textAlignment w:val="bottom"/>
              <w:rPr>
                <w:rFonts w:ascii="Times New Roman" w:hAnsi="Times New Roman"/>
                <w:sz w:val="20"/>
                <w:szCs w:val="20"/>
              </w:rPr>
            </w:pPr>
          </w:p>
        </w:tc>
      </w:tr>
      <w:tr w:rsidR="009F0928" w14:paraId="0BC983C4" w14:textId="77777777">
        <w:tc>
          <w:tcPr>
            <w:tcW w:w="0" w:type="auto"/>
            <w:shd w:val="clear" w:color="auto" w:fill="auto"/>
            <w:tcMar>
              <w:top w:w="40" w:type="dxa"/>
              <w:left w:w="400" w:type="dxa"/>
              <w:bottom w:w="40" w:type="dxa"/>
              <w:right w:w="40" w:type="dxa"/>
            </w:tcMar>
            <w:vAlign w:val="bottom"/>
          </w:tcPr>
          <w:p w14:paraId="0BC983B2" w14:textId="77777777" w:rsidR="009F0928" w:rsidRDefault="002112BD">
            <w:pPr>
              <w:textAlignment w:val="bottom"/>
              <w:rPr>
                <w:rFonts w:ascii="Times New Roman" w:hAnsi="Times New Roman"/>
                <w:sz w:val="16"/>
                <w:szCs w:val="16"/>
              </w:rPr>
            </w:pPr>
            <w:r>
              <w:rPr>
                <w:rFonts w:ascii="Arial" w:eastAsia="宋体" w:hAnsi="Arial" w:cs="Arial"/>
                <w:sz w:val="16"/>
                <w:szCs w:val="16"/>
              </w:rPr>
              <w:t>Total operating expenses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3B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3B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5,971</w:t>
            </w:r>
          </w:p>
        </w:tc>
        <w:tc>
          <w:tcPr>
            <w:tcW w:w="0" w:type="auto"/>
            <w:tcBorders>
              <w:top w:val="single" w:sz="8" w:space="0" w:color="000000"/>
              <w:bottom w:val="double" w:sz="6" w:space="0" w:color="000000"/>
            </w:tcBorders>
            <w:shd w:val="clear" w:color="auto" w:fill="auto"/>
            <w:vAlign w:val="bottom"/>
          </w:tcPr>
          <w:p w14:paraId="0BC983B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3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3B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w:t>
            </w:r>
          </w:p>
        </w:tc>
        <w:tc>
          <w:tcPr>
            <w:tcW w:w="0" w:type="auto"/>
            <w:shd w:val="clear" w:color="auto" w:fill="auto"/>
            <w:tcMar>
              <w:top w:w="40" w:type="dxa"/>
              <w:bottom w:w="40" w:type="dxa"/>
              <w:right w:w="40" w:type="dxa"/>
            </w:tcMar>
            <w:vAlign w:val="bottom"/>
          </w:tcPr>
          <w:p w14:paraId="0BC983B8"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3B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3BA"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3B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6,142</w:t>
            </w:r>
          </w:p>
        </w:tc>
        <w:tc>
          <w:tcPr>
            <w:tcW w:w="0" w:type="auto"/>
            <w:tcBorders>
              <w:top w:val="single" w:sz="8" w:space="0" w:color="000000"/>
              <w:bottom w:val="double" w:sz="6" w:space="0" w:color="000000"/>
            </w:tcBorders>
            <w:shd w:val="clear" w:color="auto" w:fill="auto"/>
            <w:vAlign w:val="bottom"/>
          </w:tcPr>
          <w:p w14:paraId="0BC983B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3B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3B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13</w:t>
            </w:r>
          </w:p>
        </w:tc>
        <w:tc>
          <w:tcPr>
            <w:tcW w:w="0" w:type="auto"/>
            <w:shd w:val="clear" w:color="auto" w:fill="auto"/>
            <w:tcMar>
              <w:top w:w="40" w:type="dxa"/>
              <w:bottom w:w="40" w:type="dxa"/>
              <w:right w:w="40" w:type="dxa"/>
            </w:tcMar>
            <w:vAlign w:val="bottom"/>
          </w:tcPr>
          <w:p w14:paraId="0BC983B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3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3C1"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3C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5,442</w:t>
            </w:r>
          </w:p>
        </w:tc>
        <w:tc>
          <w:tcPr>
            <w:tcW w:w="0" w:type="auto"/>
            <w:tcBorders>
              <w:top w:val="single" w:sz="8" w:space="0" w:color="000000"/>
              <w:bottom w:val="double" w:sz="6" w:space="0" w:color="000000"/>
            </w:tcBorders>
            <w:shd w:val="clear" w:color="auto" w:fill="auto"/>
            <w:vAlign w:val="bottom"/>
          </w:tcPr>
          <w:p w14:paraId="0BC983C3" w14:textId="77777777" w:rsidR="009F0928" w:rsidRDefault="009F0928">
            <w:pPr>
              <w:textAlignment w:val="bottom"/>
              <w:rPr>
                <w:rFonts w:ascii="Times New Roman" w:hAnsi="Times New Roman"/>
                <w:sz w:val="20"/>
                <w:szCs w:val="20"/>
              </w:rPr>
            </w:pPr>
          </w:p>
        </w:tc>
      </w:tr>
    </w:tbl>
    <w:p w14:paraId="0BC983C5" w14:textId="77777777" w:rsidR="009F0928" w:rsidRDefault="009F0928">
      <w:pPr>
        <w:spacing w:line="288" w:lineRule="auto"/>
        <w:jc w:val="both"/>
        <w:rPr>
          <w:rFonts w:ascii="Times New Roman" w:hAnsi="Times New Roman"/>
          <w:sz w:val="20"/>
          <w:szCs w:val="20"/>
        </w:rPr>
      </w:pPr>
    </w:p>
    <w:p w14:paraId="0BC983C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Foreign currency movements relative to the U.S. dollar had a favorable impact of $118 million on operating expenses in 2019 compared to 2018. Operating expenses were unfavorably impacted by $68 million attributable to fo</w:t>
      </w:r>
      <w:r>
        <w:rPr>
          <w:rFonts w:ascii="Arial" w:eastAsia="宋体" w:hAnsi="Arial" w:cs="Arial"/>
          <w:sz w:val="20"/>
          <w:szCs w:val="20"/>
        </w:rPr>
        <w:t>reign currency movements relative to the U.S. dollar in 2018 compared to 2017. There was no hedging activity within operating expenses in 2019 and 2018.</w:t>
      </w:r>
    </w:p>
    <w:p w14:paraId="0BC983C7" w14:textId="77777777" w:rsidR="009F0928" w:rsidRDefault="009F0928">
      <w:pPr>
        <w:spacing w:line="288" w:lineRule="auto"/>
        <w:jc w:val="both"/>
        <w:rPr>
          <w:rFonts w:ascii="Times New Roman" w:hAnsi="Times New Roman"/>
          <w:sz w:val="20"/>
          <w:szCs w:val="20"/>
        </w:rPr>
      </w:pPr>
    </w:p>
    <w:p w14:paraId="0BC983C8" w14:textId="77777777" w:rsidR="009F0928" w:rsidRDefault="009F0928">
      <w:pPr>
        <w:rPr>
          <w:rFonts w:ascii="Times New Roman" w:hAnsi="Times New Roman"/>
          <w:sz w:val="20"/>
          <w:szCs w:val="20"/>
        </w:rPr>
      </w:pPr>
    </w:p>
    <w:p w14:paraId="0BC983C9"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43</w:t>
      </w:r>
    </w:p>
    <w:p w14:paraId="0BC983CA" w14:textId="77777777" w:rsidR="009F0928" w:rsidRDefault="002112BD">
      <w:r>
        <w:rPr>
          <w:rFonts w:ascii="Times New Roman" w:hAnsi="Times New Roman"/>
          <w:sz w:val="18"/>
          <w:szCs w:val="18"/>
        </w:rPr>
        <w:pict w14:anchorId="0BC9B4E8">
          <v:rect id="_x0000_i1068" style="width:415.3pt;height:1.5pt" o:hralign="center" o:hrstd="t" o:hr="t" fillcolor="#a0a0a0" stroked="f"/>
        </w:pict>
      </w:r>
    </w:p>
    <w:p w14:paraId="0BC983CB" w14:textId="77777777" w:rsidR="009F0928" w:rsidRDefault="009F0928">
      <w:pPr>
        <w:spacing w:line="288" w:lineRule="auto"/>
        <w:rPr>
          <w:rFonts w:ascii="Times New Roman" w:hAnsi="Times New Roman"/>
          <w:sz w:val="20"/>
          <w:szCs w:val="20"/>
        </w:rPr>
      </w:pPr>
    </w:p>
    <w:p w14:paraId="0BC983CC" w14:textId="77777777" w:rsidR="009F0928" w:rsidRDefault="009F0928">
      <w:pPr>
        <w:rPr>
          <w:rFonts w:ascii="Times New Roman" w:hAnsi="Times New Roman"/>
          <w:sz w:val="20"/>
          <w:szCs w:val="20"/>
        </w:rPr>
      </w:pPr>
    </w:p>
    <w:p w14:paraId="0BC983CD" w14:textId="77777777" w:rsidR="009F0928" w:rsidRDefault="002112BD">
      <w:pPr>
        <w:spacing w:line="288" w:lineRule="auto"/>
        <w:jc w:val="both"/>
        <w:rPr>
          <w:rFonts w:ascii="Times New Roman" w:hAnsi="Times New Roman"/>
          <w:sz w:val="20"/>
          <w:szCs w:val="20"/>
        </w:rPr>
      </w:pPr>
      <w:r>
        <w:rPr>
          <w:rFonts w:ascii="Arial" w:eastAsia="宋体" w:hAnsi="Arial" w:cs="Arial"/>
          <w:i/>
          <w:iCs/>
          <w:sz w:val="20"/>
          <w:szCs w:val="20"/>
        </w:rPr>
        <w:t>Sales and Marketing</w:t>
      </w:r>
    </w:p>
    <w:p w14:paraId="0BC983CE"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w:t>
      </w:r>
    </w:p>
    <w:p w14:paraId="0BC983C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Sales and marketing expenses primarily consist of advertising and </w:t>
      </w:r>
      <w:r>
        <w:rPr>
          <w:rFonts w:ascii="Arial" w:eastAsia="宋体" w:hAnsi="Arial" w:cs="Arial"/>
          <w:sz w:val="20"/>
          <w:szCs w:val="20"/>
        </w:rPr>
        <w:t xml:space="preserve">marketing program costs (both online and offline), employee compensation, certain user coupons and rewards, contractor costs, facilities costs and depreciation on equipment. Online marketing expenses represent traffic acquisition costs in various channels </w:t>
      </w:r>
      <w:r>
        <w:rPr>
          <w:rFonts w:ascii="Arial" w:eastAsia="宋体" w:hAnsi="Arial" w:cs="Arial"/>
          <w:sz w:val="20"/>
          <w:szCs w:val="20"/>
        </w:rPr>
        <w:t>such as paid search, affiliates marketing and display advertising. Offline advertising primarily includes brand campaigns and buyer/seller communications.</w:t>
      </w:r>
    </w:p>
    <w:p w14:paraId="0BC983D0" w14:textId="77777777" w:rsidR="009F0928" w:rsidRDefault="009F0928">
      <w:pPr>
        <w:spacing w:line="288" w:lineRule="auto"/>
        <w:ind w:firstLine="720"/>
        <w:jc w:val="both"/>
        <w:rPr>
          <w:rFonts w:ascii="Times New Roman" w:hAnsi="Times New Roman"/>
          <w:sz w:val="20"/>
          <w:szCs w:val="20"/>
        </w:rPr>
      </w:pPr>
    </w:p>
    <w:p w14:paraId="0BC983D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decrease in sales and marketing expense in 2019 compared to 2018 was primarily due to a favorabl</w:t>
      </w:r>
      <w:r>
        <w:rPr>
          <w:rFonts w:ascii="Arial" w:eastAsia="宋体" w:hAnsi="Arial" w:cs="Arial"/>
          <w:sz w:val="20"/>
          <w:szCs w:val="20"/>
        </w:rPr>
        <w:t>e impact from foreign currency movements relative to the U.S. dollar and decreases in offline advertising spend and employee-related costs. These costs were partially offset by online marketing spend and user coupons and rewards largely driven by our Japan</w:t>
      </w:r>
      <w:r>
        <w:rPr>
          <w:rFonts w:ascii="Arial" w:eastAsia="宋体" w:hAnsi="Arial" w:cs="Arial"/>
          <w:sz w:val="20"/>
          <w:szCs w:val="20"/>
        </w:rPr>
        <w:t xml:space="preserve"> platform acquired in the second quarter of 2018</w:t>
      </w:r>
      <w:r>
        <w:rPr>
          <w:rFonts w:ascii="Times New Roman" w:eastAsia="宋体" w:hAnsi="Times New Roman"/>
          <w:sz w:val="20"/>
          <w:szCs w:val="20"/>
        </w:rPr>
        <w:t>.</w:t>
      </w:r>
    </w:p>
    <w:p w14:paraId="0BC983D2" w14:textId="77777777" w:rsidR="009F0928" w:rsidRDefault="009F0928">
      <w:pPr>
        <w:spacing w:line="288" w:lineRule="auto"/>
        <w:jc w:val="both"/>
        <w:rPr>
          <w:rFonts w:ascii="Times New Roman" w:hAnsi="Times New Roman"/>
          <w:sz w:val="20"/>
          <w:szCs w:val="20"/>
        </w:rPr>
      </w:pPr>
    </w:p>
    <w:p w14:paraId="0BC983D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increase in sales and marketing expense in 2018 compared to 2017 was primarily due to an increase in user coupons and rewards and traffic acquisition costs. </w:t>
      </w:r>
    </w:p>
    <w:p w14:paraId="0BC983D4" w14:textId="77777777" w:rsidR="009F0928" w:rsidRDefault="009F0928">
      <w:pPr>
        <w:spacing w:line="288" w:lineRule="auto"/>
        <w:ind w:firstLine="720"/>
        <w:jc w:val="both"/>
        <w:rPr>
          <w:rFonts w:ascii="Times New Roman" w:hAnsi="Times New Roman"/>
          <w:sz w:val="20"/>
          <w:szCs w:val="20"/>
        </w:rPr>
      </w:pPr>
    </w:p>
    <w:p w14:paraId="0BC983D5" w14:textId="77777777" w:rsidR="009F0928" w:rsidRDefault="002112BD">
      <w:pPr>
        <w:spacing w:line="288" w:lineRule="auto"/>
        <w:jc w:val="both"/>
        <w:rPr>
          <w:rFonts w:ascii="Times New Roman" w:hAnsi="Times New Roman"/>
          <w:sz w:val="20"/>
          <w:szCs w:val="20"/>
        </w:rPr>
      </w:pPr>
      <w:r>
        <w:rPr>
          <w:rFonts w:ascii="Arial" w:eastAsia="宋体" w:hAnsi="Arial" w:cs="Arial"/>
          <w:i/>
          <w:iCs/>
          <w:sz w:val="20"/>
          <w:szCs w:val="20"/>
        </w:rPr>
        <w:t>Product Development</w:t>
      </w:r>
    </w:p>
    <w:p w14:paraId="0BC983D6"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w:t>
      </w:r>
    </w:p>
    <w:p w14:paraId="0BC983D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Product development </w:t>
      </w:r>
      <w:r>
        <w:rPr>
          <w:rFonts w:ascii="Arial" w:eastAsia="宋体" w:hAnsi="Arial" w:cs="Arial"/>
          <w:sz w:val="20"/>
          <w:szCs w:val="20"/>
        </w:rPr>
        <w:t>expenses primarily consist of employee compensation, contractor costs, facilities costs and depreciation on equipment. Product development expenses are net of required capitalization of major platform and other product development efforts, including the de</w:t>
      </w:r>
      <w:r>
        <w:rPr>
          <w:rFonts w:ascii="Arial" w:eastAsia="宋体" w:hAnsi="Arial" w:cs="Arial"/>
          <w:sz w:val="20"/>
          <w:szCs w:val="20"/>
        </w:rPr>
        <w:t xml:space="preserve">velopment and maintenance of our technology platform. Our top technology priorities include payment intermediation capabilities and improved seller tools and buyer experiences built on a foundation of structured data. </w:t>
      </w:r>
    </w:p>
    <w:p w14:paraId="0BC983D8" w14:textId="77777777" w:rsidR="009F0928" w:rsidRDefault="009F0928">
      <w:pPr>
        <w:spacing w:line="288" w:lineRule="auto"/>
        <w:ind w:firstLine="720"/>
        <w:jc w:val="both"/>
        <w:rPr>
          <w:rFonts w:ascii="Times New Roman" w:hAnsi="Times New Roman"/>
          <w:sz w:val="20"/>
          <w:szCs w:val="20"/>
        </w:rPr>
      </w:pPr>
    </w:p>
    <w:p w14:paraId="0BC983D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Capitalized internal use and platfor</w:t>
      </w:r>
      <w:r>
        <w:rPr>
          <w:rFonts w:ascii="Arial" w:eastAsia="宋体" w:hAnsi="Arial" w:cs="Arial"/>
          <w:sz w:val="20"/>
          <w:szCs w:val="20"/>
        </w:rPr>
        <w:t>m development costs were $137 million and $147 million in 2019 and 2018, respectively, and are primarily reflected as a cost of net revenues when amortized in future periods.</w:t>
      </w:r>
    </w:p>
    <w:p w14:paraId="0BC983DA" w14:textId="77777777" w:rsidR="009F0928" w:rsidRDefault="009F0928">
      <w:pPr>
        <w:spacing w:line="288" w:lineRule="auto"/>
        <w:ind w:firstLine="640"/>
        <w:jc w:val="both"/>
        <w:rPr>
          <w:rFonts w:ascii="Times New Roman" w:hAnsi="Times New Roman"/>
          <w:sz w:val="20"/>
          <w:szCs w:val="20"/>
        </w:rPr>
      </w:pPr>
    </w:p>
    <w:p w14:paraId="0BC983D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decrease in product development expenses in 2019 compared to 2018 was primar</w:t>
      </w:r>
      <w:r>
        <w:rPr>
          <w:rFonts w:ascii="Arial" w:eastAsia="宋体" w:hAnsi="Arial" w:cs="Arial"/>
          <w:sz w:val="20"/>
          <w:szCs w:val="20"/>
        </w:rPr>
        <w:t xml:space="preserve">ily due to decreases in employee-related costs, foreign currency movement relative to the U.S. dollar and depreciation on equipment. The increase in product development expenses in 2018 compared to 2017 was primarily due to an increase in employee-related </w:t>
      </w:r>
      <w:r>
        <w:rPr>
          <w:rFonts w:ascii="Arial" w:eastAsia="宋体" w:hAnsi="Arial" w:cs="Arial"/>
          <w:sz w:val="20"/>
          <w:szCs w:val="20"/>
        </w:rPr>
        <w:t xml:space="preserve">costs, partially offset by a decrease in depreciation on equipment. </w:t>
      </w:r>
    </w:p>
    <w:p w14:paraId="0BC983DC" w14:textId="77777777" w:rsidR="009F0928" w:rsidRDefault="009F0928">
      <w:pPr>
        <w:spacing w:line="288" w:lineRule="auto"/>
        <w:ind w:firstLine="640"/>
        <w:jc w:val="both"/>
        <w:rPr>
          <w:rFonts w:ascii="Times New Roman" w:hAnsi="Times New Roman"/>
          <w:sz w:val="20"/>
          <w:szCs w:val="20"/>
        </w:rPr>
      </w:pPr>
    </w:p>
    <w:p w14:paraId="0BC983DD" w14:textId="77777777" w:rsidR="009F0928" w:rsidRDefault="002112BD">
      <w:pPr>
        <w:spacing w:line="288" w:lineRule="auto"/>
        <w:jc w:val="both"/>
        <w:rPr>
          <w:rFonts w:ascii="Times New Roman" w:hAnsi="Times New Roman"/>
          <w:sz w:val="20"/>
          <w:szCs w:val="20"/>
        </w:rPr>
      </w:pPr>
      <w:r>
        <w:rPr>
          <w:rFonts w:ascii="Arial" w:eastAsia="宋体" w:hAnsi="Arial" w:cs="Arial"/>
          <w:i/>
          <w:iCs/>
          <w:sz w:val="20"/>
          <w:szCs w:val="20"/>
        </w:rPr>
        <w:t>General and Administrative</w:t>
      </w:r>
    </w:p>
    <w:p w14:paraId="0BC983DE"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w:t>
      </w:r>
    </w:p>
    <w:p w14:paraId="0BC983D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General and administrative expenses primarily consist of employee compensation, contractor costs, facilities costs, depreciation of equipment, employer payro</w:t>
      </w:r>
      <w:r>
        <w:rPr>
          <w:rFonts w:ascii="Arial" w:eastAsia="宋体" w:hAnsi="Arial" w:cs="Arial"/>
          <w:sz w:val="20"/>
          <w:szCs w:val="20"/>
        </w:rPr>
        <w:t>ll taxes on stock-based compensation, legal expenses, restructuring, insurance premiums and professional fees. Our legal expenses, including those related to various ongoing legal proceedings, may fluctuate substantially from period to period.</w:t>
      </w:r>
    </w:p>
    <w:p w14:paraId="0BC983E0" w14:textId="77777777" w:rsidR="009F0928" w:rsidRDefault="009F0928">
      <w:pPr>
        <w:spacing w:line="288" w:lineRule="auto"/>
        <w:ind w:firstLine="720"/>
        <w:jc w:val="both"/>
        <w:rPr>
          <w:rFonts w:ascii="Times New Roman" w:hAnsi="Times New Roman"/>
          <w:sz w:val="20"/>
          <w:szCs w:val="20"/>
        </w:rPr>
      </w:pPr>
    </w:p>
    <w:p w14:paraId="0BC983E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increas</w:t>
      </w:r>
      <w:r>
        <w:rPr>
          <w:rFonts w:ascii="Arial" w:eastAsia="宋体" w:hAnsi="Arial" w:cs="Arial"/>
          <w:sz w:val="20"/>
          <w:szCs w:val="20"/>
        </w:rPr>
        <w:t>e in general and administrative expenses in 2019 compared to 2018 was primarily due to severance costs incurred in 2019 related to our CEO transition.</w:t>
      </w:r>
    </w:p>
    <w:p w14:paraId="0BC983E2" w14:textId="77777777" w:rsidR="009F0928" w:rsidRDefault="009F0928">
      <w:pPr>
        <w:spacing w:line="288" w:lineRule="auto"/>
        <w:jc w:val="both"/>
        <w:rPr>
          <w:rFonts w:ascii="Times New Roman" w:hAnsi="Times New Roman"/>
          <w:sz w:val="20"/>
          <w:szCs w:val="20"/>
        </w:rPr>
      </w:pPr>
    </w:p>
    <w:p w14:paraId="0BC983E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increase in general and administrative expenses in 2018 compared to 2017 was primarily due to </w:t>
      </w:r>
      <w:r>
        <w:rPr>
          <w:rFonts w:ascii="Arial" w:eastAsia="宋体" w:hAnsi="Arial" w:cs="Arial"/>
          <w:sz w:val="20"/>
          <w:szCs w:val="20"/>
        </w:rPr>
        <w:t>restructuring costs related to our global workforce reduction and an increase in employee-related costs. For additional details related to the restructuring, refer to “Note 18 – Restructuring” to the consolidated financial statements included in this repor</w:t>
      </w:r>
      <w:r>
        <w:rPr>
          <w:rFonts w:ascii="Arial" w:eastAsia="宋体" w:hAnsi="Arial" w:cs="Arial"/>
          <w:sz w:val="20"/>
          <w:szCs w:val="20"/>
        </w:rPr>
        <w:t>t.</w:t>
      </w:r>
    </w:p>
    <w:p w14:paraId="0BC983E4"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w:t>
      </w:r>
    </w:p>
    <w:p w14:paraId="0BC983E5" w14:textId="77777777" w:rsidR="009F0928" w:rsidRDefault="002112BD">
      <w:pPr>
        <w:spacing w:line="288" w:lineRule="auto"/>
        <w:jc w:val="both"/>
        <w:rPr>
          <w:rFonts w:ascii="Times New Roman" w:hAnsi="Times New Roman"/>
          <w:sz w:val="20"/>
          <w:szCs w:val="20"/>
        </w:rPr>
      </w:pPr>
      <w:r>
        <w:rPr>
          <w:rFonts w:ascii="Arial" w:eastAsia="宋体" w:hAnsi="Arial" w:cs="Arial"/>
          <w:i/>
          <w:iCs/>
          <w:sz w:val="20"/>
          <w:szCs w:val="20"/>
        </w:rPr>
        <w:t>Provision for Transaction Losses</w:t>
      </w:r>
    </w:p>
    <w:p w14:paraId="0BC983E6" w14:textId="77777777" w:rsidR="009F0928" w:rsidRDefault="009F0928">
      <w:pPr>
        <w:spacing w:line="288" w:lineRule="auto"/>
        <w:ind w:firstLine="640"/>
        <w:jc w:val="both"/>
        <w:rPr>
          <w:rFonts w:ascii="Times New Roman" w:hAnsi="Times New Roman"/>
          <w:sz w:val="20"/>
          <w:szCs w:val="20"/>
        </w:rPr>
      </w:pPr>
    </w:p>
    <w:p w14:paraId="0BC983E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Provision for transaction losses primarily consists of transaction loss expense associated with our buyer protection programs, fraud and bad debt expense associated with our accounts receivable balance. We expect our</w:t>
      </w:r>
      <w:r>
        <w:rPr>
          <w:rFonts w:ascii="Arial" w:eastAsia="宋体" w:hAnsi="Arial" w:cs="Arial"/>
          <w:sz w:val="20"/>
          <w:szCs w:val="20"/>
        </w:rPr>
        <w:t xml:space="preserve"> provision for transaction losses to fluctuate depending on many factors, including changes to our protection programs and the impact of regulatory changes.</w:t>
      </w:r>
    </w:p>
    <w:p w14:paraId="0BC983E8" w14:textId="77777777" w:rsidR="009F0928" w:rsidRDefault="009F0928">
      <w:pPr>
        <w:spacing w:line="288" w:lineRule="auto"/>
        <w:jc w:val="both"/>
        <w:rPr>
          <w:rFonts w:ascii="Times New Roman" w:hAnsi="Times New Roman"/>
          <w:sz w:val="20"/>
          <w:szCs w:val="20"/>
        </w:rPr>
      </w:pPr>
    </w:p>
    <w:p w14:paraId="0BC983E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increase in provision for transaction losses in 2019 compared to 2018 was primarily due to an </w:t>
      </w:r>
      <w:r>
        <w:rPr>
          <w:rFonts w:ascii="Arial" w:eastAsia="宋体" w:hAnsi="Arial" w:cs="Arial"/>
          <w:sz w:val="20"/>
          <w:szCs w:val="20"/>
        </w:rPr>
        <w:t>increase in bad debt expense</w:t>
      </w:r>
      <w:r>
        <w:rPr>
          <w:rFonts w:ascii="Times New Roman" w:eastAsia="宋体" w:hAnsi="Times New Roman"/>
          <w:sz w:val="20"/>
          <w:szCs w:val="20"/>
        </w:rPr>
        <w:t xml:space="preserve">. </w:t>
      </w:r>
      <w:r>
        <w:rPr>
          <w:rFonts w:ascii="Arial" w:eastAsia="宋体" w:hAnsi="Arial" w:cs="Arial"/>
          <w:sz w:val="20"/>
          <w:szCs w:val="20"/>
        </w:rPr>
        <w:t xml:space="preserve">The increase in provision for transaction losses in 2018 compared to 2017 was not significant. </w:t>
      </w:r>
    </w:p>
    <w:p w14:paraId="0BC983EA" w14:textId="77777777" w:rsidR="009F0928" w:rsidRDefault="009F0928">
      <w:pPr>
        <w:rPr>
          <w:rFonts w:ascii="Times New Roman" w:hAnsi="Times New Roman"/>
          <w:sz w:val="20"/>
          <w:szCs w:val="20"/>
        </w:rPr>
      </w:pPr>
    </w:p>
    <w:p w14:paraId="0BC983EB"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44</w:t>
      </w:r>
    </w:p>
    <w:p w14:paraId="0BC983EC" w14:textId="77777777" w:rsidR="009F0928" w:rsidRDefault="002112BD">
      <w:r>
        <w:rPr>
          <w:rFonts w:ascii="Times New Roman" w:hAnsi="Times New Roman"/>
          <w:sz w:val="18"/>
          <w:szCs w:val="18"/>
        </w:rPr>
        <w:pict w14:anchorId="0BC9B4E9">
          <v:rect id="_x0000_i1069" style="width:415.3pt;height:1.5pt" o:hralign="center" o:hrstd="t" o:hr="t" fillcolor="#a0a0a0" stroked="f"/>
        </w:pict>
      </w:r>
    </w:p>
    <w:p w14:paraId="0BC983ED" w14:textId="77777777" w:rsidR="009F0928" w:rsidRDefault="009F0928">
      <w:pPr>
        <w:spacing w:line="288" w:lineRule="auto"/>
        <w:rPr>
          <w:rFonts w:ascii="Times New Roman" w:hAnsi="Times New Roman"/>
          <w:sz w:val="20"/>
          <w:szCs w:val="20"/>
        </w:rPr>
      </w:pPr>
    </w:p>
    <w:p w14:paraId="0BC983EE" w14:textId="77777777" w:rsidR="009F0928" w:rsidRDefault="009F0928">
      <w:pPr>
        <w:rPr>
          <w:rFonts w:ascii="Times New Roman" w:hAnsi="Times New Roman"/>
          <w:sz w:val="20"/>
          <w:szCs w:val="20"/>
        </w:rPr>
      </w:pPr>
    </w:p>
    <w:p w14:paraId="0BC983EF" w14:textId="77777777" w:rsidR="009F0928" w:rsidRDefault="009F0928">
      <w:pPr>
        <w:spacing w:line="288" w:lineRule="auto"/>
        <w:jc w:val="both"/>
        <w:rPr>
          <w:rFonts w:ascii="Times New Roman" w:hAnsi="Times New Roman"/>
          <w:sz w:val="20"/>
          <w:szCs w:val="20"/>
        </w:rPr>
      </w:pPr>
    </w:p>
    <w:p w14:paraId="0BC983F0" w14:textId="77777777" w:rsidR="009F0928" w:rsidRDefault="002112BD">
      <w:pPr>
        <w:spacing w:line="417" w:lineRule="auto"/>
        <w:ind w:firstLine="120"/>
        <w:jc w:val="both"/>
        <w:rPr>
          <w:rFonts w:ascii="Times New Roman" w:hAnsi="Times New Roman"/>
          <w:sz w:val="20"/>
          <w:szCs w:val="20"/>
        </w:rPr>
      </w:pPr>
      <w:r>
        <w:rPr>
          <w:rFonts w:ascii="Arial" w:eastAsia="宋体" w:hAnsi="Arial" w:cs="Arial"/>
          <w:b/>
          <w:bCs/>
          <w:i/>
          <w:iCs/>
          <w:sz w:val="20"/>
          <w:szCs w:val="20"/>
        </w:rPr>
        <w:t>Income from Operations</w:t>
      </w:r>
    </w:p>
    <w:p w14:paraId="0BC983F1" w14:textId="77777777" w:rsidR="009F0928" w:rsidRDefault="009F0928">
      <w:pPr>
        <w:spacing w:line="288" w:lineRule="auto"/>
        <w:ind w:firstLine="120"/>
        <w:jc w:val="both"/>
        <w:rPr>
          <w:rFonts w:ascii="Times New Roman" w:hAnsi="Times New Roman"/>
          <w:sz w:val="20"/>
          <w:szCs w:val="20"/>
        </w:rPr>
      </w:pPr>
    </w:p>
    <w:p w14:paraId="0BC983F2" w14:textId="77777777" w:rsidR="009F0928" w:rsidRDefault="002112BD">
      <w:pPr>
        <w:spacing w:line="417" w:lineRule="auto"/>
        <w:ind w:firstLine="120"/>
        <w:jc w:val="both"/>
        <w:rPr>
          <w:rFonts w:ascii="Times New Roman" w:hAnsi="Times New Roman"/>
          <w:sz w:val="20"/>
          <w:szCs w:val="20"/>
        </w:rPr>
      </w:pPr>
      <w:r>
        <w:rPr>
          <w:rFonts w:ascii="Arial" w:eastAsia="宋体" w:hAnsi="Arial" w:cs="Arial"/>
          <w:sz w:val="20"/>
          <w:szCs w:val="20"/>
        </w:rPr>
        <w:t>The following table presents income from operations (in millions, except percentages):</w:t>
      </w:r>
    </w:p>
    <w:tbl>
      <w:tblPr>
        <w:tblW w:w="5000" w:type="pct"/>
        <w:tblCellMar>
          <w:left w:w="0" w:type="dxa"/>
          <w:right w:w="0" w:type="dxa"/>
        </w:tblCellMar>
        <w:tblLook w:val="04A0" w:firstRow="1" w:lastRow="0" w:firstColumn="1" w:lastColumn="0" w:noHBand="0" w:noVBand="1"/>
      </w:tblPr>
      <w:tblGrid>
        <w:gridCol w:w="3249"/>
        <w:gridCol w:w="129"/>
        <w:gridCol w:w="592"/>
        <w:gridCol w:w="183"/>
        <w:gridCol w:w="130"/>
        <w:gridCol w:w="675"/>
        <w:gridCol w:w="183"/>
        <w:gridCol w:w="158"/>
        <w:gridCol w:w="129"/>
        <w:gridCol w:w="592"/>
        <w:gridCol w:w="183"/>
        <w:gridCol w:w="130"/>
        <w:gridCol w:w="675"/>
        <w:gridCol w:w="236"/>
        <w:gridCol w:w="158"/>
        <w:gridCol w:w="129"/>
        <w:gridCol w:w="592"/>
        <w:gridCol w:w="183"/>
      </w:tblGrid>
      <w:tr w:rsidR="009F0928" w14:paraId="0BC983F4" w14:textId="77777777">
        <w:tc>
          <w:tcPr>
            <w:tcW w:w="0" w:type="auto"/>
            <w:gridSpan w:val="18"/>
            <w:shd w:val="clear" w:color="auto" w:fill="auto"/>
            <w:vAlign w:val="center"/>
          </w:tcPr>
          <w:p w14:paraId="0BC983F3" w14:textId="77777777" w:rsidR="009F0928" w:rsidRDefault="009F0928">
            <w:pPr>
              <w:rPr>
                <w:rFonts w:ascii="Times New Roman" w:hAnsi="Times New Roman"/>
                <w:sz w:val="20"/>
                <w:szCs w:val="20"/>
              </w:rPr>
            </w:pPr>
          </w:p>
        </w:tc>
      </w:tr>
      <w:tr w:rsidR="009F0928" w14:paraId="0BC98407" w14:textId="77777777">
        <w:tc>
          <w:tcPr>
            <w:tcW w:w="2050" w:type="pct"/>
            <w:shd w:val="clear" w:color="auto" w:fill="auto"/>
            <w:vAlign w:val="center"/>
          </w:tcPr>
          <w:p w14:paraId="0BC983F5" w14:textId="77777777" w:rsidR="009F0928" w:rsidRDefault="009F0928">
            <w:pPr>
              <w:rPr>
                <w:rFonts w:ascii="Times New Roman" w:hAnsi="Times New Roman"/>
                <w:sz w:val="20"/>
                <w:szCs w:val="20"/>
              </w:rPr>
            </w:pPr>
          </w:p>
        </w:tc>
        <w:tc>
          <w:tcPr>
            <w:tcW w:w="50" w:type="pct"/>
            <w:shd w:val="clear" w:color="auto" w:fill="auto"/>
            <w:vAlign w:val="center"/>
          </w:tcPr>
          <w:p w14:paraId="0BC983F6" w14:textId="77777777" w:rsidR="009F0928" w:rsidRDefault="009F0928">
            <w:pPr>
              <w:rPr>
                <w:rFonts w:ascii="Times New Roman" w:hAnsi="Times New Roman"/>
                <w:sz w:val="20"/>
                <w:szCs w:val="20"/>
              </w:rPr>
            </w:pPr>
          </w:p>
        </w:tc>
        <w:tc>
          <w:tcPr>
            <w:tcW w:w="450" w:type="pct"/>
            <w:shd w:val="clear" w:color="auto" w:fill="auto"/>
            <w:vAlign w:val="center"/>
          </w:tcPr>
          <w:p w14:paraId="0BC983F7" w14:textId="77777777" w:rsidR="009F0928" w:rsidRDefault="009F0928">
            <w:pPr>
              <w:rPr>
                <w:rFonts w:ascii="Times New Roman" w:hAnsi="Times New Roman"/>
                <w:sz w:val="20"/>
                <w:szCs w:val="20"/>
              </w:rPr>
            </w:pPr>
          </w:p>
        </w:tc>
        <w:tc>
          <w:tcPr>
            <w:tcW w:w="50" w:type="pct"/>
            <w:shd w:val="clear" w:color="auto" w:fill="auto"/>
            <w:vAlign w:val="center"/>
          </w:tcPr>
          <w:p w14:paraId="0BC983F8" w14:textId="77777777" w:rsidR="009F0928" w:rsidRDefault="009F0928">
            <w:pPr>
              <w:rPr>
                <w:rFonts w:ascii="Times New Roman" w:hAnsi="Times New Roman"/>
                <w:sz w:val="20"/>
                <w:szCs w:val="20"/>
              </w:rPr>
            </w:pPr>
          </w:p>
        </w:tc>
        <w:tc>
          <w:tcPr>
            <w:tcW w:w="50" w:type="pct"/>
            <w:shd w:val="clear" w:color="auto" w:fill="auto"/>
            <w:vAlign w:val="center"/>
          </w:tcPr>
          <w:p w14:paraId="0BC983F9" w14:textId="77777777" w:rsidR="009F0928" w:rsidRDefault="009F0928">
            <w:pPr>
              <w:rPr>
                <w:rFonts w:ascii="Times New Roman" w:hAnsi="Times New Roman"/>
                <w:sz w:val="20"/>
                <w:szCs w:val="20"/>
              </w:rPr>
            </w:pPr>
          </w:p>
        </w:tc>
        <w:tc>
          <w:tcPr>
            <w:tcW w:w="500" w:type="pct"/>
            <w:shd w:val="clear" w:color="auto" w:fill="auto"/>
            <w:vAlign w:val="center"/>
          </w:tcPr>
          <w:p w14:paraId="0BC983FA" w14:textId="77777777" w:rsidR="009F0928" w:rsidRDefault="009F0928">
            <w:pPr>
              <w:rPr>
                <w:rFonts w:ascii="Times New Roman" w:hAnsi="Times New Roman"/>
                <w:sz w:val="20"/>
                <w:szCs w:val="20"/>
              </w:rPr>
            </w:pPr>
          </w:p>
        </w:tc>
        <w:tc>
          <w:tcPr>
            <w:tcW w:w="50" w:type="pct"/>
            <w:shd w:val="clear" w:color="auto" w:fill="auto"/>
            <w:vAlign w:val="center"/>
          </w:tcPr>
          <w:p w14:paraId="0BC983FB" w14:textId="77777777" w:rsidR="009F0928" w:rsidRDefault="009F0928">
            <w:pPr>
              <w:rPr>
                <w:rFonts w:ascii="Times New Roman" w:hAnsi="Times New Roman"/>
                <w:sz w:val="20"/>
                <w:szCs w:val="20"/>
              </w:rPr>
            </w:pPr>
          </w:p>
        </w:tc>
        <w:tc>
          <w:tcPr>
            <w:tcW w:w="50" w:type="pct"/>
            <w:shd w:val="clear" w:color="auto" w:fill="auto"/>
            <w:vAlign w:val="center"/>
          </w:tcPr>
          <w:p w14:paraId="0BC983FC" w14:textId="77777777" w:rsidR="009F0928" w:rsidRDefault="009F0928">
            <w:pPr>
              <w:rPr>
                <w:rFonts w:ascii="Times New Roman" w:hAnsi="Times New Roman"/>
                <w:sz w:val="20"/>
                <w:szCs w:val="20"/>
              </w:rPr>
            </w:pPr>
          </w:p>
        </w:tc>
        <w:tc>
          <w:tcPr>
            <w:tcW w:w="50" w:type="pct"/>
            <w:shd w:val="clear" w:color="auto" w:fill="auto"/>
            <w:vAlign w:val="center"/>
          </w:tcPr>
          <w:p w14:paraId="0BC983FD" w14:textId="77777777" w:rsidR="009F0928" w:rsidRDefault="009F0928">
            <w:pPr>
              <w:rPr>
                <w:rFonts w:ascii="Times New Roman" w:hAnsi="Times New Roman"/>
                <w:sz w:val="20"/>
                <w:szCs w:val="20"/>
              </w:rPr>
            </w:pPr>
          </w:p>
        </w:tc>
        <w:tc>
          <w:tcPr>
            <w:tcW w:w="450" w:type="pct"/>
            <w:shd w:val="clear" w:color="auto" w:fill="auto"/>
            <w:vAlign w:val="center"/>
          </w:tcPr>
          <w:p w14:paraId="0BC983FE" w14:textId="77777777" w:rsidR="009F0928" w:rsidRDefault="009F0928">
            <w:pPr>
              <w:rPr>
                <w:rFonts w:ascii="Times New Roman" w:hAnsi="Times New Roman"/>
                <w:sz w:val="20"/>
                <w:szCs w:val="20"/>
              </w:rPr>
            </w:pPr>
          </w:p>
        </w:tc>
        <w:tc>
          <w:tcPr>
            <w:tcW w:w="50" w:type="pct"/>
            <w:shd w:val="clear" w:color="auto" w:fill="auto"/>
            <w:vAlign w:val="center"/>
          </w:tcPr>
          <w:p w14:paraId="0BC983FF" w14:textId="77777777" w:rsidR="009F0928" w:rsidRDefault="009F0928">
            <w:pPr>
              <w:rPr>
                <w:rFonts w:ascii="Times New Roman" w:hAnsi="Times New Roman"/>
                <w:sz w:val="20"/>
                <w:szCs w:val="20"/>
              </w:rPr>
            </w:pPr>
          </w:p>
        </w:tc>
        <w:tc>
          <w:tcPr>
            <w:tcW w:w="50" w:type="pct"/>
            <w:shd w:val="clear" w:color="auto" w:fill="auto"/>
            <w:vAlign w:val="center"/>
          </w:tcPr>
          <w:p w14:paraId="0BC98400" w14:textId="77777777" w:rsidR="009F0928" w:rsidRDefault="009F0928">
            <w:pPr>
              <w:rPr>
                <w:rFonts w:ascii="Times New Roman" w:hAnsi="Times New Roman"/>
                <w:sz w:val="20"/>
                <w:szCs w:val="20"/>
              </w:rPr>
            </w:pPr>
          </w:p>
        </w:tc>
        <w:tc>
          <w:tcPr>
            <w:tcW w:w="500" w:type="pct"/>
            <w:shd w:val="clear" w:color="auto" w:fill="auto"/>
            <w:vAlign w:val="center"/>
          </w:tcPr>
          <w:p w14:paraId="0BC98401" w14:textId="77777777" w:rsidR="009F0928" w:rsidRDefault="009F0928">
            <w:pPr>
              <w:rPr>
                <w:rFonts w:ascii="Times New Roman" w:hAnsi="Times New Roman"/>
                <w:sz w:val="20"/>
                <w:szCs w:val="20"/>
              </w:rPr>
            </w:pPr>
          </w:p>
        </w:tc>
        <w:tc>
          <w:tcPr>
            <w:tcW w:w="50" w:type="pct"/>
            <w:shd w:val="clear" w:color="auto" w:fill="auto"/>
            <w:vAlign w:val="center"/>
          </w:tcPr>
          <w:p w14:paraId="0BC98402" w14:textId="77777777" w:rsidR="009F0928" w:rsidRDefault="009F0928">
            <w:pPr>
              <w:rPr>
                <w:rFonts w:ascii="Times New Roman" w:hAnsi="Times New Roman"/>
                <w:sz w:val="20"/>
                <w:szCs w:val="20"/>
              </w:rPr>
            </w:pPr>
          </w:p>
        </w:tc>
        <w:tc>
          <w:tcPr>
            <w:tcW w:w="50" w:type="pct"/>
            <w:shd w:val="clear" w:color="auto" w:fill="auto"/>
            <w:vAlign w:val="center"/>
          </w:tcPr>
          <w:p w14:paraId="0BC98403" w14:textId="77777777" w:rsidR="009F0928" w:rsidRDefault="009F0928">
            <w:pPr>
              <w:rPr>
                <w:rFonts w:ascii="Times New Roman" w:hAnsi="Times New Roman"/>
                <w:sz w:val="20"/>
                <w:szCs w:val="20"/>
              </w:rPr>
            </w:pPr>
          </w:p>
        </w:tc>
        <w:tc>
          <w:tcPr>
            <w:tcW w:w="50" w:type="pct"/>
            <w:shd w:val="clear" w:color="auto" w:fill="auto"/>
            <w:vAlign w:val="center"/>
          </w:tcPr>
          <w:p w14:paraId="0BC98404" w14:textId="77777777" w:rsidR="009F0928" w:rsidRDefault="009F0928">
            <w:pPr>
              <w:rPr>
                <w:rFonts w:ascii="Times New Roman" w:hAnsi="Times New Roman"/>
                <w:sz w:val="20"/>
                <w:szCs w:val="20"/>
              </w:rPr>
            </w:pPr>
          </w:p>
        </w:tc>
        <w:tc>
          <w:tcPr>
            <w:tcW w:w="450" w:type="pct"/>
            <w:shd w:val="clear" w:color="auto" w:fill="auto"/>
            <w:vAlign w:val="center"/>
          </w:tcPr>
          <w:p w14:paraId="0BC98405" w14:textId="77777777" w:rsidR="009F0928" w:rsidRDefault="009F0928">
            <w:pPr>
              <w:rPr>
                <w:rFonts w:ascii="Times New Roman" w:hAnsi="Times New Roman"/>
                <w:sz w:val="20"/>
                <w:szCs w:val="20"/>
              </w:rPr>
            </w:pPr>
          </w:p>
        </w:tc>
        <w:tc>
          <w:tcPr>
            <w:tcW w:w="50" w:type="pct"/>
            <w:shd w:val="clear" w:color="auto" w:fill="auto"/>
            <w:vAlign w:val="center"/>
          </w:tcPr>
          <w:p w14:paraId="0BC98406" w14:textId="77777777" w:rsidR="009F0928" w:rsidRDefault="009F0928">
            <w:pPr>
              <w:rPr>
                <w:rFonts w:ascii="Times New Roman" w:hAnsi="Times New Roman"/>
                <w:sz w:val="20"/>
                <w:szCs w:val="20"/>
              </w:rPr>
            </w:pPr>
          </w:p>
        </w:tc>
      </w:tr>
      <w:tr w:rsidR="009F0928" w14:paraId="0BC9840A" w14:textId="77777777">
        <w:tc>
          <w:tcPr>
            <w:tcW w:w="0" w:type="auto"/>
            <w:shd w:val="clear" w:color="auto" w:fill="auto"/>
            <w:tcMar>
              <w:top w:w="40" w:type="dxa"/>
              <w:left w:w="40" w:type="dxa"/>
              <w:bottom w:w="40" w:type="dxa"/>
              <w:right w:w="40" w:type="dxa"/>
            </w:tcMar>
            <w:vAlign w:val="bottom"/>
          </w:tcPr>
          <w:p w14:paraId="0BC98408"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17"/>
            <w:tcBorders>
              <w:bottom w:val="single" w:sz="8" w:space="0" w:color="000000"/>
            </w:tcBorders>
            <w:shd w:val="clear" w:color="auto" w:fill="auto"/>
            <w:tcMar>
              <w:top w:w="40" w:type="dxa"/>
              <w:left w:w="40" w:type="dxa"/>
              <w:bottom w:w="40" w:type="dxa"/>
            </w:tcMar>
            <w:vAlign w:val="bottom"/>
          </w:tcPr>
          <w:p w14:paraId="0BC98409"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Year Ended December 31,</w:t>
            </w:r>
          </w:p>
        </w:tc>
      </w:tr>
      <w:tr w:rsidR="009F0928" w14:paraId="0BC98415" w14:textId="77777777">
        <w:tc>
          <w:tcPr>
            <w:tcW w:w="0" w:type="auto"/>
            <w:shd w:val="clear" w:color="auto" w:fill="auto"/>
            <w:tcMar>
              <w:top w:w="40" w:type="dxa"/>
              <w:left w:w="40" w:type="dxa"/>
              <w:bottom w:w="40" w:type="dxa"/>
              <w:right w:w="40" w:type="dxa"/>
            </w:tcMar>
            <w:vAlign w:val="bottom"/>
          </w:tcPr>
          <w:p w14:paraId="0BC9840B"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40C"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0BC9840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40E"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Change</w:t>
            </w:r>
          </w:p>
        </w:tc>
        <w:tc>
          <w:tcPr>
            <w:tcW w:w="0" w:type="auto"/>
            <w:tcBorders>
              <w:top w:val="single" w:sz="8" w:space="0" w:color="000000"/>
            </w:tcBorders>
            <w:shd w:val="clear" w:color="auto" w:fill="auto"/>
            <w:tcMar>
              <w:top w:w="40" w:type="dxa"/>
              <w:left w:w="40" w:type="dxa"/>
              <w:bottom w:w="40" w:type="dxa"/>
              <w:right w:w="40" w:type="dxa"/>
            </w:tcMar>
            <w:vAlign w:val="bottom"/>
          </w:tcPr>
          <w:p w14:paraId="0BC9840F"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410"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0BC9841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412"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Change</w:t>
            </w:r>
          </w:p>
        </w:tc>
        <w:tc>
          <w:tcPr>
            <w:tcW w:w="0" w:type="auto"/>
            <w:tcBorders>
              <w:top w:val="single" w:sz="8" w:space="0" w:color="000000"/>
            </w:tcBorders>
            <w:shd w:val="clear" w:color="auto" w:fill="auto"/>
            <w:tcMar>
              <w:top w:w="40" w:type="dxa"/>
              <w:left w:w="40" w:type="dxa"/>
              <w:bottom w:w="40" w:type="dxa"/>
              <w:right w:w="40" w:type="dxa"/>
            </w:tcMar>
            <w:vAlign w:val="bottom"/>
          </w:tcPr>
          <w:p w14:paraId="0BC98413"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414"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2017</w:t>
            </w:r>
          </w:p>
        </w:tc>
      </w:tr>
      <w:tr w:rsidR="009F0928" w14:paraId="0BC98428" w14:textId="77777777">
        <w:tc>
          <w:tcPr>
            <w:tcW w:w="0" w:type="auto"/>
            <w:shd w:val="clear" w:color="auto" w:fill="E2E2E2"/>
            <w:tcMar>
              <w:top w:w="40" w:type="dxa"/>
              <w:left w:w="40" w:type="dxa"/>
              <w:bottom w:w="40" w:type="dxa"/>
              <w:right w:w="40" w:type="dxa"/>
            </w:tcMar>
            <w:vAlign w:val="bottom"/>
          </w:tcPr>
          <w:p w14:paraId="0BC98416" w14:textId="77777777" w:rsidR="009F0928" w:rsidRDefault="002112BD">
            <w:pPr>
              <w:textAlignment w:val="bottom"/>
              <w:rPr>
                <w:rFonts w:ascii="Times New Roman" w:hAnsi="Times New Roman"/>
                <w:sz w:val="16"/>
                <w:szCs w:val="16"/>
              </w:rPr>
            </w:pPr>
            <w:r>
              <w:rPr>
                <w:rFonts w:ascii="Arial" w:eastAsia="宋体" w:hAnsi="Arial" w:cs="Arial"/>
                <w:sz w:val="16"/>
                <w:szCs w:val="16"/>
              </w:rPr>
              <w:t>Income from operations</w:t>
            </w:r>
          </w:p>
        </w:tc>
        <w:tc>
          <w:tcPr>
            <w:tcW w:w="0" w:type="auto"/>
            <w:tcBorders>
              <w:top w:val="single" w:sz="8" w:space="0" w:color="000000"/>
            </w:tcBorders>
            <w:shd w:val="clear" w:color="auto" w:fill="E2E2E2"/>
            <w:tcMar>
              <w:top w:w="40" w:type="dxa"/>
              <w:left w:w="40" w:type="dxa"/>
              <w:bottom w:w="40" w:type="dxa"/>
            </w:tcMar>
            <w:vAlign w:val="bottom"/>
          </w:tcPr>
          <w:p w14:paraId="0BC9841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E2E2E2"/>
            <w:tcMar>
              <w:top w:w="40" w:type="dxa"/>
              <w:bottom w:w="40" w:type="dxa"/>
            </w:tcMar>
            <w:vAlign w:val="bottom"/>
          </w:tcPr>
          <w:p w14:paraId="0BC9841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2,321</w:t>
            </w:r>
          </w:p>
        </w:tc>
        <w:tc>
          <w:tcPr>
            <w:tcW w:w="0" w:type="auto"/>
            <w:tcBorders>
              <w:top w:val="single" w:sz="8" w:space="0" w:color="000000"/>
            </w:tcBorders>
            <w:shd w:val="clear" w:color="auto" w:fill="E2E2E2"/>
            <w:vAlign w:val="bottom"/>
          </w:tcPr>
          <w:p w14:paraId="0BC9841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41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841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w:t>
            </w:r>
          </w:p>
        </w:tc>
        <w:tc>
          <w:tcPr>
            <w:tcW w:w="0" w:type="auto"/>
            <w:tcBorders>
              <w:top w:val="single" w:sz="8" w:space="0" w:color="000000"/>
            </w:tcBorders>
            <w:shd w:val="clear" w:color="auto" w:fill="E2E2E2"/>
            <w:tcMar>
              <w:top w:w="40" w:type="dxa"/>
              <w:bottom w:w="40" w:type="dxa"/>
              <w:right w:w="40" w:type="dxa"/>
            </w:tcMar>
            <w:vAlign w:val="bottom"/>
          </w:tcPr>
          <w:p w14:paraId="0BC9841C"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41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841E"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E2E2E2"/>
            <w:tcMar>
              <w:top w:w="40" w:type="dxa"/>
              <w:bottom w:w="40" w:type="dxa"/>
            </w:tcMar>
            <w:vAlign w:val="bottom"/>
          </w:tcPr>
          <w:p w14:paraId="0BC9841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2,222</w:t>
            </w:r>
          </w:p>
        </w:tc>
        <w:tc>
          <w:tcPr>
            <w:tcW w:w="0" w:type="auto"/>
            <w:tcBorders>
              <w:top w:val="single" w:sz="8" w:space="0" w:color="000000"/>
            </w:tcBorders>
            <w:shd w:val="clear" w:color="auto" w:fill="E2E2E2"/>
            <w:vAlign w:val="bottom"/>
          </w:tcPr>
          <w:p w14:paraId="0BC9842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42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842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w:t>
            </w:r>
          </w:p>
        </w:tc>
        <w:tc>
          <w:tcPr>
            <w:tcW w:w="0" w:type="auto"/>
            <w:tcBorders>
              <w:top w:val="single" w:sz="8" w:space="0" w:color="000000"/>
            </w:tcBorders>
            <w:shd w:val="clear" w:color="auto" w:fill="E2E2E2"/>
            <w:tcMar>
              <w:top w:w="40" w:type="dxa"/>
              <w:bottom w:w="40" w:type="dxa"/>
              <w:right w:w="40" w:type="dxa"/>
            </w:tcMar>
            <w:vAlign w:val="bottom"/>
          </w:tcPr>
          <w:p w14:paraId="0BC9842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42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842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E2E2E2"/>
            <w:tcMar>
              <w:top w:w="40" w:type="dxa"/>
              <w:bottom w:w="40" w:type="dxa"/>
            </w:tcMar>
            <w:vAlign w:val="bottom"/>
          </w:tcPr>
          <w:p w14:paraId="0BC9842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2,264</w:t>
            </w:r>
          </w:p>
        </w:tc>
        <w:tc>
          <w:tcPr>
            <w:tcW w:w="0" w:type="auto"/>
            <w:tcBorders>
              <w:top w:val="single" w:sz="8" w:space="0" w:color="000000"/>
            </w:tcBorders>
            <w:shd w:val="clear" w:color="auto" w:fill="E2E2E2"/>
            <w:vAlign w:val="bottom"/>
          </w:tcPr>
          <w:p w14:paraId="0BC98427" w14:textId="77777777" w:rsidR="009F0928" w:rsidRDefault="009F0928">
            <w:pPr>
              <w:textAlignment w:val="bottom"/>
              <w:rPr>
                <w:rFonts w:ascii="Times New Roman" w:hAnsi="Times New Roman"/>
                <w:sz w:val="20"/>
                <w:szCs w:val="20"/>
              </w:rPr>
            </w:pPr>
          </w:p>
        </w:tc>
      </w:tr>
      <w:tr w:rsidR="009F0928" w14:paraId="0BC98436" w14:textId="77777777">
        <w:tc>
          <w:tcPr>
            <w:tcW w:w="0" w:type="auto"/>
            <w:shd w:val="clear" w:color="auto" w:fill="auto"/>
            <w:tcMar>
              <w:top w:w="40" w:type="dxa"/>
              <w:left w:w="240" w:type="dxa"/>
              <w:bottom w:w="40" w:type="dxa"/>
              <w:right w:w="40" w:type="dxa"/>
            </w:tcMar>
            <w:vAlign w:val="bottom"/>
          </w:tcPr>
          <w:p w14:paraId="0BC98429"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Operating margin</w:t>
            </w:r>
          </w:p>
        </w:tc>
        <w:tc>
          <w:tcPr>
            <w:tcW w:w="0" w:type="auto"/>
            <w:gridSpan w:val="2"/>
            <w:shd w:val="clear" w:color="auto" w:fill="auto"/>
            <w:tcMar>
              <w:top w:w="40" w:type="dxa"/>
              <w:left w:w="40" w:type="dxa"/>
              <w:bottom w:w="40" w:type="dxa"/>
            </w:tcMar>
            <w:vAlign w:val="bottom"/>
          </w:tcPr>
          <w:p w14:paraId="0BC9842A"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21.5</w:t>
            </w:r>
          </w:p>
        </w:tc>
        <w:tc>
          <w:tcPr>
            <w:tcW w:w="0" w:type="auto"/>
            <w:shd w:val="clear" w:color="auto" w:fill="auto"/>
            <w:tcMar>
              <w:top w:w="40" w:type="dxa"/>
              <w:bottom w:w="40" w:type="dxa"/>
              <w:right w:w="40" w:type="dxa"/>
            </w:tcMar>
            <w:vAlign w:val="bottom"/>
          </w:tcPr>
          <w:p w14:paraId="0BC9842B"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c>
          <w:tcPr>
            <w:tcW w:w="0" w:type="auto"/>
            <w:shd w:val="clear" w:color="auto" w:fill="auto"/>
            <w:tcMar>
              <w:top w:w="40" w:type="dxa"/>
              <w:left w:w="40" w:type="dxa"/>
              <w:bottom w:w="40" w:type="dxa"/>
              <w:right w:w="40" w:type="dxa"/>
            </w:tcMar>
            <w:vAlign w:val="bottom"/>
          </w:tcPr>
          <w:p w14:paraId="0BC9842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42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42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42F"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20.7</w:t>
            </w:r>
          </w:p>
        </w:tc>
        <w:tc>
          <w:tcPr>
            <w:tcW w:w="0" w:type="auto"/>
            <w:shd w:val="clear" w:color="auto" w:fill="auto"/>
            <w:tcMar>
              <w:top w:w="40" w:type="dxa"/>
              <w:bottom w:w="40" w:type="dxa"/>
              <w:right w:w="40" w:type="dxa"/>
            </w:tcMar>
            <w:vAlign w:val="bottom"/>
          </w:tcPr>
          <w:p w14:paraId="0BC98430"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c>
          <w:tcPr>
            <w:tcW w:w="0" w:type="auto"/>
            <w:shd w:val="clear" w:color="auto" w:fill="auto"/>
            <w:tcMar>
              <w:top w:w="40" w:type="dxa"/>
              <w:left w:w="40" w:type="dxa"/>
              <w:bottom w:w="40" w:type="dxa"/>
              <w:right w:w="40" w:type="dxa"/>
            </w:tcMar>
            <w:vAlign w:val="bottom"/>
          </w:tcPr>
          <w:p w14:paraId="0BC9843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43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43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434" w14:textId="77777777" w:rsidR="009F0928" w:rsidRDefault="002112BD">
            <w:pPr>
              <w:jc w:val="right"/>
              <w:textAlignment w:val="bottom"/>
              <w:rPr>
                <w:rFonts w:ascii="Times New Roman" w:hAnsi="Times New Roman"/>
                <w:sz w:val="16"/>
                <w:szCs w:val="16"/>
              </w:rPr>
            </w:pPr>
            <w:r>
              <w:rPr>
                <w:rFonts w:ascii="Arial" w:eastAsia="宋体" w:hAnsi="Arial" w:cs="Arial"/>
                <w:i/>
                <w:iCs/>
                <w:sz w:val="16"/>
                <w:szCs w:val="16"/>
              </w:rPr>
              <w:t>22.8</w:t>
            </w:r>
          </w:p>
        </w:tc>
        <w:tc>
          <w:tcPr>
            <w:tcW w:w="0" w:type="auto"/>
            <w:shd w:val="clear" w:color="auto" w:fill="auto"/>
            <w:tcMar>
              <w:top w:w="40" w:type="dxa"/>
              <w:bottom w:w="40" w:type="dxa"/>
              <w:right w:w="40" w:type="dxa"/>
            </w:tcMar>
            <w:vAlign w:val="bottom"/>
          </w:tcPr>
          <w:p w14:paraId="0BC98435" w14:textId="77777777" w:rsidR="009F0928" w:rsidRDefault="002112BD">
            <w:pPr>
              <w:textAlignment w:val="bottom"/>
              <w:rPr>
                <w:rFonts w:ascii="Times New Roman" w:hAnsi="Times New Roman"/>
                <w:sz w:val="16"/>
                <w:szCs w:val="16"/>
              </w:rPr>
            </w:pPr>
            <w:r>
              <w:rPr>
                <w:rFonts w:ascii="Arial" w:eastAsia="宋体" w:hAnsi="Arial" w:cs="Arial"/>
                <w:i/>
                <w:iCs/>
                <w:sz w:val="16"/>
                <w:szCs w:val="16"/>
              </w:rPr>
              <w:t>%</w:t>
            </w:r>
          </w:p>
        </w:tc>
      </w:tr>
    </w:tbl>
    <w:p w14:paraId="0BC98437" w14:textId="77777777" w:rsidR="009F0928" w:rsidRDefault="009F0928">
      <w:pPr>
        <w:spacing w:line="288" w:lineRule="auto"/>
        <w:jc w:val="both"/>
        <w:rPr>
          <w:rFonts w:ascii="Times New Roman" w:hAnsi="Times New Roman"/>
          <w:sz w:val="20"/>
          <w:szCs w:val="20"/>
        </w:rPr>
      </w:pPr>
    </w:p>
    <w:p w14:paraId="0BC9843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increase in income from operations in 2019 compared 2018 was primarily due to an increase in income from our Marketplace segment. Income from our StubHub and Classifieds segments was not a significant contributor to the increase in total income from op</w:t>
      </w:r>
      <w:r>
        <w:rPr>
          <w:rFonts w:ascii="Arial" w:eastAsia="宋体" w:hAnsi="Arial" w:cs="Arial"/>
          <w:sz w:val="20"/>
          <w:szCs w:val="20"/>
        </w:rPr>
        <w:t>erations in 2019 compared to 2018. The decrease in income from operations in 2018 compared to 2017 was primarily due to global workforce reduction and an increase in employee related costs, partially offset by an increase in income from our Marketplace and</w:t>
      </w:r>
      <w:r>
        <w:rPr>
          <w:rFonts w:ascii="Arial" w:eastAsia="宋体" w:hAnsi="Arial" w:cs="Arial"/>
          <w:sz w:val="20"/>
          <w:szCs w:val="20"/>
        </w:rPr>
        <w:t xml:space="preserve"> Classifieds segments. </w:t>
      </w:r>
    </w:p>
    <w:p w14:paraId="0BC98439" w14:textId="77777777" w:rsidR="009F0928" w:rsidRDefault="009F0928">
      <w:pPr>
        <w:spacing w:line="288" w:lineRule="auto"/>
        <w:jc w:val="both"/>
        <w:rPr>
          <w:rFonts w:ascii="Times New Roman" w:hAnsi="Times New Roman"/>
          <w:sz w:val="20"/>
          <w:szCs w:val="20"/>
        </w:rPr>
      </w:pPr>
    </w:p>
    <w:p w14:paraId="0BC9843A"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Interest and Other, Net</w:t>
      </w:r>
    </w:p>
    <w:p w14:paraId="0BC9843B"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w:t>
      </w:r>
    </w:p>
    <w:p w14:paraId="0BC9843C"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Interest and other, net primarily consists of interest earned on cash, cash equivalents and investments, as well as foreign exchange transaction gains and losses, gains and losses due to changes in fair va</w:t>
      </w:r>
      <w:r>
        <w:rPr>
          <w:rFonts w:ascii="Arial" w:eastAsia="宋体" w:hAnsi="Arial" w:cs="Arial"/>
          <w:sz w:val="20"/>
          <w:szCs w:val="20"/>
        </w:rPr>
        <w:t>lue of the warrant received from Adyen, our portion of operating results from investments accounted for under the equity method of accounting, investment gain/loss on acquisitions or disposals and interest expense, consisting of interest charges on any amo</w:t>
      </w:r>
      <w:r>
        <w:rPr>
          <w:rFonts w:ascii="Arial" w:eastAsia="宋体" w:hAnsi="Arial" w:cs="Arial"/>
          <w:sz w:val="20"/>
          <w:szCs w:val="20"/>
        </w:rPr>
        <w:t>unts borrowed and commitment fees on unborrowed amounts under our credit agreement and interest expense on our outstanding debt securities and commercial paper, if any. The following table presents interest and other, net (in millions, except percentages):</w:t>
      </w:r>
    </w:p>
    <w:p w14:paraId="0BC9843D" w14:textId="77777777" w:rsidR="009F0928" w:rsidRDefault="009F0928">
      <w:pPr>
        <w:spacing w:line="288" w:lineRule="auto"/>
        <w:jc w:val="both"/>
        <w:rPr>
          <w:rFonts w:ascii="Times New Roman" w:hAnsi="Times New Roman"/>
          <w:sz w:val="20"/>
          <w:szCs w:val="20"/>
        </w:rPr>
      </w:pPr>
    </w:p>
    <w:tbl>
      <w:tblPr>
        <w:tblW w:w="4990" w:type="pct"/>
        <w:jc w:val="center"/>
        <w:tblCellMar>
          <w:left w:w="0" w:type="dxa"/>
          <w:right w:w="0" w:type="dxa"/>
        </w:tblCellMar>
        <w:tblLook w:val="04A0" w:firstRow="1" w:lastRow="0" w:firstColumn="1" w:lastColumn="0" w:noHBand="0" w:noVBand="1"/>
      </w:tblPr>
      <w:tblGrid>
        <w:gridCol w:w="3274"/>
        <w:gridCol w:w="129"/>
        <w:gridCol w:w="622"/>
        <w:gridCol w:w="94"/>
        <w:gridCol w:w="130"/>
        <w:gridCol w:w="705"/>
        <w:gridCol w:w="236"/>
        <w:gridCol w:w="169"/>
        <w:gridCol w:w="129"/>
        <w:gridCol w:w="622"/>
        <w:gridCol w:w="94"/>
        <w:gridCol w:w="130"/>
        <w:gridCol w:w="705"/>
        <w:gridCol w:w="236"/>
        <w:gridCol w:w="169"/>
        <w:gridCol w:w="129"/>
        <w:gridCol w:w="622"/>
        <w:gridCol w:w="94"/>
      </w:tblGrid>
      <w:tr w:rsidR="009F0928" w14:paraId="0BC9843F" w14:textId="77777777">
        <w:trPr>
          <w:jc w:val="center"/>
        </w:trPr>
        <w:tc>
          <w:tcPr>
            <w:tcW w:w="0" w:type="auto"/>
            <w:gridSpan w:val="18"/>
            <w:shd w:val="clear" w:color="auto" w:fill="auto"/>
            <w:vAlign w:val="center"/>
          </w:tcPr>
          <w:p w14:paraId="0BC9843E" w14:textId="77777777" w:rsidR="009F0928" w:rsidRDefault="009F0928">
            <w:pPr>
              <w:rPr>
                <w:rFonts w:ascii="Times New Roman" w:hAnsi="Times New Roman"/>
                <w:sz w:val="20"/>
                <w:szCs w:val="20"/>
              </w:rPr>
            </w:pPr>
          </w:p>
        </w:tc>
      </w:tr>
      <w:tr w:rsidR="009F0928" w14:paraId="0BC98452" w14:textId="77777777">
        <w:trPr>
          <w:jc w:val="center"/>
        </w:trPr>
        <w:tc>
          <w:tcPr>
            <w:tcW w:w="2050" w:type="pct"/>
            <w:shd w:val="clear" w:color="auto" w:fill="auto"/>
            <w:vAlign w:val="center"/>
          </w:tcPr>
          <w:p w14:paraId="0BC98440" w14:textId="77777777" w:rsidR="009F0928" w:rsidRDefault="009F0928">
            <w:pPr>
              <w:rPr>
                <w:rFonts w:ascii="Times New Roman" w:hAnsi="Times New Roman"/>
                <w:sz w:val="20"/>
                <w:szCs w:val="20"/>
              </w:rPr>
            </w:pPr>
          </w:p>
        </w:tc>
        <w:tc>
          <w:tcPr>
            <w:tcW w:w="50" w:type="pct"/>
            <w:shd w:val="clear" w:color="auto" w:fill="auto"/>
            <w:vAlign w:val="center"/>
          </w:tcPr>
          <w:p w14:paraId="0BC98441" w14:textId="77777777" w:rsidR="009F0928" w:rsidRDefault="009F0928">
            <w:pPr>
              <w:rPr>
                <w:rFonts w:ascii="Times New Roman" w:hAnsi="Times New Roman"/>
                <w:sz w:val="20"/>
                <w:szCs w:val="20"/>
              </w:rPr>
            </w:pPr>
          </w:p>
        </w:tc>
        <w:tc>
          <w:tcPr>
            <w:tcW w:w="450" w:type="pct"/>
            <w:shd w:val="clear" w:color="auto" w:fill="auto"/>
            <w:vAlign w:val="center"/>
          </w:tcPr>
          <w:p w14:paraId="0BC98442" w14:textId="77777777" w:rsidR="009F0928" w:rsidRDefault="009F0928">
            <w:pPr>
              <w:rPr>
                <w:rFonts w:ascii="Times New Roman" w:hAnsi="Times New Roman"/>
                <w:sz w:val="20"/>
                <w:szCs w:val="20"/>
              </w:rPr>
            </w:pPr>
          </w:p>
        </w:tc>
        <w:tc>
          <w:tcPr>
            <w:tcW w:w="50" w:type="pct"/>
            <w:shd w:val="clear" w:color="auto" w:fill="auto"/>
            <w:vAlign w:val="center"/>
          </w:tcPr>
          <w:p w14:paraId="0BC98443" w14:textId="77777777" w:rsidR="009F0928" w:rsidRDefault="009F0928">
            <w:pPr>
              <w:rPr>
                <w:rFonts w:ascii="Times New Roman" w:hAnsi="Times New Roman"/>
                <w:sz w:val="20"/>
                <w:szCs w:val="20"/>
              </w:rPr>
            </w:pPr>
          </w:p>
        </w:tc>
        <w:tc>
          <w:tcPr>
            <w:tcW w:w="50" w:type="pct"/>
            <w:shd w:val="clear" w:color="auto" w:fill="auto"/>
            <w:vAlign w:val="center"/>
          </w:tcPr>
          <w:p w14:paraId="0BC98444" w14:textId="77777777" w:rsidR="009F0928" w:rsidRDefault="009F0928">
            <w:pPr>
              <w:rPr>
                <w:rFonts w:ascii="Times New Roman" w:hAnsi="Times New Roman"/>
                <w:sz w:val="20"/>
                <w:szCs w:val="20"/>
              </w:rPr>
            </w:pPr>
          </w:p>
        </w:tc>
        <w:tc>
          <w:tcPr>
            <w:tcW w:w="500" w:type="pct"/>
            <w:shd w:val="clear" w:color="auto" w:fill="auto"/>
            <w:vAlign w:val="center"/>
          </w:tcPr>
          <w:p w14:paraId="0BC98445" w14:textId="77777777" w:rsidR="009F0928" w:rsidRDefault="009F0928">
            <w:pPr>
              <w:rPr>
                <w:rFonts w:ascii="Times New Roman" w:hAnsi="Times New Roman"/>
                <w:sz w:val="20"/>
                <w:szCs w:val="20"/>
              </w:rPr>
            </w:pPr>
          </w:p>
        </w:tc>
        <w:tc>
          <w:tcPr>
            <w:tcW w:w="50" w:type="pct"/>
            <w:shd w:val="clear" w:color="auto" w:fill="auto"/>
            <w:vAlign w:val="center"/>
          </w:tcPr>
          <w:p w14:paraId="0BC98446" w14:textId="77777777" w:rsidR="009F0928" w:rsidRDefault="009F0928">
            <w:pPr>
              <w:rPr>
                <w:rFonts w:ascii="Times New Roman" w:hAnsi="Times New Roman"/>
                <w:sz w:val="20"/>
                <w:szCs w:val="20"/>
              </w:rPr>
            </w:pPr>
          </w:p>
        </w:tc>
        <w:tc>
          <w:tcPr>
            <w:tcW w:w="50" w:type="pct"/>
            <w:shd w:val="clear" w:color="auto" w:fill="auto"/>
            <w:vAlign w:val="center"/>
          </w:tcPr>
          <w:p w14:paraId="0BC98447" w14:textId="77777777" w:rsidR="009F0928" w:rsidRDefault="009F0928">
            <w:pPr>
              <w:rPr>
                <w:rFonts w:ascii="Times New Roman" w:hAnsi="Times New Roman"/>
                <w:sz w:val="20"/>
                <w:szCs w:val="20"/>
              </w:rPr>
            </w:pPr>
          </w:p>
        </w:tc>
        <w:tc>
          <w:tcPr>
            <w:tcW w:w="50" w:type="pct"/>
            <w:shd w:val="clear" w:color="auto" w:fill="auto"/>
            <w:vAlign w:val="center"/>
          </w:tcPr>
          <w:p w14:paraId="0BC98448" w14:textId="77777777" w:rsidR="009F0928" w:rsidRDefault="009F0928">
            <w:pPr>
              <w:rPr>
                <w:rFonts w:ascii="Times New Roman" w:hAnsi="Times New Roman"/>
                <w:sz w:val="20"/>
                <w:szCs w:val="20"/>
              </w:rPr>
            </w:pPr>
          </w:p>
        </w:tc>
        <w:tc>
          <w:tcPr>
            <w:tcW w:w="450" w:type="pct"/>
            <w:shd w:val="clear" w:color="auto" w:fill="auto"/>
            <w:vAlign w:val="center"/>
          </w:tcPr>
          <w:p w14:paraId="0BC98449" w14:textId="77777777" w:rsidR="009F0928" w:rsidRDefault="009F0928">
            <w:pPr>
              <w:rPr>
                <w:rFonts w:ascii="Times New Roman" w:hAnsi="Times New Roman"/>
                <w:sz w:val="20"/>
                <w:szCs w:val="20"/>
              </w:rPr>
            </w:pPr>
          </w:p>
        </w:tc>
        <w:tc>
          <w:tcPr>
            <w:tcW w:w="50" w:type="pct"/>
            <w:shd w:val="clear" w:color="auto" w:fill="auto"/>
            <w:vAlign w:val="center"/>
          </w:tcPr>
          <w:p w14:paraId="0BC9844A" w14:textId="77777777" w:rsidR="009F0928" w:rsidRDefault="009F0928">
            <w:pPr>
              <w:rPr>
                <w:rFonts w:ascii="Times New Roman" w:hAnsi="Times New Roman"/>
                <w:sz w:val="20"/>
                <w:szCs w:val="20"/>
              </w:rPr>
            </w:pPr>
          </w:p>
        </w:tc>
        <w:tc>
          <w:tcPr>
            <w:tcW w:w="50" w:type="pct"/>
            <w:shd w:val="clear" w:color="auto" w:fill="auto"/>
            <w:vAlign w:val="center"/>
          </w:tcPr>
          <w:p w14:paraId="0BC9844B" w14:textId="77777777" w:rsidR="009F0928" w:rsidRDefault="009F0928">
            <w:pPr>
              <w:rPr>
                <w:rFonts w:ascii="Times New Roman" w:hAnsi="Times New Roman"/>
                <w:sz w:val="20"/>
                <w:szCs w:val="20"/>
              </w:rPr>
            </w:pPr>
          </w:p>
        </w:tc>
        <w:tc>
          <w:tcPr>
            <w:tcW w:w="500" w:type="pct"/>
            <w:shd w:val="clear" w:color="auto" w:fill="auto"/>
            <w:vAlign w:val="center"/>
          </w:tcPr>
          <w:p w14:paraId="0BC9844C" w14:textId="77777777" w:rsidR="009F0928" w:rsidRDefault="009F0928">
            <w:pPr>
              <w:rPr>
                <w:rFonts w:ascii="Times New Roman" w:hAnsi="Times New Roman"/>
                <w:sz w:val="20"/>
                <w:szCs w:val="20"/>
              </w:rPr>
            </w:pPr>
          </w:p>
        </w:tc>
        <w:tc>
          <w:tcPr>
            <w:tcW w:w="50" w:type="pct"/>
            <w:shd w:val="clear" w:color="auto" w:fill="auto"/>
            <w:vAlign w:val="center"/>
          </w:tcPr>
          <w:p w14:paraId="0BC9844D" w14:textId="77777777" w:rsidR="009F0928" w:rsidRDefault="009F0928">
            <w:pPr>
              <w:rPr>
                <w:rFonts w:ascii="Times New Roman" w:hAnsi="Times New Roman"/>
                <w:sz w:val="20"/>
                <w:szCs w:val="20"/>
              </w:rPr>
            </w:pPr>
          </w:p>
        </w:tc>
        <w:tc>
          <w:tcPr>
            <w:tcW w:w="50" w:type="pct"/>
            <w:shd w:val="clear" w:color="auto" w:fill="auto"/>
            <w:vAlign w:val="center"/>
          </w:tcPr>
          <w:p w14:paraId="0BC9844E" w14:textId="77777777" w:rsidR="009F0928" w:rsidRDefault="009F0928">
            <w:pPr>
              <w:rPr>
                <w:rFonts w:ascii="Times New Roman" w:hAnsi="Times New Roman"/>
                <w:sz w:val="20"/>
                <w:szCs w:val="20"/>
              </w:rPr>
            </w:pPr>
          </w:p>
        </w:tc>
        <w:tc>
          <w:tcPr>
            <w:tcW w:w="50" w:type="pct"/>
            <w:shd w:val="clear" w:color="auto" w:fill="auto"/>
            <w:vAlign w:val="center"/>
          </w:tcPr>
          <w:p w14:paraId="0BC9844F" w14:textId="77777777" w:rsidR="009F0928" w:rsidRDefault="009F0928">
            <w:pPr>
              <w:rPr>
                <w:rFonts w:ascii="Times New Roman" w:hAnsi="Times New Roman"/>
                <w:sz w:val="20"/>
                <w:szCs w:val="20"/>
              </w:rPr>
            </w:pPr>
          </w:p>
        </w:tc>
        <w:tc>
          <w:tcPr>
            <w:tcW w:w="450" w:type="pct"/>
            <w:shd w:val="clear" w:color="auto" w:fill="auto"/>
            <w:vAlign w:val="center"/>
          </w:tcPr>
          <w:p w14:paraId="0BC98450" w14:textId="77777777" w:rsidR="009F0928" w:rsidRDefault="009F0928">
            <w:pPr>
              <w:rPr>
                <w:rFonts w:ascii="Times New Roman" w:hAnsi="Times New Roman"/>
                <w:sz w:val="20"/>
                <w:szCs w:val="20"/>
              </w:rPr>
            </w:pPr>
          </w:p>
        </w:tc>
        <w:tc>
          <w:tcPr>
            <w:tcW w:w="50" w:type="pct"/>
            <w:shd w:val="clear" w:color="auto" w:fill="auto"/>
            <w:vAlign w:val="center"/>
          </w:tcPr>
          <w:p w14:paraId="0BC98451" w14:textId="77777777" w:rsidR="009F0928" w:rsidRDefault="009F0928">
            <w:pPr>
              <w:rPr>
                <w:rFonts w:ascii="Times New Roman" w:hAnsi="Times New Roman"/>
                <w:sz w:val="20"/>
                <w:szCs w:val="20"/>
              </w:rPr>
            </w:pPr>
          </w:p>
        </w:tc>
      </w:tr>
      <w:tr w:rsidR="009F0928" w14:paraId="0BC98455" w14:textId="77777777">
        <w:trPr>
          <w:jc w:val="center"/>
        </w:trPr>
        <w:tc>
          <w:tcPr>
            <w:tcW w:w="0" w:type="auto"/>
            <w:shd w:val="clear" w:color="auto" w:fill="auto"/>
            <w:tcMar>
              <w:top w:w="40" w:type="dxa"/>
              <w:left w:w="40" w:type="dxa"/>
              <w:bottom w:w="40" w:type="dxa"/>
              <w:right w:w="40" w:type="dxa"/>
            </w:tcMar>
            <w:vAlign w:val="bottom"/>
          </w:tcPr>
          <w:p w14:paraId="0BC98453"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17"/>
            <w:tcBorders>
              <w:bottom w:val="single" w:sz="8" w:space="0" w:color="000000"/>
            </w:tcBorders>
            <w:shd w:val="clear" w:color="auto" w:fill="auto"/>
            <w:tcMar>
              <w:top w:w="40" w:type="dxa"/>
              <w:left w:w="40" w:type="dxa"/>
              <w:bottom w:w="40" w:type="dxa"/>
            </w:tcMar>
            <w:vAlign w:val="bottom"/>
          </w:tcPr>
          <w:p w14:paraId="0BC98454"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Year Ended December 31,</w:t>
            </w:r>
          </w:p>
        </w:tc>
      </w:tr>
      <w:tr w:rsidR="009F0928" w14:paraId="0BC98460" w14:textId="77777777">
        <w:trPr>
          <w:jc w:val="center"/>
        </w:trPr>
        <w:tc>
          <w:tcPr>
            <w:tcW w:w="0" w:type="auto"/>
            <w:shd w:val="clear" w:color="auto" w:fill="auto"/>
            <w:tcMar>
              <w:top w:w="40" w:type="dxa"/>
              <w:left w:w="40" w:type="dxa"/>
              <w:bottom w:w="40" w:type="dxa"/>
              <w:right w:w="40" w:type="dxa"/>
            </w:tcMar>
            <w:vAlign w:val="bottom"/>
          </w:tcPr>
          <w:p w14:paraId="0BC98456"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457"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0BC9845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459"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Change</w:t>
            </w:r>
          </w:p>
        </w:tc>
        <w:tc>
          <w:tcPr>
            <w:tcW w:w="0" w:type="auto"/>
            <w:shd w:val="clear" w:color="auto" w:fill="auto"/>
            <w:tcMar>
              <w:top w:w="40" w:type="dxa"/>
              <w:left w:w="40" w:type="dxa"/>
              <w:bottom w:w="40" w:type="dxa"/>
              <w:right w:w="40" w:type="dxa"/>
            </w:tcMar>
            <w:vAlign w:val="bottom"/>
          </w:tcPr>
          <w:p w14:paraId="0BC9845A"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45B"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0BC9845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45D"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Change</w:t>
            </w:r>
          </w:p>
        </w:tc>
        <w:tc>
          <w:tcPr>
            <w:tcW w:w="0" w:type="auto"/>
            <w:shd w:val="clear" w:color="auto" w:fill="auto"/>
            <w:tcMar>
              <w:top w:w="40" w:type="dxa"/>
              <w:left w:w="40" w:type="dxa"/>
              <w:bottom w:w="40" w:type="dxa"/>
              <w:right w:w="40" w:type="dxa"/>
            </w:tcMar>
            <w:vAlign w:val="bottom"/>
          </w:tcPr>
          <w:p w14:paraId="0BC9845E"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45F"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2017</w:t>
            </w:r>
          </w:p>
        </w:tc>
      </w:tr>
      <w:tr w:rsidR="009F0928" w14:paraId="0BC98473" w14:textId="77777777">
        <w:trPr>
          <w:jc w:val="center"/>
        </w:trPr>
        <w:tc>
          <w:tcPr>
            <w:tcW w:w="0" w:type="auto"/>
            <w:shd w:val="clear" w:color="auto" w:fill="E2E2E2"/>
            <w:tcMar>
              <w:top w:w="40" w:type="dxa"/>
              <w:left w:w="40" w:type="dxa"/>
              <w:bottom w:w="40" w:type="dxa"/>
              <w:right w:w="40" w:type="dxa"/>
            </w:tcMar>
            <w:vAlign w:val="bottom"/>
          </w:tcPr>
          <w:p w14:paraId="0BC98461" w14:textId="77777777" w:rsidR="009F0928" w:rsidRDefault="002112BD">
            <w:pPr>
              <w:textAlignment w:val="bottom"/>
              <w:rPr>
                <w:rFonts w:ascii="Times New Roman" w:hAnsi="Times New Roman"/>
                <w:sz w:val="16"/>
                <w:szCs w:val="16"/>
              </w:rPr>
            </w:pPr>
            <w:r>
              <w:rPr>
                <w:rFonts w:ascii="Arial" w:eastAsia="宋体" w:hAnsi="Arial" w:cs="Arial"/>
                <w:sz w:val="16"/>
                <w:szCs w:val="16"/>
              </w:rPr>
              <w:t>Interest income</w:t>
            </w:r>
          </w:p>
        </w:tc>
        <w:tc>
          <w:tcPr>
            <w:tcW w:w="0" w:type="auto"/>
            <w:shd w:val="clear" w:color="auto" w:fill="E2E2E2"/>
            <w:tcMar>
              <w:top w:w="40" w:type="dxa"/>
              <w:left w:w="40" w:type="dxa"/>
              <w:bottom w:w="40" w:type="dxa"/>
            </w:tcMar>
            <w:vAlign w:val="bottom"/>
          </w:tcPr>
          <w:p w14:paraId="0BC98462"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8463"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120</w:t>
            </w:r>
          </w:p>
        </w:tc>
        <w:tc>
          <w:tcPr>
            <w:tcW w:w="0" w:type="auto"/>
            <w:shd w:val="clear" w:color="auto" w:fill="E2E2E2"/>
            <w:vAlign w:val="bottom"/>
          </w:tcPr>
          <w:p w14:paraId="0BC9846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4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46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(32</w:t>
            </w:r>
          </w:p>
        </w:tc>
        <w:tc>
          <w:tcPr>
            <w:tcW w:w="0" w:type="auto"/>
            <w:shd w:val="clear" w:color="auto" w:fill="E2E2E2"/>
            <w:tcMar>
              <w:top w:w="40" w:type="dxa"/>
              <w:bottom w:w="40" w:type="dxa"/>
              <w:right w:w="40" w:type="dxa"/>
            </w:tcMar>
            <w:vAlign w:val="bottom"/>
          </w:tcPr>
          <w:p w14:paraId="0BC9846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468"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tcMar>
            <w:vAlign w:val="bottom"/>
          </w:tcPr>
          <w:p w14:paraId="0BC9846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846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176</w:t>
            </w:r>
          </w:p>
        </w:tc>
        <w:tc>
          <w:tcPr>
            <w:tcW w:w="0" w:type="auto"/>
            <w:shd w:val="clear" w:color="auto" w:fill="E2E2E2"/>
            <w:vAlign w:val="bottom"/>
          </w:tcPr>
          <w:p w14:paraId="0BC9846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46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46D"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E2E2E2"/>
            <w:tcMar>
              <w:top w:w="40" w:type="dxa"/>
              <w:bottom w:w="40" w:type="dxa"/>
              <w:right w:w="40" w:type="dxa"/>
            </w:tcMar>
            <w:vAlign w:val="bottom"/>
          </w:tcPr>
          <w:p w14:paraId="0BC9846E"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46F"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tcMar>
            <w:vAlign w:val="bottom"/>
          </w:tcPr>
          <w:p w14:paraId="0BC98470"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847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177</w:t>
            </w:r>
          </w:p>
        </w:tc>
        <w:tc>
          <w:tcPr>
            <w:tcW w:w="0" w:type="auto"/>
            <w:shd w:val="clear" w:color="auto" w:fill="E2E2E2"/>
            <w:vAlign w:val="bottom"/>
          </w:tcPr>
          <w:p w14:paraId="0BC98472" w14:textId="77777777" w:rsidR="009F0928" w:rsidRDefault="009F0928">
            <w:pPr>
              <w:textAlignment w:val="bottom"/>
              <w:rPr>
                <w:rFonts w:ascii="Times New Roman" w:hAnsi="Times New Roman"/>
                <w:sz w:val="20"/>
                <w:szCs w:val="20"/>
              </w:rPr>
            </w:pPr>
          </w:p>
        </w:tc>
      </w:tr>
      <w:tr w:rsidR="009F0928" w14:paraId="0BC98483" w14:textId="77777777">
        <w:trPr>
          <w:jc w:val="center"/>
        </w:trPr>
        <w:tc>
          <w:tcPr>
            <w:tcW w:w="0" w:type="auto"/>
            <w:shd w:val="clear" w:color="auto" w:fill="auto"/>
            <w:tcMar>
              <w:top w:w="40" w:type="dxa"/>
              <w:left w:w="40" w:type="dxa"/>
              <w:bottom w:w="40" w:type="dxa"/>
              <w:right w:w="40" w:type="dxa"/>
            </w:tcMar>
            <w:vAlign w:val="bottom"/>
          </w:tcPr>
          <w:p w14:paraId="0BC98474" w14:textId="77777777" w:rsidR="009F0928" w:rsidRDefault="002112BD">
            <w:pPr>
              <w:textAlignment w:val="bottom"/>
              <w:rPr>
                <w:rFonts w:ascii="Times New Roman" w:hAnsi="Times New Roman"/>
                <w:sz w:val="16"/>
                <w:szCs w:val="16"/>
              </w:rPr>
            </w:pPr>
            <w:r>
              <w:rPr>
                <w:rFonts w:ascii="Arial" w:eastAsia="宋体" w:hAnsi="Arial" w:cs="Arial"/>
                <w:sz w:val="16"/>
                <w:szCs w:val="16"/>
              </w:rPr>
              <w:t xml:space="preserve">Interest </w:t>
            </w:r>
            <w:r>
              <w:rPr>
                <w:rFonts w:ascii="Arial" w:eastAsia="宋体" w:hAnsi="Arial" w:cs="Arial"/>
                <w:sz w:val="16"/>
                <w:szCs w:val="16"/>
              </w:rPr>
              <w:t>expense</w:t>
            </w:r>
          </w:p>
        </w:tc>
        <w:tc>
          <w:tcPr>
            <w:tcW w:w="0" w:type="auto"/>
            <w:gridSpan w:val="2"/>
            <w:shd w:val="clear" w:color="auto" w:fill="auto"/>
            <w:tcMar>
              <w:top w:w="40" w:type="dxa"/>
              <w:left w:w="40" w:type="dxa"/>
              <w:bottom w:w="40" w:type="dxa"/>
            </w:tcMar>
            <w:vAlign w:val="bottom"/>
          </w:tcPr>
          <w:p w14:paraId="0BC9847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(311</w:t>
            </w:r>
          </w:p>
        </w:tc>
        <w:tc>
          <w:tcPr>
            <w:tcW w:w="0" w:type="auto"/>
            <w:shd w:val="clear" w:color="auto" w:fill="auto"/>
            <w:tcMar>
              <w:top w:w="40" w:type="dxa"/>
              <w:bottom w:w="40" w:type="dxa"/>
              <w:right w:w="40" w:type="dxa"/>
            </w:tcMar>
            <w:vAlign w:val="bottom"/>
          </w:tcPr>
          <w:p w14:paraId="0BC98476"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47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47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auto"/>
            <w:tcMar>
              <w:top w:w="40" w:type="dxa"/>
              <w:bottom w:w="40" w:type="dxa"/>
              <w:right w:w="40" w:type="dxa"/>
            </w:tcMar>
            <w:vAlign w:val="bottom"/>
          </w:tcPr>
          <w:p w14:paraId="0BC9847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47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47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(326</w:t>
            </w:r>
          </w:p>
        </w:tc>
        <w:tc>
          <w:tcPr>
            <w:tcW w:w="0" w:type="auto"/>
            <w:shd w:val="clear" w:color="auto" w:fill="auto"/>
            <w:tcMar>
              <w:top w:w="40" w:type="dxa"/>
              <w:bottom w:w="40" w:type="dxa"/>
              <w:right w:w="40" w:type="dxa"/>
            </w:tcMar>
            <w:vAlign w:val="bottom"/>
          </w:tcPr>
          <w:p w14:paraId="0BC9847C"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47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47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12</w:t>
            </w:r>
          </w:p>
        </w:tc>
        <w:tc>
          <w:tcPr>
            <w:tcW w:w="0" w:type="auto"/>
            <w:shd w:val="clear" w:color="auto" w:fill="auto"/>
            <w:tcMar>
              <w:top w:w="40" w:type="dxa"/>
              <w:bottom w:w="40" w:type="dxa"/>
              <w:right w:w="40" w:type="dxa"/>
            </w:tcMar>
            <w:vAlign w:val="bottom"/>
          </w:tcPr>
          <w:p w14:paraId="0BC9847F"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848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48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(292</w:t>
            </w:r>
          </w:p>
        </w:tc>
        <w:tc>
          <w:tcPr>
            <w:tcW w:w="0" w:type="auto"/>
            <w:shd w:val="clear" w:color="auto" w:fill="auto"/>
            <w:tcMar>
              <w:top w:w="40" w:type="dxa"/>
              <w:bottom w:w="40" w:type="dxa"/>
              <w:right w:w="40" w:type="dxa"/>
            </w:tcMar>
            <w:vAlign w:val="bottom"/>
          </w:tcPr>
          <w:p w14:paraId="0BC98482"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8493" w14:textId="77777777">
        <w:trPr>
          <w:jc w:val="center"/>
        </w:trPr>
        <w:tc>
          <w:tcPr>
            <w:tcW w:w="0" w:type="auto"/>
            <w:shd w:val="clear" w:color="auto" w:fill="E2E2E2"/>
            <w:tcMar>
              <w:top w:w="40" w:type="dxa"/>
              <w:left w:w="40" w:type="dxa"/>
              <w:bottom w:w="40" w:type="dxa"/>
              <w:right w:w="40" w:type="dxa"/>
            </w:tcMar>
            <w:vAlign w:val="bottom"/>
          </w:tcPr>
          <w:p w14:paraId="0BC98484" w14:textId="77777777" w:rsidR="009F0928" w:rsidRDefault="002112BD">
            <w:pPr>
              <w:textAlignment w:val="bottom"/>
              <w:rPr>
                <w:rFonts w:ascii="Times New Roman" w:hAnsi="Times New Roman"/>
                <w:sz w:val="16"/>
                <w:szCs w:val="16"/>
              </w:rPr>
            </w:pPr>
            <w:r>
              <w:rPr>
                <w:rFonts w:ascii="Arial" w:eastAsia="宋体" w:hAnsi="Arial" w:cs="Arial"/>
                <w:sz w:val="16"/>
                <w:szCs w:val="16"/>
              </w:rPr>
              <w:t>Gains on investments and sale of business</w:t>
            </w:r>
          </w:p>
        </w:tc>
        <w:tc>
          <w:tcPr>
            <w:tcW w:w="0" w:type="auto"/>
            <w:gridSpan w:val="2"/>
            <w:shd w:val="clear" w:color="auto" w:fill="E2E2E2"/>
            <w:tcMar>
              <w:top w:w="40" w:type="dxa"/>
              <w:left w:w="40" w:type="dxa"/>
              <w:bottom w:w="40" w:type="dxa"/>
            </w:tcMar>
            <w:vAlign w:val="bottom"/>
          </w:tcPr>
          <w:p w14:paraId="0BC9848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80</w:t>
            </w:r>
          </w:p>
        </w:tc>
        <w:tc>
          <w:tcPr>
            <w:tcW w:w="0" w:type="auto"/>
            <w:shd w:val="clear" w:color="auto" w:fill="E2E2E2"/>
            <w:vAlign w:val="bottom"/>
          </w:tcPr>
          <w:p w14:paraId="0BC9848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48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48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vAlign w:val="bottom"/>
          </w:tcPr>
          <w:p w14:paraId="0BC9848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48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48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663</w:t>
            </w:r>
          </w:p>
        </w:tc>
        <w:tc>
          <w:tcPr>
            <w:tcW w:w="0" w:type="auto"/>
            <w:shd w:val="clear" w:color="auto" w:fill="E2E2E2"/>
            <w:vAlign w:val="bottom"/>
          </w:tcPr>
          <w:p w14:paraId="0BC9848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4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48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vAlign w:val="bottom"/>
          </w:tcPr>
          <w:p w14:paraId="0BC9848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4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49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115</w:t>
            </w:r>
          </w:p>
        </w:tc>
        <w:tc>
          <w:tcPr>
            <w:tcW w:w="0" w:type="auto"/>
            <w:shd w:val="clear" w:color="auto" w:fill="E2E2E2"/>
            <w:vAlign w:val="bottom"/>
          </w:tcPr>
          <w:p w14:paraId="0BC98492" w14:textId="77777777" w:rsidR="009F0928" w:rsidRDefault="009F0928">
            <w:pPr>
              <w:textAlignment w:val="bottom"/>
              <w:rPr>
                <w:rFonts w:ascii="Times New Roman" w:hAnsi="Times New Roman"/>
                <w:sz w:val="20"/>
                <w:szCs w:val="20"/>
              </w:rPr>
            </w:pPr>
          </w:p>
        </w:tc>
      </w:tr>
      <w:tr w:rsidR="009F0928" w14:paraId="0BC984A3" w14:textId="77777777">
        <w:trPr>
          <w:jc w:val="center"/>
        </w:trPr>
        <w:tc>
          <w:tcPr>
            <w:tcW w:w="0" w:type="auto"/>
            <w:shd w:val="clear" w:color="auto" w:fill="auto"/>
            <w:tcMar>
              <w:top w:w="40" w:type="dxa"/>
              <w:left w:w="40" w:type="dxa"/>
              <w:bottom w:w="40" w:type="dxa"/>
              <w:right w:w="40" w:type="dxa"/>
            </w:tcMar>
            <w:vAlign w:val="bottom"/>
          </w:tcPr>
          <w:p w14:paraId="0BC98494" w14:textId="77777777" w:rsidR="009F0928" w:rsidRDefault="002112BD">
            <w:pPr>
              <w:textAlignment w:val="bottom"/>
              <w:rPr>
                <w:rFonts w:ascii="Times New Roman" w:hAnsi="Times New Roman"/>
                <w:sz w:val="16"/>
                <w:szCs w:val="16"/>
              </w:rPr>
            </w:pPr>
            <w:r>
              <w:rPr>
                <w:rFonts w:ascii="Arial" w:eastAsia="宋体" w:hAnsi="Arial" w:cs="Arial"/>
                <w:sz w:val="16"/>
                <w:szCs w:val="16"/>
              </w:rPr>
              <w:t>Other</w:t>
            </w:r>
          </w:p>
        </w:tc>
        <w:tc>
          <w:tcPr>
            <w:tcW w:w="0" w:type="auto"/>
            <w:gridSpan w:val="2"/>
            <w:shd w:val="clear" w:color="auto" w:fill="auto"/>
            <w:tcMar>
              <w:top w:w="40" w:type="dxa"/>
              <w:left w:w="40" w:type="dxa"/>
              <w:bottom w:w="40" w:type="dxa"/>
            </w:tcMar>
            <w:vAlign w:val="bottom"/>
          </w:tcPr>
          <w:p w14:paraId="0BC9849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w:t>
            </w:r>
          </w:p>
        </w:tc>
        <w:tc>
          <w:tcPr>
            <w:tcW w:w="0" w:type="auto"/>
            <w:shd w:val="clear" w:color="auto" w:fill="auto"/>
            <w:tcMar>
              <w:top w:w="40" w:type="dxa"/>
              <w:bottom w:w="40" w:type="dxa"/>
              <w:right w:w="40" w:type="dxa"/>
            </w:tcMar>
            <w:vAlign w:val="bottom"/>
          </w:tcPr>
          <w:p w14:paraId="0BC98496"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4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49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0BC9849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49A"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2"/>
            <w:shd w:val="clear" w:color="auto" w:fill="auto"/>
            <w:tcMar>
              <w:top w:w="40" w:type="dxa"/>
              <w:left w:w="40" w:type="dxa"/>
              <w:bottom w:w="40" w:type="dxa"/>
            </w:tcMar>
            <w:vAlign w:val="bottom"/>
          </w:tcPr>
          <w:p w14:paraId="0BC9849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(17</w:t>
            </w:r>
          </w:p>
        </w:tc>
        <w:tc>
          <w:tcPr>
            <w:tcW w:w="0" w:type="auto"/>
            <w:shd w:val="clear" w:color="auto" w:fill="auto"/>
            <w:tcMar>
              <w:top w:w="40" w:type="dxa"/>
              <w:bottom w:w="40" w:type="dxa"/>
              <w:right w:w="40" w:type="dxa"/>
            </w:tcMar>
            <w:vAlign w:val="bottom"/>
          </w:tcPr>
          <w:p w14:paraId="0BC9849C"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49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49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0BC9849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4A0"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2"/>
            <w:shd w:val="clear" w:color="auto" w:fill="auto"/>
            <w:tcMar>
              <w:top w:w="40" w:type="dxa"/>
              <w:left w:w="40" w:type="dxa"/>
              <w:bottom w:w="40" w:type="dxa"/>
            </w:tcMar>
            <w:vAlign w:val="bottom"/>
          </w:tcPr>
          <w:p w14:paraId="0BC984A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11</w:t>
            </w:r>
          </w:p>
        </w:tc>
        <w:tc>
          <w:tcPr>
            <w:tcW w:w="0" w:type="auto"/>
            <w:shd w:val="clear" w:color="auto" w:fill="auto"/>
            <w:vAlign w:val="bottom"/>
          </w:tcPr>
          <w:p w14:paraId="0BC984A2" w14:textId="77777777" w:rsidR="009F0928" w:rsidRDefault="009F0928">
            <w:pPr>
              <w:textAlignment w:val="bottom"/>
              <w:rPr>
                <w:rFonts w:ascii="Times New Roman" w:hAnsi="Times New Roman"/>
                <w:sz w:val="20"/>
                <w:szCs w:val="20"/>
              </w:rPr>
            </w:pPr>
          </w:p>
        </w:tc>
      </w:tr>
      <w:tr w:rsidR="009F0928" w14:paraId="0BC984B6" w14:textId="77777777">
        <w:trPr>
          <w:jc w:val="center"/>
        </w:trPr>
        <w:tc>
          <w:tcPr>
            <w:tcW w:w="0" w:type="auto"/>
            <w:shd w:val="clear" w:color="auto" w:fill="E2E2E2"/>
            <w:tcMar>
              <w:top w:w="40" w:type="dxa"/>
              <w:left w:w="240" w:type="dxa"/>
              <w:bottom w:w="40" w:type="dxa"/>
              <w:right w:w="40" w:type="dxa"/>
            </w:tcMar>
            <w:vAlign w:val="bottom"/>
          </w:tcPr>
          <w:p w14:paraId="0BC984A4" w14:textId="77777777" w:rsidR="009F0928" w:rsidRDefault="002112BD">
            <w:pPr>
              <w:textAlignment w:val="bottom"/>
              <w:rPr>
                <w:rFonts w:ascii="Times New Roman" w:hAnsi="Times New Roman"/>
                <w:sz w:val="16"/>
                <w:szCs w:val="16"/>
              </w:rPr>
            </w:pPr>
            <w:r>
              <w:rPr>
                <w:rFonts w:ascii="Arial" w:eastAsia="宋体" w:hAnsi="Arial" w:cs="Arial"/>
                <w:sz w:val="16"/>
                <w:szCs w:val="16"/>
              </w:rPr>
              <w:t>Total interest and other, net</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4A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4A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(114</w:t>
            </w:r>
          </w:p>
        </w:tc>
        <w:tc>
          <w:tcPr>
            <w:tcW w:w="0" w:type="auto"/>
            <w:tcBorders>
              <w:top w:val="single" w:sz="8" w:space="0" w:color="000000"/>
              <w:bottom w:val="double" w:sz="6" w:space="0" w:color="000000"/>
            </w:tcBorders>
            <w:shd w:val="clear" w:color="auto" w:fill="E2E2E2"/>
            <w:tcMar>
              <w:top w:w="40" w:type="dxa"/>
              <w:bottom w:w="40" w:type="dxa"/>
              <w:right w:w="40" w:type="dxa"/>
            </w:tcMar>
            <w:vAlign w:val="bottom"/>
          </w:tcPr>
          <w:p w14:paraId="0BC984A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4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4A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vAlign w:val="bottom"/>
          </w:tcPr>
          <w:p w14:paraId="0BC984A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4AB"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4AC"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4AD"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496</w:t>
            </w:r>
          </w:p>
        </w:tc>
        <w:tc>
          <w:tcPr>
            <w:tcW w:w="0" w:type="auto"/>
            <w:tcBorders>
              <w:top w:val="single" w:sz="8" w:space="0" w:color="000000"/>
              <w:bottom w:val="double" w:sz="6" w:space="0" w:color="000000"/>
            </w:tcBorders>
            <w:shd w:val="clear" w:color="auto" w:fill="E2E2E2"/>
            <w:vAlign w:val="bottom"/>
          </w:tcPr>
          <w:p w14:paraId="0BC984A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4A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4B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vAlign w:val="bottom"/>
          </w:tcPr>
          <w:p w14:paraId="0BC984B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4B2"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4B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4B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11</w:t>
            </w:r>
          </w:p>
        </w:tc>
        <w:tc>
          <w:tcPr>
            <w:tcW w:w="0" w:type="auto"/>
            <w:tcBorders>
              <w:top w:val="single" w:sz="8" w:space="0" w:color="000000"/>
              <w:bottom w:val="double" w:sz="6" w:space="0" w:color="000000"/>
            </w:tcBorders>
            <w:shd w:val="clear" w:color="auto" w:fill="E2E2E2"/>
            <w:vAlign w:val="bottom"/>
          </w:tcPr>
          <w:p w14:paraId="0BC984B5" w14:textId="77777777" w:rsidR="009F0928" w:rsidRDefault="009F0928">
            <w:pPr>
              <w:textAlignment w:val="bottom"/>
              <w:rPr>
                <w:rFonts w:ascii="Times New Roman" w:hAnsi="Times New Roman"/>
                <w:sz w:val="20"/>
                <w:szCs w:val="20"/>
              </w:rPr>
            </w:pPr>
          </w:p>
        </w:tc>
      </w:tr>
    </w:tbl>
    <w:p w14:paraId="0BC984B7" w14:textId="77777777" w:rsidR="009F0928" w:rsidRDefault="009F0928">
      <w:pPr>
        <w:spacing w:line="288" w:lineRule="auto"/>
        <w:ind w:firstLine="640"/>
        <w:jc w:val="both"/>
        <w:rPr>
          <w:rFonts w:ascii="Times New Roman" w:hAnsi="Times New Roman"/>
          <w:sz w:val="20"/>
          <w:szCs w:val="20"/>
        </w:rPr>
      </w:pPr>
    </w:p>
    <w:p w14:paraId="0BC984B8" w14:textId="77777777" w:rsidR="009F0928" w:rsidRDefault="002112BD">
      <w:pPr>
        <w:spacing w:line="288" w:lineRule="auto"/>
        <w:ind w:firstLine="720"/>
        <w:rPr>
          <w:rFonts w:ascii="Times New Roman" w:hAnsi="Times New Roman"/>
          <w:sz w:val="20"/>
          <w:szCs w:val="20"/>
        </w:rPr>
      </w:pPr>
      <w:r>
        <w:rPr>
          <w:rFonts w:ascii="Arial" w:eastAsia="宋体" w:hAnsi="Arial" w:cs="Arial"/>
          <w:sz w:val="20"/>
          <w:szCs w:val="20"/>
        </w:rPr>
        <w:t>The decrease in interest and other, net in 2019 compared to 2018 was primarily attributable to the gain recognized on the sale of our investment in Flipkart of $313 million and the relinquishment of our existing equity met</w:t>
      </w:r>
      <w:r>
        <w:rPr>
          <w:rFonts w:ascii="Arial" w:eastAsia="宋体" w:hAnsi="Arial" w:cs="Arial"/>
          <w:sz w:val="20"/>
          <w:szCs w:val="20"/>
        </w:rPr>
        <w:t>hod investment in Giosis of $266 million that did not occur in 2019, the loss recorded upon the divestiture of brands4friends of $52 million partially offset by the gain recognized due to the change in fair value of the Adyen warrant of $133 million that o</w:t>
      </w:r>
      <w:r>
        <w:rPr>
          <w:rFonts w:ascii="Arial" w:eastAsia="宋体" w:hAnsi="Arial" w:cs="Arial"/>
          <w:sz w:val="20"/>
          <w:szCs w:val="20"/>
        </w:rPr>
        <w:t xml:space="preserve">ccurred in 2019. </w:t>
      </w:r>
    </w:p>
    <w:p w14:paraId="0BC984B9" w14:textId="77777777" w:rsidR="009F0928" w:rsidRDefault="009F0928">
      <w:pPr>
        <w:spacing w:line="288" w:lineRule="auto"/>
        <w:ind w:firstLine="720"/>
        <w:rPr>
          <w:rFonts w:ascii="Times New Roman" w:hAnsi="Times New Roman"/>
          <w:sz w:val="20"/>
          <w:szCs w:val="20"/>
        </w:rPr>
      </w:pPr>
    </w:p>
    <w:p w14:paraId="0BC984BA"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increase in interest and other, net in 2018 compared to 2017 was primarily attributable to the $313 million gain recognized on the sale of our investment in Flipkart and $266 million gain recognized upon relinquishment of our existin</w:t>
      </w:r>
      <w:r>
        <w:rPr>
          <w:rFonts w:ascii="Arial" w:eastAsia="宋体" w:hAnsi="Arial" w:cs="Arial"/>
          <w:sz w:val="20"/>
          <w:szCs w:val="20"/>
        </w:rPr>
        <w:t>g equity method investment in Giosis and $104 million gain recognized due to the change in fair value of the warrant.</w:t>
      </w:r>
    </w:p>
    <w:p w14:paraId="0BC984BB" w14:textId="77777777" w:rsidR="009F0928" w:rsidRDefault="009F0928">
      <w:pPr>
        <w:spacing w:line="288" w:lineRule="auto"/>
        <w:ind w:firstLine="720"/>
        <w:jc w:val="both"/>
        <w:rPr>
          <w:rFonts w:ascii="Times New Roman" w:hAnsi="Times New Roman"/>
          <w:sz w:val="20"/>
          <w:szCs w:val="20"/>
        </w:rPr>
      </w:pPr>
    </w:p>
    <w:p w14:paraId="0BC984BC" w14:textId="77777777" w:rsidR="009F0928" w:rsidRDefault="009F0928">
      <w:pPr>
        <w:rPr>
          <w:rFonts w:ascii="Times New Roman" w:hAnsi="Times New Roman"/>
          <w:sz w:val="20"/>
          <w:szCs w:val="20"/>
        </w:rPr>
      </w:pPr>
    </w:p>
    <w:p w14:paraId="0BC984BD"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45</w:t>
      </w:r>
    </w:p>
    <w:p w14:paraId="0BC984BE" w14:textId="77777777" w:rsidR="009F0928" w:rsidRDefault="002112BD">
      <w:r>
        <w:rPr>
          <w:rFonts w:ascii="Times New Roman" w:hAnsi="Times New Roman"/>
          <w:sz w:val="18"/>
          <w:szCs w:val="18"/>
        </w:rPr>
        <w:pict w14:anchorId="0BC9B4EA">
          <v:rect id="_x0000_i1070" style="width:415.3pt;height:1.5pt" o:hralign="center" o:hrstd="t" o:hr="t" fillcolor="#a0a0a0" stroked="f"/>
        </w:pict>
      </w:r>
    </w:p>
    <w:p w14:paraId="0BC984BF" w14:textId="77777777" w:rsidR="009F0928" w:rsidRDefault="009F0928">
      <w:pPr>
        <w:spacing w:line="288" w:lineRule="auto"/>
        <w:rPr>
          <w:rFonts w:ascii="Times New Roman" w:hAnsi="Times New Roman"/>
          <w:sz w:val="20"/>
          <w:szCs w:val="20"/>
        </w:rPr>
      </w:pPr>
    </w:p>
    <w:p w14:paraId="0BC984C0" w14:textId="77777777" w:rsidR="009F0928" w:rsidRDefault="009F0928">
      <w:pPr>
        <w:rPr>
          <w:rFonts w:ascii="Times New Roman" w:hAnsi="Times New Roman"/>
          <w:sz w:val="20"/>
          <w:szCs w:val="20"/>
        </w:rPr>
      </w:pPr>
    </w:p>
    <w:p w14:paraId="0BC984C1"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Income Tax Provision</w:t>
      </w:r>
    </w:p>
    <w:p w14:paraId="0BC984C2" w14:textId="77777777" w:rsidR="009F0928" w:rsidRDefault="009F0928">
      <w:pPr>
        <w:spacing w:line="288" w:lineRule="auto"/>
        <w:jc w:val="both"/>
        <w:rPr>
          <w:rFonts w:ascii="Times New Roman" w:hAnsi="Times New Roman"/>
          <w:sz w:val="20"/>
          <w:szCs w:val="20"/>
        </w:rPr>
      </w:pPr>
    </w:p>
    <w:p w14:paraId="0BC984C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table presents provision for income taxes (in millions, except percentages):</w:t>
      </w:r>
    </w:p>
    <w:p w14:paraId="0BC984C4" w14:textId="77777777" w:rsidR="009F0928" w:rsidRDefault="009F0928">
      <w:pPr>
        <w:spacing w:line="288" w:lineRule="auto"/>
        <w:jc w:val="both"/>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4719"/>
        <w:gridCol w:w="141"/>
        <w:gridCol w:w="733"/>
        <w:gridCol w:w="201"/>
        <w:gridCol w:w="181"/>
        <w:gridCol w:w="141"/>
        <w:gridCol w:w="733"/>
        <w:gridCol w:w="201"/>
        <w:gridCol w:w="181"/>
        <w:gridCol w:w="141"/>
        <w:gridCol w:w="733"/>
        <w:gridCol w:w="201"/>
      </w:tblGrid>
      <w:tr w:rsidR="009F0928" w14:paraId="0BC984C6" w14:textId="77777777">
        <w:tc>
          <w:tcPr>
            <w:tcW w:w="0" w:type="auto"/>
            <w:gridSpan w:val="12"/>
            <w:shd w:val="clear" w:color="auto" w:fill="auto"/>
            <w:vAlign w:val="center"/>
          </w:tcPr>
          <w:p w14:paraId="0BC984C5" w14:textId="77777777" w:rsidR="009F0928" w:rsidRDefault="009F0928">
            <w:pPr>
              <w:rPr>
                <w:rFonts w:ascii="Times New Roman" w:hAnsi="Times New Roman"/>
                <w:sz w:val="20"/>
                <w:szCs w:val="20"/>
              </w:rPr>
            </w:pPr>
          </w:p>
        </w:tc>
      </w:tr>
      <w:tr w:rsidR="009F0928" w14:paraId="0BC984D3" w14:textId="77777777">
        <w:tc>
          <w:tcPr>
            <w:tcW w:w="2950" w:type="pct"/>
            <w:shd w:val="clear" w:color="auto" w:fill="auto"/>
            <w:vAlign w:val="center"/>
          </w:tcPr>
          <w:p w14:paraId="0BC984C7" w14:textId="77777777" w:rsidR="009F0928" w:rsidRDefault="009F0928">
            <w:pPr>
              <w:rPr>
                <w:rFonts w:ascii="Times New Roman" w:hAnsi="Times New Roman"/>
                <w:sz w:val="20"/>
                <w:szCs w:val="20"/>
              </w:rPr>
            </w:pPr>
          </w:p>
        </w:tc>
        <w:tc>
          <w:tcPr>
            <w:tcW w:w="50" w:type="pct"/>
            <w:shd w:val="clear" w:color="auto" w:fill="auto"/>
            <w:vAlign w:val="center"/>
          </w:tcPr>
          <w:p w14:paraId="0BC984C8" w14:textId="77777777" w:rsidR="009F0928" w:rsidRDefault="009F0928">
            <w:pPr>
              <w:rPr>
                <w:rFonts w:ascii="Times New Roman" w:hAnsi="Times New Roman"/>
                <w:sz w:val="20"/>
                <w:szCs w:val="20"/>
              </w:rPr>
            </w:pPr>
          </w:p>
        </w:tc>
        <w:tc>
          <w:tcPr>
            <w:tcW w:w="550" w:type="pct"/>
            <w:shd w:val="clear" w:color="auto" w:fill="auto"/>
            <w:vAlign w:val="center"/>
          </w:tcPr>
          <w:p w14:paraId="0BC984C9" w14:textId="77777777" w:rsidR="009F0928" w:rsidRDefault="009F0928">
            <w:pPr>
              <w:rPr>
                <w:rFonts w:ascii="Times New Roman" w:hAnsi="Times New Roman"/>
                <w:sz w:val="20"/>
                <w:szCs w:val="20"/>
              </w:rPr>
            </w:pPr>
          </w:p>
        </w:tc>
        <w:tc>
          <w:tcPr>
            <w:tcW w:w="50" w:type="pct"/>
            <w:shd w:val="clear" w:color="auto" w:fill="auto"/>
            <w:vAlign w:val="center"/>
          </w:tcPr>
          <w:p w14:paraId="0BC984CA" w14:textId="77777777" w:rsidR="009F0928" w:rsidRDefault="009F0928">
            <w:pPr>
              <w:rPr>
                <w:rFonts w:ascii="Times New Roman" w:hAnsi="Times New Roman"/>
                <w:sz w:val="20"/>
                <w:szCs w:val="20"/>
              </w:rPr>
            </w:pPr>
          </w:p>
        </w:tc>
        <w:tc>
          <w:tcPr>
            <w:tcW w:w="50" w:type="pct"/>
            <w:shd w:val="clear" w:color="auto" w:fill="auto"/>
            <w:vAlign w:val="center"/>
          </w:tcPr>
          <w:p w14:paraId="0BC984CB" w14:textId="77777777" w:rsidR="009F0928" w:rsidRDefault="009F0928">
            <w:pPr>
              <w:rPr>
                <w:rFonts w:ascii="Times New Roman" w:hAnsi="Times New Roman"/>
                <w:sz w:val="20"/>
                <w:szCs w:val="20"/>
              </w:rPr>
            </w:pPr>
          </w:p>
        </w:tc>
        <w:tc>
          <w:tcPr>
            <w:tcW w:w="50" w:type="pct"/>
            <w:shd w:val="clear" w:color="auto" w:fill="auto"/>
            <w:vAlign w:val="center"/>
          </w:tcPr>
          <w:p w14:paraId="0BC984CC" w14:textId="77777777" w:rsidR="009F0928" w:rsidRDefault="009F0928">
            <w:pPr>
              <w:rPr>
                <w:rFonts w:ascii="Times New Roman" w:hAnsi="Times New Roman"/>
                <w:sz w:val="20"/>
                <w:szCs w:val="20"/>
              </w:rPr>
            </w:pPr>
          </w:p>
        </w:tc>
        <w:tc>
          <w:tcPr>
            <w:tcW w:w="550" w:type="pct"/>
            <w:shd w:val="clear" w:color="auto" w:fill="auto"/>
            <w:vAlign w:val="center"/>
          </w:tcPr>
          <w:p w14:paraId="0BC984CD" w14:textId="77777777" w:rsidR="009F0928" w:rsidRDefault="009F0928">
            <w:pPr>
              <w:rPr>
                <w:rFonts w:ascii="Times New Roman" w:hAnsi="Times New Roman"/>
                <w:sz w:val="20"/>
                <w:szCs w:val="20"/>
              </w:rPr>
            </w:pPr>
          </w:p>
        </w:tc>
        <w:tc>
          <w:tcPr>
            <w:tcW w:w="50" w:type="pct"/>
            <w:shd w:val="clear" w:color="auto" w:fill="auto"/>
            <w:vAlign w:val="center"/>
          </w:tcPr>
          <w:p w14:paraId="0BC984CE" w14:textId="77777777" w:rsidR="009F0928" w:rsidRDefault="009F0928">
            <w:pPr>
              <w:rPr>
                <w:rFonts w:ascii="Times New Roman" w:hAnsi="Times New Roman"/>
                <w:sz w:val="20"/>
                <w:szCs w:val="20"/>
              </w:rPr>
            </w:pPr>
          </w:p>
        </w:tc>
        <w:tc>
          <w:tcPr>
            <w:tcW w:w="50" w:type="pct"/>
            <w:shd w:val="clear" w:color="auto" w:fill="auto"/>
            <w:vAlign w:val="center"/>
          </w:tcPr>
          <w:p w14:paraId="0BC984CF" w14:textId="77777777" w:rsidR="009F0928" w:rsidRDefault="009F0928">
            <w:pPr>
              <w:rPr>
                <w:rFonts w:ascii="Times New Roman" w:hAnsi="Times New Roman"/>
                <w:sz w:val="20"/>
                <w:szCs w:val="20"/>
              </w:rPr>
            </w:pPr>
          </w:p>
        </w:tc>
        <w:tc>
          <w:tcPr>
            <w:tcW w:w="50" w:type="pct"/>
            <w:shd w:val="clear" w:color="auto" w:fill="auto"/>
            <w:vAlign w:val="center"/>
          </w:tcPr>
          <w:p w14:paraId="0BC984D0" w14:textId="77777777" w:rsidR="009F0928" w:rsidRDefault="009F0928">
            <w:pPr>
              <w:rPr>
                <w:rFonts w:ascii="Times New Roman" w:hAnsi="Times New Roman"/>
                <w:sz w:val="20"/>
                <w:szCs w:val="20"/>
              </w:rPr>
            </w:pPr>
          </w:p>
        </w:tc>
        <w:tc>
          <w:tcPr>
            <w:tcW w:w="550" w:type="pct"/>
            <w:shd w:val="clear" w:color="auto" w:fill="auto"/>
            <w:vAlign w:val="center"/>
          </w:tcPr>
          <w:p w14:paraId="0BC984D1" w14:textId="77777777" w:rsidR="009F0928" w:rsidRDefault="009F0928">
            <w:pPr>
              <w:rPr>
                <w:rFonts w:ascii="Times New Roman" w:hAnsi="Times New Roman"/>
                <w:sz w:val="20"/>
                <w:szCs w:val="20"/>
              </w:rPr>
            </w:pPr>
          </w:p>
        </w:tc>
        <w:tc>
          <w:tcPr>
            <w:tcW w:w="50" w:type="pct"/>
            <w:shd w:val="clear" w:color="auto" w:fill="auto"/>
            <w:vAlign w:val="center"/>
          </w:tcPr>
          <w:p w14:paraId="0BC984D2" w14:textId="77777777" w:rsidR="009F0928" w:rsidRDefault="009F0928">
            <w:pPr>
              <w:rPr>
                <w:rFonts w:ascii="Times New Roman" w:hAnsi="Times New Roman"/>
                <w:sz w:val="20"/>
                <w:szCs w:val="20"/>
              </w:rPr>
            </w:pPr>
          </w:p>
        </w:tc>
      </w:tr>
      <w:tr w:rsidR="009F0928" w14:paraId="0BC984D6" w14:textId="77777777">
        <w:tc>
          <w:tcPr>
            <w:tcW w:w="0" w:type="auto"/>
            <w:shd w:val="clear" w:color="auto" w:fill="auto"/>
            <w:tcMar>
              <w:top w:w="40" w:type="dxa"/>
              <w:left w:w="40" w:type="dxa"/>
              <w:bottom w:w="40" w:type="dxa"/>
              <w:right w:w="40" w:type="dxa"/>
            </w:tcMar>
            <w:vAlign w:val="bottom"/>
          </w:tcPr>
          <w:p w14:paraId="0BC984D4"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84D5"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w:t>
            </w:r>
          </w:p>
        </w:tc>
      </w:tr>
      <w:tr w:rsidR="009F0928" w14:paraId="0BC984DD" w14:textId="77777777">
        <w:tc>
          <w:tcPr>
            <w:tcW w:w="0" w:type="auto"/>
            <w:shd w:val="clear" w:color="auto" w:fill="auto"/>
            <w:tcMar>
              <w:top w:w="40" w:type="dxa"/>
              <w:left w:w="40" w:type="dxa"/>
              <w:bottom w:w="40" w:type="dxa"/>
              <w:right w:w="40" w:type="dxa"/>
            </w:tcMar>
            <w:vAlign w:val="bottom"/>
          </w:tcPr>
          <w:p w14:paraId="0BC984D7"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4D8"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84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4DA"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0BC984D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4D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2017</w:t>
            </w:r>
          </w:p>
        </w:tc>
      </w:tr>
      <w:tr w:rsidR="009F0928" w14:paraId="0BC984EA" w14:textId="77777777">
        <w:tc>
          <w:tcPr>
            <w:tcW w:w="0" w:type="auto"/>
            <w:shd w:val="clear" w:color="auto" w:fill="auto"/>
            <w:tcMar>
              <w:top w:w="40" w:type="dxa"/>
              <w:left w:w="40" w:type="dxa"/>
              <w:bottom w:w="40" w:type="dxa"/>
              <w:right w:w="40" w:type="dxa"/>
            </w:tcMar>
            <w:vAlign w:val="bottom"/>
          </w:tcPr>
          <w:p w14:paraId="0BC984DE" w14:textId="77777777" w:rsidR="009F0928" w:rsidRDefault="002112BD">
            <w:pPr>
              <w:textAlignment w:val="bottom"/>
              <w:rPr>
                <w:rFonts w:ascii="Times New Roman" w:hAnsi="Times New Roman"/>
                <w:sz w:val="18"/>
                <w:szCs w:val="18"/>
              </w:rPr>
            </w:pPr>
            <w:r>
              <w:rPr>
                <w:rFonts w:ascii="Arial" w:eastAsia="宋体" w:hAnsi="Arial" w:cs="Arial"/>
                <w:sz w:val="18"/>
                <w:szCs w:val="18"/>
              </w:rPr>
              <w:t>Income tax provision (benefit)</w:t>
            </w:r>
          </w:p>
        </w:tc>
        <w:tc>
          <w:tcPr>
            <w:tcW w:w="0" w:type="auto"/>
            <w:shd w:val="clear" w:color="auto" w:fill="auto"/>
            <w:tcMar>
              <w:top w:w="40" w:type="dxa"/>
              <w:left w:w="40" w:type="dxa"/>
              <w:bottom w:w="40" w:type="dxa"/>
            </w:tcMar>
            <w:vAlign w:val="bottom"/>
          </w:tcPr>
          <w:p w14:paraId="0BC984D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84E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415</w:t>
            </w:r>
          </w:p>
        </w:tc>
        <w:tc>
          <w:tcPr>
            <w:tcW w:w="0" w:type="auto"/>
            <w:shd w:val="clear" w:color="auto" w:fill="auto"/>
            <w:vAlign w:val="bottom"/>
          </w:tcPr>
          <w:p w14:paraId="0BC984E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4E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4E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84E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190</w:t>
            </w:r>
          </w:p>
        </w:tc>
        <w:tc>
          <w:tcPr>
            <w:tcW w:w="0" w:type="auto"/>
            <w:shd w:val="clear" w:color="auto" w:fill="auto"/>
            <w:vAlign w:val="bottom"/>
          </w:tcPr>
          <w:p w14:paraId="0BC984E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4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4E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84E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3,288</w:t>
            </w:r>
          </w:p>
        </w:tc>
        <w:tc>
          <w:tcPr>
            <w:tcW w:w="0" w:type="auto"/>
            <w:shd w:val="clear" w:color="auto" w:fill="auto"/>
            <w:vAlign w:val="bottom"/>
          </w:tcPr>
          <w:p w14:paraId="0BC984E9" w14:textId="77777777" w:rsidR="009F0928" w:rsidRDefault="009F0928">
            <w:pPr>
              <w:textAlignment w:val="bottom"/>
              <w:rPr>
                <w:rFonts w:ascii="Times New Roman" w:hAnsi="Times New Roman"/>
                <w:sz w:val="20"/>
                <w:szCs w:val="20"/>
              </w:rPr>
            </w:pPr>
          </w:p>
        </w:tc>
      </w:tr>
      <w:tr w:rsidR="009F0928" w14:paraId="0BC984F4" w14:textId="77777777">
        <w:tc>
          <w:tcPr>
            <w:tcW w:w="0" w:type="auto"/>
            <w:shd w:val="clear" w:color="auto" w:fill="E2E2E2"/>
            <w:tcMar>
              <w:top w:w="40" w:type="dxa"/>
              <w:left w:w="40" w:type="dxa"/>
              <w:bottom w:w="40" w:type="dxa"/>
              <w:right w:w="40" w:type="dxa"/>
            </w:tcMar>
            <w:vAlign w:val="bottom"/>
          </w:tcPr>
          <w:p w14:paraId="0BC984EB" w14:textId="77777777" w:rsidR="009F0928" w:rsidRDefault="002112BD">
            <w:pPr>
              <w:textAlignment w:val="bottom"/>
              <w:rPr>
                <w:rFonts w:ascii="Times New Roman" w:hAnsi="Times New Roman"/>
                <w:sz w:val="18"/>
                <w:szCs w:val="18"/>
              </w:rPr>
            </w:pPr>
            <w:r>
              <w:rPr>
                <w:rFonts w:ascii="Arial" w:eastAsia="宋体" w:hAnsi="Arial" w:cs="Arial"/>
                <w:i/>
                <w:iCs/>
                <w:sz w:val="18"/>
                <w:szCs w:val="18"/>
              </w:rPr>
              <w:t>Effective tax rate</w:t>
            </w:r>
          </w:p>
        </w:tc>
        <w:tc>
          <w:tcPr>
            <w:tcW w:w="0" w:type="auto"/>
            <w:gridSpan w:val="2"/>
            <w:shd w:val="clear" w:color="auto" w:fill="E2E2E2"/>
            <w:tcMar>
              <w:top w:w="40" w:type="dxa"/>
              <w:left w:w="40" w:type="dxa"/>
              <w:bottom w:w="40" w:type="dxa"/>
            </w:tcMar>
            <w:vAlign w:val="bottom"/>
          </w:tcPr>
          <w:p w14:paraId="0BC984EC" w14:textId="77777777" w:rsidR="009F0928" w:rsidRDefault="002112BD">
            <w:pPr>
              <w:jc w:val="right"/>
              <w:textAlignment w:val="bottom"/>
              <w:rPr>
                <w:rFonts w:ascii="Times New Roman" w:hAnsi="Times New Roman"/>
                <w:sz w:val="18"/>
                <w:szCs w:val="18"/>
              </w:rPr>
            </w:pPr>
            <w:r>
              <w:rPr>
                <w:rFonts w:ascii="Arial" w:eastAsia="宋体" w:hAnsi="Arial" w:cs="Arial"/>
                <w:i/>
                <w:iCs/>
                <w:sz w:val="18"/>
                <w:szCs w:val="18"/>
              </w:rPr>
              <w:t>18.8</w:t>
            </w:r>
          </w:p>
        </w:tc>
        <w:tc>
          <w:tcPr>
            <w:tcW w:w="0" w:type="auto"/>
            <w:shd w:val="clear" w:color="auto" w:fill="E2E2E2"/>
            <w:tcMar>
              <w:top w:w="40" w:type="dxa"/>
              <w:bottom w:w="40" w:type="dxa"/>
              <w:right w:w="40" w:type="dxa"/>
            </w:tcMar>
            <w:vAlign w:val="bottom"/>
          </w:tcPr>
          <w:p w14:paraId="0BC984ED" w14:textId="77777777" w:rsidR="009F0928" w:rsidRDefault="002112BD">
            <w:pPr>
              <w:textAlignment w:val="bottom"/>
              <w:rPr>
                <w:rFonts w:ascii="Times New Roman" w:hAnsi="Times New Roman"/>
                <w:sz w:val="18"/>
                <w:szCs w:val="18"/>
              </w:rPr>
            </w:pPr>
            <w:r>
              <w:rPr>
                <w:rFonts w:ascii="Arial" w:eastAsia="宋体" w:hAnsi="Arial" w:cs="Arial"/>
                <w:i/>
                <w:iCs/>
                <w:sz w:val="18"/>
                <w:szCs w:val="18"/>
              </w:rPr>
              <w:t>%</w:t>
            </w:r>
          </w:p>
        </w:tc>
        <w:tc>
          <w:tcPr>
            <w:tcW w:w="0" w:type="auto"/>
            <w:shd w:val="clear" w:color="auto" w:fill="E2E2E2"/>
            <w:tcMar>
              <w:top w:w="40" w:type="dxa"/>
              <w:left w:w="40" w:type="dxa"/>
              <w:bottom w:w="40" w:type="dxa"/>
              <w:right w:w="40" w:type="dxa"/>
            </w:tcMar>
            <w:vAlign w:val="bottom"/>
          </w:tcPr>
          <w:p w14:paraId="0BC984EE" w14:textId="77777777" w:rsidR="009F0928" w:rsidRDefault="002112BD">
            <w:pPr>
              <w:textAlignment w:val="bottom"/>
              <w:rPr>
                <w:rFonts w:ascii="Times New Roman" w:hAnsi="Times New Roman"/>
                <w:sz w:val="18"/>
                <w:szCs w:val="18"/>
              </w:rPr>
            </w:pPr>
            <w:r>
              <w:rPr>
                <w:rFonts w:ascii="Arial" w:eastAsia="宋体" w:hAnsi="Arial" w:cs="Arial"/>
                <w:i/>
                <w:iCs/>
                <w:sz w:val="18"/>
                <w:szCs w:val="18"/>
              </w:rPr>
              <w:t>  </w:t>
            </w:r>
          </w:p>
        </w:tc>
        <w:tc>
          <w:tcPr>
            <w:tcW w:w="0" w:type="auto"/>
            <w:gridSpan w:val="2"/>
            <w:shd w:val="clear" w:color="auto" w:fill="E2E2E2"/>
            <w:tcMar>
              <w:top w:w="40" w:type="dxa"/>
              <w:left w:w="40" w:type="dxa"/>
              <w:bottom w:w="40" w:type="dxa"/>
            </w:tcMar>
            <w:vAlign w:val="bottom"/>
          </w:tcPr>
          <w:p w14:paraId="0BC984EF" w14:textId="77777777" w:rsidR="009F0928" w:rsidRDefault="002112BD">
            <w:pPr>
              <w:jc w:val="right"/>
              <w:textAlignment w:val="bottom"/>
              <w:rPr>
                <w:rFonts w:ascii="Times New Roman" w:hAnsi="Times New Roman"/>
                <w:sz w:val="18"/>
                <w:szCs w:val="18"/>
              </w:rPr>
            </w:pPr>
            <w:r>
              <w:rPr>
                <w:rFonts w:ascii="Arial" w:eastAsia="宋体" w:hAnsi="Arial" w:cs="Arial"/>
                <w:i/>
                <w:iCs/>
                <w:sz w:val="18"/>
                <w:szCs w:val="18"/>
              </w:rPr>
              <w:t>7.0</w:t>
            </w:r>
          </w:p>
        </w:tc>
        <w:tc>
          <w:tcPr>
            <w:tcW w:w="0" w:type="auto"/>
            <w:shd w:val="clear" w:color="auto" w:fill="E2E2E2"/>
            <w:tcMar>
              <w:top w:w="40" w:type="dxa"/>
              <w:bottom w:w="40" w:type="dxa"/>
              <w:right w:w="40" w:type="dxa"/>
            </w:tcMar>
            <w:vAlign w:val="bottom"/>
          </w:tcPr>
          <w:p w14:paraId="0BC984F0" w14:textId="77777777" w:rsidR="009F0928" w:rsidRDefault="002112BD">
            <w:pPr>
              <w:textAlignment w:val="bottom"/>
              <w:rPr>
                <w:rFonts w:ascii="Times New Roman" w:hAnsi="Times New Roman"/>
                <w:sz w:val="18"/>
                <w:szCs w:val="18"/>
              </w:rPr>
            </w:pPr>
            <w:r>
              <w:rPr>
                <w:rFonts w:ascii="Arial" w:eastAsia="宋体" w:hAnsi="Arial" w:cs="Arial"/>
                <w:i/>
                <w:iCs/>
                <w:sz w:val="18"/>
                <w:szCs w:val="18"/>
              </w:rPr>
              <w:t>%</w:t>
            </w:r>
          </w:p>
        </w:tc>
        <w:tc>
          <w:tcPr>
            <w:tcW w:w="0" w:type="auto"/>
            <w:shd w:val="clear" w:color="auto" w:fill="E2E2E2"/>
            <w:tcMar>
              <w:top w:w="40" w:type="dxa"/>
              <w:left w:w="40" w:type="dxa"/>
              <w:bottom w:w="40" w:type="dxa"/>
              <w:right w:w="40" w:type="dxa"/>
            </w:tcMar>
            <w:vAlign w:val="bottom"/>
          </w:tcPr>
          <w:p w14:paraId="0BC984F1" w14:textId="77777777" w:rsidR="009F0928" w:rsidRDefault="002112BD">
            <w:pPr>
              <w:textAlignment w:val="bottom"/>
              <w:rPr>
                <w:rFonts w:ascii="Times New Roman" w:hAnsi="Times New Roman"/>
                <w:sz w:val="18"/>
                <w:szCs w:val="18"/>
              </w:rPr>
            </w:pPr>
            <w:r>
              <w:rPr>
                <w:rFonts w:ascii="Arial" w:eastAsia="宋体" w:hAnsi="Arial" w:cs="Arial"/>
                <w:i/>
                <w:iCs/>
                <w:sz w:val="18"/>
                <w:szCs w:val="18"/>
              </w:rPr>
              <w:t>  </w:t>
            </w:r>
          </w:p>
        </w:tc>
        <w:tc>
          <w:tcPr>
            <w:tcW w:w="0" w:type="auto"/>
            <w:gridSpan w:val="2"/>
            <w:shd w:val="clear" w:color="auto" w:fill="E2E2E2"/>
            <w:tcMar>
              <w:top w:w="40" w:type="dxa"/>
              <w:left w:w="40" w:type="dxa"/>
              <w:bottom w:w="40" w:type="dxa"/>
            </w:tcMar>
            <w:vAlign w:val="bottom"/>
          </w:tcPr>
          <w:p w14:paraId="0BC984F2" w14:textId="77777777" w:rsidR="009F0928" w:rsidRDefault="002112BD">
            <w:pPr>
              <w:jc w:val="right"/>
              <w:textAlignment w:val="bottom"/>
              <w:rPr>
                <w:rFonts w:ascii="Times New Roman" w:hAnsi="Times New Roman"/>
                <w:sz w:val="18"/>
                <w:szCs w:val="18"/>
              </w:rPr>
            </w:pPr>
            <w:r>
              <w:rPr>
                <w:rFonts w:ascii="Arial" w:eastAsia="宋体" w:hAnsi="Arial" w:cs="Arial"/>
                <w:i/>
                <w:iCs/>
                <w:sz w:val="18"/>
                <w:szCs w:val="18"/>
              </w:rPr>
              <w:t>144.5</w:t>
            </w:r>
          </w:p>
        </w:tc>
        <w:tc>
          <w:tcPr>
            <w:tcW w:w="0" w:type="auto"/>
            <w:shd w:val="clear" w:color="auto" w:fill="E2E2E2"/>
            <w:tcMar>
              <w:top w:w="40" w:type="dxa"/>
              <w:bottom w:w="40" w:type="dxa"/>
              <w:right w:w="40" w:type="dxa"/>
            </w:tcMar>
            <w:vAlign w:val="bottom"/>
          </w:tcPr>
          <w:p w14:paraId="0BC984F3" w14:textId="77777777" w:rsidR="009F0928" w:rsidRDefault="002112BD">
            <w:pPr>
              <w:textAlignment w:val="bottom"/>
              <w:rPr>
                <w:rFonts w:ascii="Times New Roman" w:hAnsi="Times New Roman"/>
                <w:sz w:val="18"/>
                <w:szCs w:val="18"/>
              </w:rPr>
            </w:pPr>
            <w:r>
              <w:rPr>
                <w:rFonts w:ascii="Arial" w:eastAsia="宋体" w:hAnsi="Arial" w:cs="Arial"/>
                <w:i/>
                <w:iCs/>
                <w:sz w:val="18"/>
                <w:szCs w:val="18"/>
              </w:rPr>
              <w:t>%</w:t>
            </w:r>
          </w:p>
        </w:tc>
      </w:tr>
    </w:tbl>
    <w:p w14:paraId="0BC984F5" w14:textId="77777777" w:rsidR="009F0928" w:rsidRDefault="009F0928">
      <w:pPr>
        <w:spacing w:line="288" w:lineRule="auto"/>
        <w:jc w:val="both"/>
        <w:rPr>
          <w:rFonts w:ascii="Times New Roman" w:hAnsi="Times New Roman"/>
          <w:sz w:val="20"/>
          <w:szCs w:val="20"/>
        </w:rPr>
      </w:pPr>
    </w:p>
    <w:p w14:paraId="0BC984F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increase in our effective tax rate in 2019 compared to 2018 was primarily due to a </w:t>
      </w:r>
      <w:r>
        <w:rPr>
          <w:rFonts w:ascii="Arial" w:eastAsia="宋体" w:hAnsi="Arial" w:cs="Arial"/>
          <w:sz w:val="20"/>
          <w:szCs w:val="20"/>
        </w:rPr>
        <w:t>reduction in 2018 to the provisional tax amounts recorded in 2017 related to the Tax Cuts and Jobs Act and the gain recognized from the relinquishment of our existing equity method investment in Giosis that was not subject to U.S. federal income tax on a c</w:t>
      </w:r>
      <w:r>
        <w:rPr>
          <w:rFonts w:ascii="Arial" w:eastAsia="宋体" w:hAnsi="Arial" w:cs="Arial"/>
          <w:sz w:val="20"/>
          <w:szCs w:val="20"/>
        </w:rPr>
        <w:t>urrent basis that did not recur in 2019, and certain expenses in 2019 including a negotiated reduction in the tax basis of the intangible assets in our Classifieds platforms. These impacts were partially offset in 2019 by the effective settlements of audit</w:t>
      </w:r>
      <w:r>
        <w:rPr>
          <w:rFonts w:ascii="Arial" w:eastAsia="宋体" w:hAnsi="Arial" w:cs="Arial"/>
          <w:sz w:val="20"/>
          <w:szCs w:val="20"/>
        </w:rPr>
        <w:t>s, reduction in the U.S. deferred tax liability for minimum tax on foreign earnings, related to the above reduction in tax basis of intangible assets, and a benefit due to the enacted New York state legislation regarding the taxability of foreign earnings.</w:t>
      </w:r>
    </w:p>
    <w:p w14:paraId="0BC984F7" w14:textId="77777777" w:rsidR="009F0928" w:rsidRDefault="009F0928">
      <w:pPr>
        <w:spacing w:line="288" w:lineRule="auto"/>
        <w:jc w:val="both"/>
        <w:rPr>
          <w:rFonts w:ascii="Times New Roman" w:hAnsi="Times New Roman"/>
          <w:sz w:val="20"/>
          <w:szCs w:val="20"/>
        </w:rPr>
      </w:pPr>
    </w:p>
    <w:p w14:paraId="0BC984F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decrease in our effective tax rate in 2018 compared to 2017 was primarily due to the $3.1 billion provisional tax charge related to the Tax Cuts and Jobs Act (the “Act” or “U.S. tax reform”) recorded in 2017. In 2018, as we completed our analysis of </w:t>
      </w:r>
      <w:r>
        <w:rPr>
          <w:rFonts w:ascii="Arial" w:eastAsia="宋体" w:hAnsi="Arial" w:cs="Arial"/>
          <w:sz w:val="20"/>
          <w:szCs w:val="20"/>
        </w:rPr>
        <w:t>U.S. tax reform, we recorded a $463 million reduction to the provisional tax amounts recorded in 2017</w:t>
      </w:r>
      <w:r>
        <w:rPr>
          <w:rFonts w:ascii="Times New Roman" w:eastAsia="宋体" w:hAnsi="Times New Roman"/>
          <w:sz w:val="20"/>
          <w:szCs w:val="20"/>
        </w:rPr>
        <w:t>.</w:t>
      </w:r>
      <w:r>
        <w:rPr>
          <w:rFonts w:ascii="Arial" w:eastAsia="宋体" w:hAnsi="Arial" w:cs="Arial"/>
          <w:sz w:val="20"/>
          <w:szCs w:val="20"/>
        </w:rPr>
        <w:t xml:space="preserve"> Further, the 2018 effective tax rate was favorably impacted by U.S. tax reform and the gain recognized from the relinquishment of our existing equity met</w:t>
      </w:r>
      <w:r>
        <w:rPr>
          <w:rFonts w:ascii="Arial" w:eastAsia="宋体" w:hAnsi="Arial" w:cs="Arial"/>
          <w:sz w:val="20"/>
          <w:szCs w:val="20"/>
        </w:rPr>
        <w:t>hod investment in Giosis in the second quarter 2018 that is not subject to U.S. federal income tax on a current basis.</w:t>
      </w:r>
    </w:p>
    <w:p w14:paraId="0BC984F9" w14:textId="77777777" w:rsidR="009F0928" w:rsidRDefault="009F0928">
      <w:pPr>
        <w:spacing w:line="288" w:lineRule="auto"/>
        <w:ind w:firstLine="720"/>
        <w:jc w:val="both"/>
        <w:rPr>
          <w:rFonts w:ascii="Times New Roman" w:hAnsi="Times New Roman"/>
          <w:sz w:val="20"/>
          <w:szCs w:val="20"/>
        </w:rPr>
      </w:pPr>
    </w:p>
    <w:p w14:paraId="0BC984FA"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On December 22, 2017, the Tax Cuts and Jobs Act was enacted. U.S. tax reform, among other things, reduced the U.S. federal income tax ra</w:t>
      </w:r>
      <w:r>
        <w:rPr>
          <w:rFonts w:ascii="Arial" w:eastAsia="宋体" w:hAnsi="Arial" w:cs="Arial"/>
          <w:sz w:val="20"/>
          <w:szCs w:val="20"/>
        </w:rPr>
        <w:t>te from 35% to 21% beginning in 2018, instituted a dividends received deduction for foreign earnings with a related tax for the deemed repatriation of unremitted foreign earnings in 2017 and created a new U.S. minimum tax on earnings of foreign subsidiarie</w:t>
      </w:r>
      <w:r>
        <w:rPr>
          <w:rFonts w:ascii="Arial" w:eastAsia="宋体" w:hAnsi="Arial" w:cs="Arial"/>
          <w:sz w:val="20"/>
          <w:szCs w:val="20"/>
        </w:rPr>
        <w:t>s. We recognized a provisional income tax charge of $3.1 billion in the fourth quarter of 2017, which was included as a component of the income tax provision on our consolidated statement of income. We completed our analysis of the impacts of U.S. tax refo</w:t>
      </w:r>
      <w:r>
        <w:rPr>
          <w:rFonts w:ascii="Arial" w:eastAsia="宋体" w:hAnsi="Arial" w:cs="Arial"/>
          <w:sz w:val="20"/>
          <w:szCs w:val="20"/>
        </w:rPr>
        <w:t>rm in the fourth quarter of 2018 and recognized a $463 million reduction to the provisional tax amounts recorded in the fourth quarter of 2017, which is included as a component of income tax expense from continuing operations in 2018.</w:t>
      </w:r>
    </w:p>
    <w:p w14:paraId="0BC984FB" w14:textId="77777777" w:rsidR="009F0928" w:rsidRDefault="009F0928">
      <w:pPr>
        <w:spacing w:line="288" w:lineRule="auto"/>
        <w:ind w:firstLine="720"/>
        <w:jc w:val="both"/>
        <w:rPr>
          <w:rFonts w:ascii="Times New Roman" w:hAnsi="Times New Roman"/>
          <w:sz w:val="20"/>
          <w:szCs w:val="20"/>
        </w:rPr>
      </w:pPr>
    </w:p>
    <w:p w14:paraId="0BC984FC"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Included in the 2017</w:t>
      </w:r>
      <w:r>
        <w:rPr>
          <w:rFonts w:ascii="Arial" w:eastAsia="宋体" w:hAnsi="Arial" w:cs="Arial"/>
          <w:sz w:val="20"/>
          <w:szCs w:val="20"/>
        </w:rPr>
        <w:t xml:space="preserve"> provisional amount was $1.4 billion for the income tax on the deemed repatriation of unremitted foreign earnings. We completed the computation of this amount as part of the 2017 income tax return filing and reduced the provisional amount by $18 million an</w:t>
      </w:r>
      <w:r>
        <w:rPr>
          <w:rFonts w:ascii="Arial" w:eastAsia="宋体" w:hAnsi="Arial" w:cs="Arial"/>
          <w:sz w:val="20"/>
          <w:szCs w:val="20"/>
        </w:rPr>
        <w:t>d we utilized $213 million of foreign tax credits to reduce the net liability, both in 2018.</w:t>
      </w:r>
    </w:p>
    <w:p w14:paraId="0BC984FD" w14:textId="77777777" w:rsidR="009F0928" w:rsidRDefault="009F0928">
      <w:pPr>
        <w:spacing w:line="288" w:lineRule="auto"/>
        <w:ind w:firstLine="720"/>
        <w:jc w:val="both"/>
        <w:rPr>
          <w:rFonts w:ascii="Times New Roman" w:hAnsi="Times New Roman"/>
          <w:sz w:val="20"/>
          <w:szCs w:val="20"/>
        </w:rPr>
      </w:pPr>
    </w:p>
    <w:p w14:paraId="0BC984F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remaining provisional amount of $1.7 billion was for the deferred income tax effects of the Act, primarily the impact of the new U.S. minimum tax on foreign e</w:t>
      </w:r>
      <w:r>
        <w:rPr>
          <w:rFonts w:ascii="Arial" w:eastAsia="宋体" w:hAnsi="Arial" w:cs="Arial"/>
          <w:sz w:val="20"/>
          <w:szCs w:val="20"/>
        </w:rPr>
        <w:t>arnings, partially offset by the reversal of our existing deferred tax liability associated with repatriation of unremitted foreign earnings. We completed our analysis of the components of the deferred tax computation in the fourth quarter of 2018 and reco</w:t>
      </w:r>
      <w:r>
        <w:rPr>
          <w:rFonts w:ascii="Arial" w:eastAsia="宋体" w:hAnsi="Arial" w:cs="Arial"/>
          <w:sz w:val="20"/>
          <w:szCs w:val="20"/>
        </w:rPr>
        <w:t xml:space="preserve">gnized a tax benefit of $445 million as a reduction to the provisional amounts recorded in the fourth quarter of 2017 for the deferred income tax effects of the Act. This amount includes a $389 million tax benefit as a result of clarification by Swiss tax </w:t>
      </w:r>
      <w:r>
        <w:rPr>
          <w:rFonts w:ascii="Arial" w:eastAsia="宋体" w:hAnsi="Arial" w:cs="Arial"/>
          <w:sz w:val="20"/>
          <w:szCs w:val="20"/>
        </w:rPr>
        <w:t>authorities regarding the applicability of withholding tax to repatriated earnings in October 2018.</w:t>
      </w:r>
    </w:p>
    <w:p w14:paraId="0BC984FF" w14:textId="77777777" w:rsidR="009F0928" w:rsidRDefault="009F0928">
      <w:pPr>
        <w:spacing w:line="288" w:lineRule="auto"/>
        <w:ind w:firstLine="720"/>
        <w:jc w:val="both"/>
        <w:rPr>
          <w:rFonts w:ascii="Times New Roman" w:hAnsi="Times New Roman"/>
          <w:sz w:val="20"/>
          <w:szCs w:val="20"/>
        </w:rPr>
      </w:pPr>
    </w:p>
    <w:p w14:paraId="0BC9850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As a result of U.S. tax reform, our earnings in foreign jurisdictions are taxed at substantially the same rate as the U.S. federal statutory tax rate of 21</w:t>
      </w:r>
      <w:r>
        <w:rPr>
          <w:rFonts w:ascii="Arial" w:eastAsia="宋体" w:hAnsi="Arial" w:cs="Arial"/>
          <w:sz w:val="20"/>
          <w:szCs w:val="20"/>
        </w:rPr>
        <w:t>%. In 2017, our provision for income taxes differed from the provision computed by applying the U.S. federal statutory rate of 35% primarily due to lower tax rates associated with certain earnings from our operations in jurisdictions outside the U.S. The i</w:t>
      </w:r>
      <w:r>
        <w:rPr>
          <w:rFonts w:ascii="Arial" w:eastAsia="宋体" w:hAnsi="Arial" w:cs="Arial"/>
          <w:sz w:val="20"/>
          <w:szCs w:val="20"/>
        </w:rPr>
        <w:t xml:space="preserve">mpact on our provision for income taxes of foreign income being taxed at different rates that the U.S. federal statutory rate was a benefit of approximately $217 million in 2017. The foreign jurisdictions with lower tax rates that had the most significant </w:t>
      </w:r>
      <w:r>
        <w:rPr>
          <w:rFonts w:ascii="Arial" w:eastAsia="宋体" w:hAnsi="Arial" w:cs="Arial"/>
          <w:sz w:val="20"/>
          <w:szCs w:val="20"/>
        </w:rPr>
        <w:t>impact on our provision for income taxes in 2017 include Switzerland. See “Note 15 - Income Taxes” to the consolidated financial statements included in this report for more information on our tax rate reconciliation.</w:t>
      </w:r>
    </w:p>
    <w:p w14:paraId="0BC98501" w14:textId="77777777" w:rsidR="009F0928" w:rsidRDefault="009F0928">
      <w:pPr>
        <w:spacing w:line="288" w:lineRule="auto"/>
        <w:jc w:val="both"/>
        <w:rPr>
          <w:rFonts w:ascii="Times New Roman" w:hAnsi="Times New Roman"/>
          <w:sz w:val="20"/>
          <w:szCs w:val="20"/>
        </w:rPr>
      </w:pPr>
    </w:p>
    <w:p w14:paraId="0BC98502" w14:textId="77777777" w:rsidR="009F0928" w:rsidRDefault="009F0928">
      <w:pPr>
        <w:rPr>
          <w:rFonts w:ascii="Times New Roman" w:hAnsi="Times New Roman"/>
          <w:sz w:val="20"/>
          <w:szCs w:val="20"/>
        </w:rPr>
      </w:pPr>
    </w:p>
    <w:p w14:paraId="0BC98503"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46</w:t>
      </w:r>
    </w:p>
    <w:p w14:paraId="0BC98504" w14:textId="77777777" w:rsidR="009F0928" w:rsidRDefault="002112BD">
      <w:r>
        <w:rPr>
          <w:rFonts w:ascii="Times New Roman" w:hAnsi="Times New Roman"/>
          <w:sz w:val="18"/>
          <w:szCs w:val="18"/>
        </w:rPr>
        <w:pict w14:anchorId="0BC9B4EB">
          <v:rect id="_x0000_i1071" style="width:415.3pt;height:1.5pt" o:hralign="center" o:hrstd="t" o:hr="t" fillcolor="#a0a0a0" stroked="f"/>
        </w:pict>
      </w:r>
    </w:p>
    <w:p w14:paraId="0BC98505" w14:textId="77777777" w:rsidR="009F0928" w:rsidRDefault="009F0928">
      <w:pPr>
        <w:spacing w:line="288" w:lineRule="auto"/>
        <w:rPr>
          <w:rFonts w:ascii="Times New Roman" w:hAnsi="Times New Roman"/>
          <w:sz w:val="20"/>
          <w:szCs w:val="20"/>
        </w:rPr>
      </w:pPr>
    </w:p>
    <w:p w14:paraId="0BC98506" w14:textId="77777777" w:rsidR="009F0928" w:rsidRDefault="009F0928">
      <w:pPr>
        <w:rPr>
          <w:rFonts w:ascii="Times New Roman" w:hAnsi="Times New Roman"/>
          <w:sz w:val="20"/>
          <w:szCs w:val="20"/>
        </w:rPr>
      </w:pPr>
    </w:p>
    <w:p w14:paraId="0BC9850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From time to time we engage in</w:t>
      </w:r>
      <w:r>
        <w:rPr>
          <w:rFonts w:ascii="Arial" w:eastAsia="宋体" w:hAnsi="Arial" w:cs="Arial"/>
          <w:sz w:val="20"/>
          <w:szCs w:val="20"/>
        </w:rPr>
        <w:t xml:space="preserve"> certain intercompany transactions. We consider many factors when evaluating these transactions. These transactions may impact our tax rate and/or result in additional cash tax payments. The impact in any period may be significant. These transactions are c</w:t>
      </w:r>
      <w:r>
        <w:rPr>
          <w:rFonts w:ascii="Arial" w:eastAsia="宋体" w:hAnsi="Arial" w:cs="Arial"/>
          <w:sz w:val="20"/>
          <w:szCs w:val="20"/>
        </w:rPr>
        <w:t>omplex and the impact of such transactions on future periods may be difficult to estimate.</w:t>
      </w:r>
    </w:p>
    <w:p w14:paraId="0BC98508" w14:textId="77777777" w:rsidR="009F0928" w:rsidRDefault="009F0928">
      <w:pPr>
        <w:spacing w:line="288" w:lineRule="auto"/>
        <w:ind w:firstLine="720"/>
        <w:jc w:val="both"/>
        <w:rPr>
          <w:rFonts w:ascii="Times New Roman" w:hAnsi="Times New Roman"/>
          <w:sz w:val="20"/>
          <w:szCs w:val="20"/>
        </w:rPr>
      </w:pPr>
    </w:p>
    <w:p w14:paraId="0BC9850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are regularly under examination by tax authorities both domestically and internationally. We believe that adequate amounts have been reserved for any </w:t>
      </w:r>
      <w:r>
        <w:rPr>
          <w:rFonts w:ascii="Arial" w:eastAsia="宋体" w:hAnsi="Arial" w:cs="Arial"/>
          <w:sz w:val="20"/>
          <w:szCs w:val="20"/>
        </w:rPr>
        <w:t>adjustments that may ultimately result from these examinations, although we cannot assure you that this will be the case given the inherent uncertainties in these examinations. Due to the ongoing tax examinations, it is generally impractical to determine t</w:t>
      </w:r>
      <w:r>
        <w:rPr>
          <w:rFonts w:ascii="Arial" w:eastAsia="宋体" w:hAnsi="Arial" w:cs="Arial"/>
          <w:sz w:val="20"/>
          <w:szCs w:val="20"/>
        </w:rPr>
        <w:t>he amount and timing of these adjustments. However, we expect several tax examinations to close within the next twelve months. See “Note 15 – Income Taxes” to the consolidated financial statements included in this report for more information on estimated s</w:t>
      </w:r>
      <w:r>
        <w:rPr>
          <w:rFonts w:ascii="Arial" w:eastAsia="宋体" w:hAnsi="Arial" w:cs="Arial"/>
          <w:sz w:val="20"/>
          <w:szCs w:val="20"/>
        </w:rPr>
        <w:t>ettlements within the next twelve months.</w:t>
      </w:r>
    </w:p>
    <w:p w14:paraId="0BC9850A" w14:textId="77777777" w:rsidR="009F0928" w:rsidRDefault="009F0928">
      <w:pPr>
        <w:spacing w:line="288" w:lineRule="auto"/>
        <w:ind w:firstLine="720"/>
        <w:jc w:val="both"/>
        <w:rPr>
          <w:rFonts w:ascii="Times New Roman" w:hAnsi="Times New Roman"/>
          <w:sz w:val="20"/>
          <w:szCs w:val="20"/>
        </w:rPr>
      </w:pPr>
    </w:p>
    <w:p w14:paraId="0BC9850B"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Non-GAAP Measures of Financial Performance</w:t>
      </w:r>
    </w:p>
    <w:p w14:paraId="0BC9850C" w14:textId="77777777" w:rsidR="009F0928" w:rsidRDefault="009F0928">
      <w:pPr>
        <w:spacing w:line="288" w:lineRule="auto"/>
        <w:jc w:val="both"/>
        <w:rPr>
          <w:rFonts w:ascii="Times New Roman" w:hAnsi="Times New Roman"/>
          <w:sz w:val="20"/>
          <w:szCs w:val="20"/>
        </w:rPr>
      </w:pPr>
    </w:p>
    <w:p w14:paraId="0BC9850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To supplement our consolidated financial statements presented in accordance with generally accepted accounting principles we use FX-Neutral net revenues, which are non-G</w:t>
      </w:r>
      <w:r>
        <w:rPr>
          <w:rFonts w:ascii="Arial" w:eastAsia="宋体" w:hAnsi="Arial" w:cs="Arial"/>
          <w:sz w:val="20"/>
          <w:szCs w:val="20"/>
        </w:rPr>
        <w:t>AAP financial measures. Management uses the foregoing non-GAAP measures in reviewing our financial results. We define FX-Neutral net revenues as net revenues minus the exchange rate effect. We define exchange rate effect as the year-over-year impact of for</w:t>
      </w:r>
      <w:r>
        <w:rPr>
          <w:rFonts w:ascii="Arial" w:eastAsia="宋体" w:hAnsi="Arial" w:cs="Arial"/>
          <w:sz w:val="20"/>
          <w:szCs w:val="20"/>
        </w:rPr>
        <w:t>eign currency movements using prior period foreign currency rates applied to current year transactional currency amounts, excluding hedging activity.</w:t>
      </w:r>
    </w:p>
    <w:p w14:paraId="0BC9850E" w14:textId="77777777" w:rsidR="009F0928" w:rsidRDefault="009F0928">
      <w:pPr>
        <w:spacing w:line="288" w:lineRule="auto"/>
        <w:ind w:firstLine="720"/>
        <w:jc w:val="both"/>
        <w:rPr>
          <w:rFonts w:ascii="Times New Roman" w:hAnsi="Times New Roman"/>
          <w:sz w:val="20"/>
          <w:szCs w:val="20"/>
        </w:rPr>
      </w:pPr>
    </w:p>
    <w:p w14:paraId="0BC9850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These non-GAAP measures are not in accordance with, or an alternative to, measures prepared in accordance with GAAP and may be different from non-GAAP measures used by other companies. In addition, these non-GAAP measures are not based on any comprehensive</w:t>
      </w:r>
      <w:r>
        <w:rPr>
          <w:rFonts w:ascii="Arial" w:eastAsia="宋体" w:hAnsi="Arial" w:cs="Arial"/>
          <w:sz w:val="20"/>
          <w:szCs w:val="20"/>
        </w:rPr>
        <w:t xml:space="preserve"> set of accounting rules or principles. Non-GAAP measures have limitations in that they do not reflect all of the amounts associated with our results of operations as determined in accordance with GAAP. These measures should only be used to evaluate our re</w:t>
      </w:r>
      <w:r>
        <w:rPr>
          <w:rFonts w:ascii="Arial" w:eastAsia="宋体" w:hAnsi="Arial" w:cs="Arial"/>
          <w:sz w:val="20"/>
          <w:szCs w:val="20"/>
        </w:rPr>
        <w:t xml:space="preserve">sults of operations in conjunction with the corresponding GAAP measures. </w:t>
      </w:r>
    </w:p>
    <w:p w14:paraId="0BC98510" w14:textId="77777777" w:rsidR="009F0928" w:rsidRDefault="009F0928">
      <w:pPr>
        <w:spacing w:line="288" w:lineRule="auto"/>
        <w:ind w:firstLine="720"/>
        <w:jc w:val="both"/>
        <w:rPr>
          <w:rFonts w:ascii="Times New Roman" w:hAnsi="Times New Roman"/>
          <w:sz w:val="20"/>
          <w:szCs w:val="20"/>
        </w:rPr>
      </w:pPr>
    </w:p>
    <w:p w14:paraId="0BC9851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These non-GAAP measures are provided to enhance investors’ overall understanding of our current financial performance and its prospects for the future. Specifically, we believe thes</w:t>
      </w:r>
      <w:r>
        <w:rPr>
          <w:rFonts w:ascii="Arial" w:eastAsia="宋体" w:hAnsi="Arial" w:cs="Arial"/>
          <w:sz w:val="20"/>
          <w:szCs w:val="20"/>
        </w:rPr>
        <w:t xml:space="preserve">e non-GAAP measures provide useful information to both management and investors by excluding the foreign currency exchange rate impact that may not be indicative of our core operating results and business outlook. In addition, because we have historically </w:t>
      </w:r>
      <w:r>
        <w:rPr>
          <w:rFonts w:ascii="Arial" w:eastAsia="宋体" w:hAnsi="Arial" w:cs="Arial"/>
          <w:sz w:val="20"/>
          <w:szCs w:val="20"/>
        </w:rPr>
        <w:t xml:space="preserve">reported certain non-GAAP results to investors, we believe that the inclusion of these non-GAAP measures provide consistency in our financial reporting. </w:t>
      </w:r>
    </w:p>
    <w:p w14:paraId="0BC98512" w14:textId="77777777" w:rsidR="009F0928" w:rsidRDefault="009F0928">
      <w:pPr>
        <w:spacing w:line="288" w:lineRule="auto"/>
        <w:ind w:firstLine="720"/>
        <w:jc w:val="both"/>
        <w:rPr>
          <w:rFonts w:ascii="Times New Roman" w:hAnsi="Times New Roman"/>
          <w:sz w:val="20"/>
          <w:szCs w:val="20"/>
        </w:rPr>
      </w:pPr>
    </w:p>
    <w:p w14:paraId="0BC98513" w14:textId="77777777" w:rsidR="009F0928" w:rsidRDefault="009F0928">
      <w:pPr>
        <w:rPr>
          <w:rFonts w:ascii="Times New Roman" w:hAnsi="Times New Roman"/>
          <w:sz w:val="20"/>
          <w:szCs w:val="20"/>
        </w:rPr>
      </w:pPr>
    </w:p>
    <w:p w14:paraId="0BC98514"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47</w:t>
      </w:r>
    </w:p>
    <w:p w14:paraId="0BC98515" w14:textId="77777777" w:rsidR="009F0928" w:rsidRDefault="002112BD">
      <w:r>
        <w:rPr>
          <w:rFonts w:ascii="Times New Roman" w:hAnsi="Times New Roman"/>
          <w:sz w:val="18"/>
          <w:szCs w:val="18"/>
        </w:rPr>
        <w:pict w14:anchorId="0BC9B4EC">
          <v:rect id="_x0000_i1072" style="width:415.3pt;height:1.5pt" o:hralign="center" o:hrstd="t" o:hr="t" fillcolor="#a0a0a0" stroked="f"/>
        </w:pict>
      </w:r>
    </w:p>
    <w:p w14:paraId="0BC98516" w14:textId="77777777" w:rsidR="009F0928" w:rsidRDefault="009F0928">
      <w:pPr>
        <w:spacing w:line="288" w:lineRule="auto"/>
        <w:rPr>
          <w:rFonts w:ascii="Times New Roman" w:hAnsi="Times New Roman"/>
          <w:sz w:val="20"/>
          <w:szCs w:val="20"/>
        </w:rPr>
      </w:pPr>
    </w:p>
    <w:p w14:paraId="0BC98517" w14:textId="77777777" w:rsidR="009F0928" w:rsidRDefault="009F0928">
      <w:pPr>
        <w:rPr>
          <w:rFonts w:ascii="Times New Roman" w:hAnsi="Times New Roman"/>
          <w:sz w:val="20"/>
          <w:szCs w:val="20"/>
        </w:rPr>
      </w:pPr>
    </w:p>
    <w:p w14:paraId="0BC9851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tables set forth a reconciliation of FX-Neutral GMV and FX-Neutral net revenues</w:t>
      </w:r>
      <w:r>
        <w:rPr>
          <w:rFonts w:ascii="Arial" w:eastAsia="宋体" w:hAnsi="Arial" w:cs="Arial"/>
          <w:sz w:val="20"/>
          <w:szCs w:val="20"/>
        </w:rPr>
        <w:t xml:space="preserve"> (each as defined below) to our reported GMV and net revenues for the periods presented (in millions, except percentages):</w:t>
      </w:r>
    </w:p>
    <w:tbl>
      <w:tblPr>
        <w:tblW w:w="5000" w:type="pct"/>
        <w:tblCellMar>
          <w:left w:w="0" w:type="dxa"/>
          <w:right w:w="0" w:type="dxa"/>
        </w:tblCellMar>
        <w:tblLook w:val="04A0" w:firstRow="1" w:lastRow="0" w:firstColumn="1" w:lastColumn="0" w:noHBand="0" w:noVBand="1"/>
      </w:tblPr>
      <w:tblGrid>
        <w:gridCol w:w="1648"/>
        <w:gridCol w:w="129"/>
        <w:gridCol w:w="652"/>
        <w:gridCol w:w="94"/>
        <w:gridCol w:w="130"/>
        <w:gridCol w:w="130"/>
        <w:gridCol w:w="736"/>
        <w:gridCol w:w="94"/>
        <w:gridCol w:w="130"/>
        <w:gridCol w:w="130"/>
        <w:gridCol w:w="736"/>
        <w:gridCol w:w="94"/>
        <w:gridCol w:w="130"/>
        <w:gridCol w:w="130"/>
        <w:gridCol w:w="985"/>
        <w:gridCol w:w="66"/>
        <w:gridCol w:w="130"/>
        <w:gridCol w:w="787"/>
        <w:gridCol w:w="236"/>
        <w:gridCol w:w="130"/>
        <w:gridCol w:w="773"/>
        <w:gridCol w:w="236"/>
      </w:tblGrid>
      <w:tr w:rsidR="009F0928" w14:paraId="0BC9851A" w14:textId="77777777">
        <w:tc>
          <w:tcPr>
            <w:tcW w:w="0" w:type="auto"/>
            <w:gridSpan w:val="22"/>
            <w:shd w:val="clear" w:color="auto" w:fill="auto"/>
            <w:vAlign w:val="center"/>
          </w:tcPr>
          <w:p w14:paraId="0BC98519" w14:textId="77777777" w:rsidR="009F0928" w:rsidRDefault="009F0928">
            <w:pPr>
              <w:rPr>
                <w:rFonts w:ascii="Times New Roman" w:hAnsi="Times New Roman"/>
                <w:sz w:val="20"/>
                <w:szCs w:val="20"/>
              </w:rPr>
            </w:pPr>
          </w:p>
        </w:tc>
      </w:tr>
      <w:tr w:rsidR="009F0928" w14:paraId="0BC98531" w14:textId="77777777">
        <w:tc>
          <w:tcPr>
            <w:tcW w:w="1050" w:type="pct"/>
            <w:shd w:val="clear" w:color="auto" w:fill="auto"/>
            <w:vAlign w:val="center"/>
          </w:tcPr>
          <w:p w14:paraId="0BC9851B" w14:textId="77777777" w:rsidR="009F0928" w:rsidRDefault="009F0928">
            <w:pPr>
              <w:rPr>
                <w:rFonts w:ascii="Times New Roman" w:hAnsi="Times New Roman"/>
                <w:sz w:val="20"/>
                <w:szCs w:val="20"/>
              </w:rPr>
            </w:pPr>
          </w:p>
        </w:tc>
        <w:tc>
          <w:tcPr>
            <w:tcW w:w="50" w:type="pct"/>
            <w:shd w:val="clear" w:color="auto" w:fill="auto"/>
            <w:vAlign w:val="center"/>
          </w:tcPr>
          <w:p w14:paraId="0BC9851C" w14:textId="77777777" w:rsidR="009F0928" w:rsidRDefault="009F0928">
            <w:pPr>
              <w:rPr>
                <w:rFonts w:ascii="Times New Roman" w:hAnsi="Times New Roman"/>
                <w:sz w:val="20"/>
                <w:szCs w:val="20"/>
              </w:rPr>
            </w:pPr>
          </w:p>
        </w:tc>
        <w:tc>
          <w:tcPr>
            <w:tcW w:w="450" w:type="pct"/>
            <w:shd w:val="clear" w:color="auto" w:fill="auto"/>
            <w:vAlign w:val="center"/>
          </w:tcPr>
          <w:p w14:paraId="0BC9851D" w14:textId="77777777" w:rsidR="009F0928" w:rsidRDefault="009F0928">
            <w:pPr>
              <w:rPr>
                <w:rFonts w:ascii="Times New Roman" w:hAnsi="Times New Roman"/>
                <w:sz w:val="20"/>
                <w:szCs w:val="20"/>
              </w:rPr>
            </w:pPr>
          </w:p>
        </w:tc>
        <w:tc>
          <w:tcPr>
            <w:tcW w:w="50" w:type="pct"/>
            <w:shd w:val="clear" w:color="auto" w:fill="auto"/>
            <w:vAlign w:val="center"/>
          </w:tcPr>
          <w:p w14:paraId="0BC9851E" w14:textId="77777777" w:rsidR="009F0928" w:rsidRDefault="009F0928">
            <w:pPr>
              <w:rPr>
                <w:rFonts w:ascii="Times New Roman" w:hAnsi="Times New Roman"/>
                <w:sz w:val="20"/>
                <w:szCs w:val="20"/>
              </w:rPr>
            </w:pPr>
          </w:p>
        </w:tc>
        <w:tc>
          <w:tcPr>
            <w:tcW w:w="50" w:type="pct"/>
            <w:shd w:val="clear" w:color="auto" w:fill="auto"/>
            <w:vAlign w:val="center"/>
          </w:tcPr>
          <w:p w14:paraId="0BC9851F" w14:textId="77777777" w:rsidR="009F0928" w:rsidRDefault="009F0928">
            <w:pPr>
              <w:rPr>
                <w:rFonts w:ascii="Times New Roman" w:hAnsi="Times New Roman"/>
                <w:sz w:val="20"/>
                <w:szCs w:val="20"/>
              </w:rPr>
            </w:pPr>
          </w:p>
        </w:tc>
        <w:tc>
          <w:tcPr>
            <w:tcW w:w="50" w:type="pct"/>
            <w:shd w:val="clear" w:color="auto" w:fill="auto"/>
            <w:vAlign w:val="center"/>
          </w:tcPr>
          <w:p w14:paraId="0BC98520" w14:textId="77777777" w:rsidR="009F0928" w:rsidRDefault="009F0928">
            <w:pPr>
              <w:rPr>
                <w:rFonts w:ascii="Times New Roman" w:hAnsi="Times New Roman"/>
                <w:sz w:val="20"/>
                <w:szCs w:val="20"/>
              </w:rPr>
            </w:pPr>
          </w:p>
        </w:tc>
        <w:tc>
          <w:tcPr>
            <w:tcW w:w="500" w:type="pct"/>
            <w:shd w:val="clear" w:color="auto" w:fill="auto"/>
            <w:vAlign w:val="center"/>
          </w:tcPr>
          <w:p w14:paraId="0BC98521" w14:textId="77777777" w:rsidR="009F0928" w:rsidRDefault="009F0928">
            <w:pPr>
              <w:rPr>
                <w:rFonts w:ascii="Times New Roman" w:hAnsi="Times New Roman"/>
                <w:sz w:val="20"/>
                <w:szCs w:val="20"/>
              </w:rPr>
            </w:pPr>
          </w:p>
        </w:tc>
        <w:tc>
          <w:tcPr>
            <w:tcW w:w="50" w:type="pct"/>
            <w:shd w:val="clear" w:color="auto" w:fill="auto"/>
            <w:vAlign w:val="center"/>
          </w:tcPr>
          <w:p w14:paraId="0BC98522" w14:textId="77777777" w:rsidR="009F0928" w:rsidRDefault="009F0928">
            <w:pPr>
              <w:rPr>
                <w:rFonts w:ascii="Times New Roman" w:hAnsi="Times New Roman"/>
                <w:sz w:val="20"/>
                <w:szCs w:val="20"/>
              </w:rPr>
            </w:pPr>
          </w:p>
        </w:tc>
        <w:tc>
          <w:tcPr>
            <w:tcW w:w="50" w:type="pct"/>
            <w:shd w:val="clear" w:color="auto" w:fill="auto"/>
            <w:vAlign w:val="center"/>
          </w:tcPr>
          <w:p w14:paraId="0BC98523" w14:textId="77777777" w:rsidR="009F0928" w:rsidRDefault="009F0928">
            <w:pPr>
              <w:rPr>
                <w:rFonts w:ascii="Times New Roman" w:hAnsi="Times New Roman"/>
                <w:sz w:val="20"/>
                <w:szCs w:val="20"/>
              </w:rPr>
            </w:pPr>
          </w:p>
        </w:tc>
        <w:tc>
          <w:tcPr>
            <w:tcW w:w="50" w:type="pct"/>
            <w:shd w:val="clear" w:color="auto" w:fill="auto"/>
            <w:vAlign w:val="center"/>
          </w:tcPr>
          <w:p w14:paraId="0BC98524" w14:textId="77777777" w:rsidR="009F0928" w:rsidRDefault="009F0928">
            <w:pPr>
              <w:rPr>
                <w:rFonts w:ascii="Times New Roman" w:hAnsi="Times New Roman"/>
                <w:sz w:val="20"/>
                <w:szCs w:val="20"/>
              </w:rPr>
            </w:pPr>
          </w:p>
        </w:tc>
        <w:tc>
          <w:tcPr>
            <w:tcW w:w="500" w:type="pct"/>
            <w:shd w:val="clear" w:color="auto" w:fill="auto"/>
            <w:vAlign w:val="center"/>
          </w:tcPr>
          <w:p w14:paraId="0BC98525" w14:textId="77777777" w:rsidR="009F0928" w:rsidRDefault="009F0928">
            <w:pPr>
              <w:rPr>
                <w:rFonts w:ascii="Times New Roman" w:hAnsi="Times New Roman"/>
                <w:sz w:val="20"/>
                <w:szCs w:val="20"/>
              </w:rPr>
            </w:pPr>
          </w:p>
        </w:tc>
        <w:tc>
          <w:tcPr>
            <w:tcW w:w="50" w:type="pct"/>
            <w:shd w:val="clear" w:color="auto" w:fill="auto"/>
            <w:vAlign w:val="center"/>
          </w:tcPr>
          <w:p w14:paraId="0BC98526" w14:textId="77777777" w:rsidR="009F0928" w:rsidRDefault="009F0928">
            <w:pPr>
              <w:rPr>
                <w:rFonts w:ascii="Times New Roman" w:hAnsi="Times New Roman"/>
                <w:sz w:val="20"/>
                <w:szCs w:val="20"/>
              </w:rPr>
            </w:pPr>
          </w:p>
        </w:tc>
        <w:tc>
          <w:tcPr>
            <w:tcW w:w="50" w:type="pct"/>
            <w:shd w:val="clear" w:color="auto" w:fill="auto"/>
            <w:vAlign w:val="center"/>
          </w:tcPr>
          <w:p w14:paraId="0BC98527" w14:textId="77777777" w:rsidR="009F0928" w:rsidRDefault="009F0928">
            <w:pPr>
              <w:rPr>
                <w:rFonts w:ascii="Times New Roman" w:hAnsi="Times New Roman"/>
                <w:sz w:val="20"/>
                <w:szCs w:val="20"/>
              </w:rPr>
            </w:pPr>
          </w:p>
        </w:tc>
        <w:tc>
          <w:tcPr>
            <w:tcW w:w="50" w:type="pct"/>
            <w:shd w:val="clear" w:color="auto" w:fill="auto"/>
            <w:vAlign w:val="center"/>
          </w:tcPr>
          <w:p w14:paraId="0BC98528" w14:textId="77777777" w:rsidR="009F0928" w:rsidRDefault="009F0928">
            <w:pPr>
              <w:rPr>
                <w:rFonts w:ascii="Times New Roman" w:hAnsi="Times New Roman"/>
                <w:sz w:val="20"/>
                <w:szCs w:val="20"/>
              </w:rPr>
            </w:pPr>
          </w:p>
        </w:tc>
        <w:tc>
          <w:tcPr>
            <w:tcW w:w="650" w:type="pct"/>
            <w:shd w:val="clear" w:color="auto" w:fill="auto"/>
            <w:vAlign w:val="center"/>
          </w:tcPr>
          <w:p w14:paraId="0BC98529" w14:textId="77777777" w:rsidR="009F0928" w:rsidRDefault="009F0928">
            <w:pPr>
              <w:rPr>
                <w:rFonts w:ascii="Times New Roman" w:hAnsi="Times New Roman"/>
                <w:sz w:val="20"/>
                <w:szCs w:val="20"/>
              </w:rPr>
            </w:pPr>
          </w:p>
        </w:tc>
        <w:tc>
          <w:tcPr>
            <w:tcW w:w="50" w:type="pct"/>
            <w:shd w:val="clear" w:color="auto" w:fill="auto"/>
            <w:vAlign w:val="center"/>
          </w:tcPr>
          <w:p w14:paraId="0BC9852A" w14:textId="77777777" w:rsidR="009F0928" w:rsidRDefault="009F0928">
            <w:pPr>
              <w:rPr>
                <w:rFonts w:ascii="Times New Roman" w:hAnsi="Times New Roman"/>
                <w:sz w:val="20"/>
                <w:szCs w:val="20"/>
              </w:rPr>
            </w:pPr>
          </w:p>
        </w:tc>
        <w:tc>
          <w:tcPr>
            <w:tcW w:w="50" w:type="pct"/>
            <w:shd w:val="clear" w:color="auto" w:fill="auto"/>
            <w:vAlign w:val="center"/>
          </w:tcPr>
          <w:p w14:paraId="0BC9852B" w14:textId="77777777" w:rsidR="009F0928" w:rsidRDefault="009F0928">
            <w:pPr>
              <w:rPr>
                <w:rFonts w:ascii="Times New Roman" w:hAnsi="Times New Roman"/>
                <w:sz w:val="20"/>
                <w:szCs w:val="20"/>
              </w:rPr>
            </w:pPr>
          </w:p>
        </w:tc>
        <w:tc>
          <w:tcPr>
            <w:tcW w:w="550" w:type="pct"/>
            <w:shd w:val="clear" w:color="auto" w:fill="auto"/>
            <w:vAlign w:val="center"/>
          </w:tcPr>
          <w:p w14:paraId="0BC9852C" w14:textId="77777777" w:rsidR="009F0928" w:rsidRDefault="009F0928">
            <w:pPr>
              <w:rPr>
                <w:rFonts w:ascii="Times New Roman" w:hAnsi="Times New Roman"/>
                <w:sz w:val="20"/>
                <w:szCs w:val="20"/>
              </w:rPr>
            </w:pPr>
          </w:p>
        </w:tc>
        <w:tc>
          <w:tcPr>
            <w:tcW w:w="50" w:type="pct"/>
            <w:shd w:val="clear" w:color="auto" w:fill="auto"/>
            <w:vAlign w:val="center"/>
          </w:tcPr>
          <w:p w14:paraId="0BC9852D" w14:textId="77777777" w:rsidR="009F0928" w:rsidRDefault="009F0928">
            <w:pPr>
              <w:rPr>
                <w:rFonts w:ascii="Times New Roman" w:hAnsi="Times New Roman"/>
                <w:sz w:val="20"/>
                <w:szCs w:val="20"/>
              </w:rPr>
            </w:pPr>
          </w:p>
        </w:tc>
        <w:tc>
          <w:tcPr>
            <w:tcW w:w="50" w:type="pct"/>
            <w:shd w:val="clear" w:color="auto" w:fill="auto"/>
            <w:vAlign w:val="center"/>
          </w:tcPr>
          <w:p w14:paraId="0BC9852E" w14:textId="77777777" w:rsidR="009F0928" w:rsidRDefault="009F0928">
            <w:pPr>
              <w:rPr>
                <w:rFonts w:ascii="Times New Roman" w:hAnsi="Times New Roman"/>
                <w:sz w:val="20"/>
                <w:szCs w:val="20"/>
              </w:rPr>
            </w:pPr>
          </w:p>
        </w:tc>
        <w:tc>
          <w:tcPr>
            <w:tcW w:w="550" w:type="pct"/>
            <w:shd w:val="clear" w:color="auto" w:fill="auto"/>
            <w:vAlign w:val="center"/>
          </w:tcPr>
          <w:p w14:paraId="0BC9852F" w14:textId="77777777" w:rsidR="009F0928" w:rsidRDefault="009F0928">
            <w:pPr>
              <w:rPr>
                <w:rFonts w:ascii="Times New Roman" w:hAnsi="Times New Roman"/>
                <w:sz w:val="20"/>
                <w:szCs w:val="20"/>
              </w:rPr>
            </w:pPr>
          </w:p>
        </w:tc>
        <w:tc>
          <w:tcPr>
            <w:tcW w:w="50" w:type="pct"/>
            <w:shd w:val="clear" w:color="auto" w:fill="auto"/>
            <w:vAlign w:val="center"/>
          </w:tcPr>
          <w:p w14:paraId="0BC98530" w14:textId="77777777" w:rsidR="009F0928" w:rsidRDefault="009F0928">
            <w:pPr>
              <w:rPr>
                <w:rFonts w:ascii="Times New Roman" w:hAnsi="Times New Roman"/>
                <w:sz w:val="20"/>
                <w:szCs w:val="20"/>
              </w:rPr>
            </w:pPr>
          </w:p>
        </w:tc>
      </w:tr>
      <w:tr w:rsidR="009F0928" w14:paraId="0BC9853A" w14:textId="77777777">
        <w:tc>
          <w:tcPr>
            <w:tcW w:w="0" w:type="auto"/>
            <w:shd w:val="clear" w:color="auto" w:fill="auto"/>
            <w:tcMar>
              <w:top w:w="40" w:type="dxa"/>
              <w:left w:w="40" w:type="dxa"/>
              <w:bottom w:w="40" w:type="dxa"/>
              <w:right w:w="40" w:type="dxa"/>
            </w:tcMar>
            <w:vAlign w:val="bottom"/>
          </w:tcPr>
          <w:p w14:paraId="0BC98532" w14:textId="77777777" w:rsidR="009F0928" w:rsidRDefault="002112BD">
            <w:pPr>
              <w:textAlignment w:val="bottom"/>
              <w:rPr>
                <w:rFonts w:ascii="Times New Roman" w:hAnsi="Times New Roman"/>
                <w:sz w:val="14"/>
                <w:szCs w:val="14"/>
              </w:rPr>
            </w:pPr>
            <w:r>
              <w:rPr>
                <w:rFonts w:ascii="Arial" w:eastAsia="宋体" w:hAnsi="Arial" w:cs="Arial"/>
                <w:b/>
                <w:bCs/>
                <w:sz w:val="14"/>
                <w:szCs w:val="14"/>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8533"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Year Ended</w:t>
            </w:r>
            <w:r>
              <w:rPr>
                <w:rFonts w:ascii="Arial" w:eastAsia="宋体" w:hAnsi="Arial" w:cs="Arial"/>
                <w:b/>
                <w:bCs/>
                <w:sz w:val="14"/>
                <w:szCs w:val="14"/>
              </w:rPr>
              <w:br/>
              <w:t>December 31, 2019</w:t>
            </w:r>
          </w:p>
        </w:tc>
        <w:tc>
          <w:tcPr>
            <w:tcW w:w="0" w:type="auto"/>
            <w:shd w:val="clear" w:color="auto" w:fill="auto"/>
            <w:tcMar>
              <w:top w:w="40" w:type="dxa"/>
              <w:left w:w="40" w:type="dxa"/>
              <w:bottom w:w="40" w:type="dxa"/>
              <w:right w:w="40" w:type="dxa"/>
            </w:tcMar>
            <w:vAlign w:val="bottom"/>
          </w:tcPr>
          <w:p w14:paraId="0BC9853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535"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Year Ended</w:t>
            </w:r>
            <w:r>
              <w:rPr>
                <w:rFonts w:ascii="Arial" w:eastAsia="宋体" w:hAnsi="Arial" w:cs="Arial"/>
                <w:b/>
                <w:bCs/>
                <w:sz w:val="14"/>
                <w:szCs w:val="14"/>
              </w:rPr>
              <w:br/>
              <w:t>December 31, 2018</w:t>
            </w:r>
          </w:p>
        </w:tc>
        <w:tc>
          <w:tcPr>
            <w:tcW w:w="0" w:type="auto"/>
            <w:shd w:val="clear" w:color="auto" w:fill="auto"/>
            <w:tcMar>
              <w:top w:w="40" w:type="dxa"/>
              <w:left w:w="40" w:type="dxa"/>
              <w:bottom w:w="40" w:type="dxa"/>
              <w:right w:w="40" w:type="dxa"/>
            </w:tcMar>
            <w:vAlign w:val="bottom"/>
          </w:tcPr>
          <w:p w14:paraId="0BC985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5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53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53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548" w14:textId="77777777">
        <w:tc>
          <w:tcPr>
            <w:tcW w:w="0" w:type="auto"/>
            <w:shd w:val="clear" w:color="auto" w:fill="auto"/>
            <w:tcMar>
              <w:top w:w="40" w:type="dxa"/>
              <w:left w:w="40" w:type="dxa"/>
              <w:bottom w:w="40" w:type="dxa"/>
              <w:right w:w="40" w:type="dxa"/>
            </w:tcMar>
            <w:vAlign w:val="bottom"/>
          </w:tcPr>
          <w:p w14:paraId="0BC9853B" w14:textId="77777777" w:rsidR="009F0928" w:rsidRDefault="002112BD">
            <w:pPr>
              <w:textAlignment w:val="bottom"/>
              <w:rPr>
                <w:rFonts w:ascii="Times New Roman" w:hAnsi="Times New Roman"/>
                <w:sz w:val="14"/>
                <w:szCs w:val="14"/>
              </w:rPr>
            </w:pPr>
            <w:r>
              <w:rPr>
                <w:rFonts w:ascii="Arial" w:eastAsia="宋体" w:hAnsi="Arial" w:cs="Arial"/>
                <w:b/>
                <w:bCs/>
                <w:sz w:val="14"/>
                <w:szCs w:val="14"/>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53C"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As Reported</w:t>
            </w:r>
          </w:p>
        </w:tc>
        <w:tc>
          <w:tcPr>
            <w:tcW w:w="0" w:type="auto"/>
            <w:shd w:val="clear" w:color="auto" w:fill="auto"/>
            <w:tcMar>
              <w:top w:w="40" w:type="dxa"/>
              <w:left w:w="40" w:type="dxa"/>
              <w:bottom w:w="40" w:type="dxa"/>
              <w:right w:w="40" w:type="dxa"/>
            </w:tcMar>
            <w:vAlign w:val="bottom"/>
          </w:tcPr>
          <w:p w14:paraId="0BC985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53E"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xml:space="preserve">Exchange Rate Effect </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0BC9853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540"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xml:space="preserve">FX-Neutral </w:t>
            </w:r>
            <w:r>
              <w:rPr>
                <w:rFonts w:ascii="Arial" w:eastAsia="宋体" w:hAnsi="Arial" w:cs="Arial"/>
                <w:b/>
                <w:bCs/>
                <w:sz w:val="10"/>
                <w:szCs w:val="10"/>
              </w:rPr>
              <w:t>(2)</w:t>
            </w:r>
          </w:p>
        </w:tc>
        <w:tc>
          <w:tcPr>
            <w:tcW w:w="0" w:type="auto"/>
            <w:shd w:val="clear" w:color="auto" w:fill="auto"/>
            <w:tcMar>
              <w:top w:w="40" w:type="dxa"/>
              <w:left w:w="40" w:type="dxa"/>
              <w:bottom w:w="40" w:type="dxa"/>
              <w:right w:w="40" w:type="dxa"/>
            </w:tcMar>
            <w:vAlign w:val="bottom"/>
          </w:tcPr>
          <w:p w14:paraId="0BC9854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542"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As Reported</w:t>
            </w:r>
          </w:p>
        </w:tc>
        <w:tc>
          <w:tcPr>
            <w:tcW w:w="0" w:type="auto"/>
            <w:shd w:val="clear" w:color="auto" w:fill="auto"/>
            <w:tcMar>
              <w:top w:w="40" w:type="dxa"/>
              <w:left w:w="40" w:type="dxa"/>
              <w:bottom w:w="40" w:type="dxa"/>
              <w:right w:w="40" w:type="dxa"/>
            </w:tcMar>
            <w:vAlign w:val="bottom"/>
          </w:tcPr>
          <w:p w14:paraId="0BC9854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544"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As Reported % Change</w:t>
            </w:r>
          </w:p>
        </w:tc>
        <w:tc>
          <w:tcPr>
            <w:tcW w:w="0" w:type="auto"/>
            <w:shd w:val="clear" w:color="auto" w:fill="auto"/>
            <w:tcMar>
              <w:top w:w="40" w:type="dxa"/>
              <w:left w:w="40" w:type="dxa"/>
              <w:bottom w:w="40" w:type="dxa"/>
              <w:right w:w="40" w:type="dxa"/>
            </w:tcMar>
            <w:vAlign w:val="bottom"/>
          </w:tcPr>
          <w:p w14:paraId="0BC9854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546"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xml:space="preserve">FX-Neutral </w:t>
            </w:r>
          </w:p>
          <w:p w14:paraId="0BC98547"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Change</w:t>
            </w:r>
          </w:p>
        </w:tc>
      </w:tr>
      <w:tr w:rsidR="009F0928" w14:paraId="0BC98555" w14:textId="77777777">
        <w:tc>
          <w:tcPr>
            <w:tcW w:w="0" w:type="auto"/>
            <w:shd w:val="clear" w:color="auto" w:fill="E2E2E2"/>
            <w:tcMar>
              <w:top w:w="40" w:type="dxa"/>
              <w:left w:w="40" w:type="dxa"/>
              <w:bottom w:w="40" w:type="dxa"/>
              <w:right w:w="40" w:type="dxa"/>
            </w:tcMar>
            <w:vAlign w:val="bottom"/>
          </w:tcPr>
          <w:p w14:paraId="0BC98549" w14:textId="77777777" w:rsidR="009F0928" w:rsidRDefault="002112BD">
            <w:pPr>
              <w:textAlignment w:val="bottom"/>
              <w:rPr>
                <w:rFonts w:ascii="Times New Roman" w:hAnsi="Times New Roman"/>
                <w:sz w:val="16"/>
                <w:szCs w:val="16"/>
              </w:rPr>
            </w:pPr>
            <w:r>
              <w:rPr>
                <w:rFonts w:ascii="Arial" w:eastAsia="宋体" w:hAnsi="Arial" w:cs="Arial"/>
                <w:b/>
                <w:bCs/>
                <w:sz w:val="16"/>
                <w:szCs w:val="16"/>
              </w:rPr>
              <w:t>GMV:</w:t>
            </w:r>
          </w:p>
        </w:tc>
        <w:tc>
          <w:tcPr>
            <w:tcW w:w="0" w:type="auto"/>
            <w:gridSpan w:val="3"/>
            <w:shd w:val="clear" w:color="auto" w:fill="E2E2E2"/>
            <w:tcMar>
              <w:top w:w="40" w:type="dxa"/>
              <w:left w:w="40" w:type="dxa"/>
              <w:bottom w:w="40" w:type="dxa"/>
              <w:right w:w="40" w:type="dxa"/>
            </w:tcMar>
            <w:vAlign w:val="bottom"/>
          </w:tcPr>
          <w:p w14:paraId="0BC9854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54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54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54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54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54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55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55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55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55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55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56C" w14:textId="77777777">
        <w:tc>
          <w:tcPr>
            <w:tcW w:w="0" w:type="auto"/>
            <w:shd w:val="clear" w:color="auto" w:fill="auto"/>
            <w:tcMar>
              <w:top w:w="40" w:type="dxa"/>
              <w:left w:w="240" w:type="dxa"/>
              <w:bottom w:w="40" w:type="dxa"/>
              <w:right w:w="40" w:type="dxa"/>
            </w:tcMar>
            <w:vAlign w:val="bottom"/>
          </w:tcPr>
          <w:p w14:paraId="0BC98556" w14:textId="77777777" w:rsidR="009F0928" w:rsidRDefault="002112BD">
            <w:pPr>
              <w:textAlignment w:val="bottom"/>
              <w:rPr>
                <w:rFonts w:ascii="Times New Roman" w:hAnsi="Times New Roman"/>
                <w:sz w:val="16"/>
                <w:szCs w:val="16"/>
              </w:rPr>
            </w:pPr>
            <w:r>
              <w:rPr>
                <w:rFonts w:ascii="Arial" w:eastAsia="宋体" w:hAnsi="Arial" w:cs="Arial"/>
                <w:sz w:val="16"/>
                <w:szCs w:val="16"/>
              </w:rPr>
              <w:t>Marketplace</w:t>
            </w:r>
          </w:p>
        </w:tc>
        <w:tc>
          <w:tcPr>
            <w:tcW w:w="0" w:type="auto"/>
            <w:shd w:val="clear" w:color="auto" w:fill="auto"/>
            <w:tcMar>
              <w:top w:w="40" w:type="dxa"/>
              <w:left w:w="40" w:type="dxa"/>
              <w:bottom w:w="40" w:type="dxa"/>
            </w:tcMar>
            <w:vAlign w:val="bottom"/>
          </w:tcPr>
          <w:p w14:paraId="0BC9855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55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85,510</w:t>
            </w:r>
          </w:p>
        </w:tc>
        <w:tc>
          <w:tcPr>
            <w:tcW w:w="0" w:type="auto"/>
            <w:shd w:val="clear" w:color="auto" w:fill="auto"/>
            <w:vAlign w:val="bottom"/>
          </w:tcPr>
          <w:p w14:paraId="0BC9855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55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55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55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(2,745</w:t>
            </w:r>
          </w:p>
        </w:tc>
        <w:tc>
          <w:tcPr>
            <w:tcW w:w="0" w:type="auto"/>
            <w:shd w:val="clear" w:color="auto" w:fill="auto"/>
            <w:tcMar>
              <w:top w:w="40" w:type="dxa"/>
              <w:bottom w:w="40" w:type="dxa"/>
              <w:right w:w="40" w:type="dxa"/>
            </w:tcMar>
            <w:vAlign w:val="bottom"/>
          </w:tcPr>
          <w:p w14:paraId="0BC9855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55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55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56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88,255</w:t>
            </w:r>
          </w:p>
        </w:tc>
        <w:tc>
          <w:tcPr>
            <w:tcW w:w="0" w:type="auto"/>
            <w:shd w:val="clear" w:color="auto" w:fill="auto"/>
            <w:vAlign w:val="bottom"/>
          </w:tcPr>
          <w:p w14:paraId="0BC9856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56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56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56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89,829</w:t>
            </w:r>
          </w:p>
        </w:tc>
        <w:tc>
          <w:tcPr>
            <w:tcW w:w="0" w:type="auto"/>
            <w:shd w:val="clear" w:color="auto" w:fill="auto"/>
            <w:vAlign w:val="bottom"/>
          </w:tcPr>
          <w:p w14:paraId="0BC9856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56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56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auto"/>
            <w:tcMar>
              <w:top w:w="40" w:type="dxa"/>
              <w:bottom w:w="40" w:type="dxa"/>
              <w:right w:w="40" w:type="dxa"/>
            </w:tcMar>
            <w:vAlign w:val="bottom"/>
          </w:tcPr>
          <w:p w14:paraId="0BC98568"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56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56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w:t>
            </w:r>
          </w:p>
        </w:tc>
        <w:tc>
          <w:tcPr>
            <w:tcW w:w="0" w:type="auto"/>
            <w:shd w:val="clear" w:color="auto" w:fill="auto"/>
            <w:tcMar>
              <w:top w:w="40" w:type="dxa"/>
              <w:bottom w:w="40" w:type="dxa"/>
              <w:right w:w="40" w:type="dxa"/>
            </w:tcMar>
            <w:vAlign w:val="bottom"/>
          </w:tcPr>
          <w:p w14:paraId="0BC9856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857F" w14:textId="77777777">
        <w:tc>
          <w:tcPr>
            <w:tcW w:w="0" w:type="auto"/>
            <w:shd w:val="clear" w:color="auto" w:fill="E2E2E2"/>
            <w:tcMar>
              <w:top w:w="40" w:type="dxa"/>
              <w:left w:w="240" w:type="dxa"/>
              <w:bottom w:w="40" w:type="dxa"/>
              <w:right w:w="40" w:type="dxa"/>
            </w:tcMar>
            <w:vAlign w:val="bottom"/>
          </w:tcPr>
          <w:p w14:paraId="0BC9856D" w14:textId="77777777" w:rsidR="009F0928" w:rsidRDefault="002112BD">
            <w:pPr>
              <w:textAlignment w:val="bottom"/>
              <w:rPr>
                <w:rFonts w:ascii="Times New Roman" w:hAnsi="Times New Roman"/>
                <w:sz w:val="16"/>
                <w:szCs w:val="16"/>
              </w:rPr>
            </w:pPr>
            <w:r>
              <w:rPr>
                <w:rFonts w:ascii="Arial" w:eastAsia="宋体" w:hAnsi="Arial" w:cs="Arial"/>
                <w:sz w:val="16"/>
                <w:szCs w:val="16"/>
              </w:rPr>
              <w:t>StubHub</w:t>
            </w:r>
          </w:p>
        </w:tc>
        <w:tc>
          <w:tcPr>
            <w:tcW w:w="0" w:type="auto"/>
            <w:gridSpan w:val="2"/>
            <w:shd w:val="clear" w:color="auto" w:fill="E2E2E2"/>
            <w:tcMar>
              <w:top w:w="40" w:type="dxa"/>
              <w:left w:w="40" w:type="dxa"/>
              <w:bottom w:w="40" w:type="dxa"/>
            </w:tcMar>
            <w:vAlign w:val="bottom"/>
          </w:tcPr>
          <w:p w14:paraId="0BC9856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4,700</w:t>
            </w:r>
          </w:p>
        </w:tc>
        <w:tc>
          <w:tcPr>
            <w:tcW w:w="0" w:type="auto"/>
            <w:shd w:val="clear" w:color="auto" w:fill="E2E2E2"/>
            <w:vAlign w:val="bottom"/>
          </w:tcPr>
          <w:p w14:paraId="0BC9856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57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57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(17</w:t>
            </w:r>
          </w:p>
        </w:tc>
        <w:tc>
          <w:tcPr>
            <w:tcW w:w="0" w:type="auto"/>
            <w:shd w:val="clear" w:color="auto" w:fill="E2E2E2"/>
            <w:tcMar>
              <w:top w:w="40" w:type="dxa"/>
              <w:bottom w:w="40" w:type="dxa"/>
              <w:right w:w="40" w:type="dxa"/>
            </w:tcMar>
            <w:vAlign w:val="bottom"/>
          </w:tcPr>
          <w:p w14:paraId="0BC98572"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57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57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4,717</w:t>
            </w:r>
          </w:p>
        </w:tc>
        <w:tc>
          <w:tcPr>
            <w:tcW w:w="0" w:type="auto"/>
            <w:shd w:val="clear" w:color="auto" w:fill="E2E2E2"/>
            <w:vAlign w:val="bottom"/>
          </w:tcPr>
          <w:p w14:paraId="0BC9857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57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57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4,751</w:t>
            </w:r>
          </w:p>
        </w:tc>
        <w:tc>
          <w:tcPr>
            <w:tcW w:w="0" w:type="auto"/>
            <w:shd w:val="clear" w:color="auto" w:fill="E2E2E2"/>
            <w:vAlign w:val="bottom"/>
          </w:tcPr>
          <w:p w14:paraId="0BC9857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5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57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E2E2E2"/>
            <w:tcMar>
              <w:top w:w="40" w:type="dxa"/>
              <w:bottom w:w="40" w:type="dxa"/>
              <w:right w:w="40" w:type="dxa"/>
            </w:tcMar>
            <w:vAlign w:val="bottom"/>
          </w:tcPr>
          <w:p w14:paraId="0BC9857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57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57D"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E2E2E2"/>
            <w:tcMar>
              <w:top w:w="40" w:type="dxa"/>
              <w:bottom w:w="40" w:type="dxa"/>
              <w:right w:w="40" w:type="dxa"/>
            </w:tcMar>
            <w:vAlign w:val="bottom"/>
          </w:tcPr>
          <w:p w14:paraId="0BC9857E"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8596" w14:textId="77777777">
        <w:tc>
          <w:tcPr>
            <w:tcW w:w="0" w:type="auto"/>
            <w:shd w:val="clear" w:color="auto" w:fill="auto"/>
            <w:tcMar>
              <w:top w:w="40" w:type="dxa"/>
              <w:left w:w="400" w:type="dxa"/>
              <w:bottom w:w="40" w:type="dxa"/>
              <w:right w:w="40" w:type="dxa"/>
            </w:tcMar>
            <w:vAlign w:val="bottom"/>
          </w:tcPr>
          <w:p w14:paraId="0BC98580" w14:textId="77777777" w:rsidR="009F0928" w:rsidRDefault="002112BD">
            <w:pPr>
              <w:textAlignment w:val="bottom"/>
              <w:rPr>
                <w:rFonts w:ascii="Times New Roman" w:hAnsi="Times New Roman"/>
                <w:sz w:val="16"/>
                <w:szCs w:val="16"/>
              </w:rPr>
            </w:pPr>
            <w:r>
              <w:rPr>
                <w:rFonts w:ascii="Arial" w:eastAsia="宋体" w:hAnsi="Arial" w:cs="Arial"/>
                <w:sz w:val="16"/>
                <w:szCs w:val="16"/>
              </w:rPr>
              <w:t>Total G</w:t>
            </w:r>
            <w:r>
              <w:rPr>
                <w:rFonts w:ascii="Arial" w:eastAsia="宋体" w:hAnsi="Arial" w:cs="Arial"/>
                <w:sz w:val="16"/>
                <w:szCs w:val="16"/>
              </w:rPr>
              <w:t>MV</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581"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58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90,210</w:t>
            </w:r>
          </w:p>
        </w:tc>
        <w:tc>
          <w:tcPr>
            <w:tcW w:w="0" w:type="auto"/>
            <w:tcBorders>
              <w:top w:val="single" w:sz="8" w:space="0" w:color="000000"/>
              <w:bottom w:val="double" w:sz="6" w:space="0" w:color="000000"/>
            </w:tcBorders>
            <w:shd w:val="clear" w:color="auto" w:fill="auto"/>
            <w:vAlign w:val="bottom"/>
          </w:tcPr>
          <w:p w14:paraId="0BC9858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58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58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58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(2,762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BC9858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58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58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58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92,972</w:t>
            </w:r>
          </w:p>
        </w:tc>
        <w:tc>
          <w:tcPr>
            <w:tcW w:w="0" w:type="auto"/>
            <w:tcBorders>
              <w:top w:val="single" w:sz="8" w:space="0" w:color="000000"/>
              <w:bottom w:val="double" w:sz="6" w:space="0" w:color="000000"/>
            </w:tcBorders>
            <w:shd w:val="clear" w:color="auto" w:fill="auto"/>
            <w:vAlign w:val="bottom"/>
          </w:tcPr>
          <w:p w14:paraId="0BC9858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58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58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58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94,580</w:t>
            </w:r>
          </w:p>
        </w:tc>
        <w:tc>
          <w:tcPr>
            <w:tcW w:w="0" w:type="auto"/>
            <w:tcBorders>
              <w:top w:val="single" w:sz="8" w:space="0" w:color="000000"/>
              <w:bottom w:val="double" w:sz="6" w:space="0" w:color="000000"/>
            </w:tcBorders>
            <w:shd w:val="clear" w:color="auto" w:fill="auto"/>
            <w:vAlign w:val="bottom"/>
          </w:tcPr>
          <w:p w14:paraId="0BC9858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5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59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BC98592"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5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59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BC9859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85A3" w14:textId="77777777">
        <w:tc>
          <w:tcPr>
            <w:tcW w:w="0" w:type="auto"/>
            <w:shd w:val="clear" w:color="auto" w:fill="E2E2E2"/>
            <w:tcMar>
              <w:top w:w="40" w:type="dxa"/>
              <w:left w:w="40" w:type="dxa"/>
              <w:bottom w:w="40" w:type="dxa"/>
              <w:right w:w="40" w:type="dxa"/>
            </w:tcMar>
            <w:vAlign w:val="bottom"/>
          </w:tcPr>
          <w:p w14:paraId="0BC985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59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59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59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59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59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59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59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59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5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5A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5A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5B0" w14:textId="77777777">
        <w:tc>
          <w:tcPr>
            <w:tcW w:w="0" w:type="auto"/>
            <w:shd w:val="clear" w:color="auto" w:fill="auto"/>
            <w:tcMar>
              <w:top w:w="40" w:type="dxa"/>
              <w:left w:w="40" w:type="dxa"/>
              <w:bottom w:w="40" w:type="dxa"/>
              <w:right w:w="40" w:type="dxa"/>
            </w:tcMar>
            <w:vAlign w:val="bottom"/>
          </w:tcPr>
          <w:p w14:paraId="0BC985A4" w14:textId="77777777" w:rsidR="009F0928" w:rsidRDefault="002112BD">
            <w:pPr>
              <w:textAlignment w:val="bottom"/>
              <w:rPr>
                <w:rFonts w:ascii="Times New Roman" w:hAnsi="Times New Roman"/>
                <w:sz w:val="16"/>
                <w:szCs w:val="16"/>
              </w:rPr>
            </w:pPr>
            <w:r>
              <w:rPr>
                <w:rFonts w:ascii="Arial" w:eastAsia="宋体" w:hAnsi="Arial" w:cs="Arial"/>
                <w:b/>
                <w:bCs/>
                <w:sz w:val="16"/>
                <w:szCs w:val="16"/>
              </w:rPr>
              <w:t>Net Revenues</w:t>
            </w:r>
          </w:p>
        </w:tc>
        <w:tc>
          <w:tcPr>
            <w:tcW w:w="0" w:type="auto"/>
            <w:gridSpan w:val="3"/>
            <w:shd w:val="clear" w:color="auto" w:fill="auto"/>
            <w:tcMar>
              <w:top w:w="40" w:type="dxa"/>
              <w:left w:w="40" w:type="dxa"/>
              <w:bottom w:w="40" w:type="dxa"/>
              <w:right w:w="40" w:type="dxa"/>
            </w:tcMar>
            <w:vAlign w:val="bottom"/>
          </w:tcPr>
          <w:p w14:paraId="0BC985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5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5A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5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5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5A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5A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5A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5A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5A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5A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5BD" w14:textId="77777777">
        <w:tc>
          <w:tcPr>
            <w:tcW w:w="0" w:type="auto"/>
            <w:shd w:val="clear" w:color="auto" w:fill="E2E2E2"/>
            <w:tcMar>
              <w:top w:w="40" w:type="dxa"/>
              <w:left w:w="40" w:type="dxa"/>
              <w:bottom w:w="40" w:type="dxa"/>
              <w:right w:w="40" w:type="dxa"/>
            </w:tcMar>
            <w:vAlign w:val="bottom"/>
          </w:tcPr>
          <w:p w14:paraId="0BC985B1" w14:textId="77777777" w:rsidR="009F0928" w:rsidRDefault="002112BD">
            <w:pPr>
              <w:textAlignment w:val="bottom"/>
              <w:rPr>
                <w:rFonts w:ascii="Times New Roman" w:hAnsi="Times New Roman"/>
                <w:sz w:val="16"/>
                <w:szCs w:val="16"/>
              </w:rPr>
            </w:pPr>
            <w:r>
              <w:rPr>
                <w:rFonts w:ascii="Arial" w:eastAsia="宋体" w:hAnsi="Arial" w:cs="Arial"/>
                <w:sz w:val="16"/>
                <w:szCs w:val="16"/>
              </w:rPr>
              <w:t>Net transaction revenues:</w:t>
            </w:r>
          </w:p>
        </w:tc>
        <w:tc>
          <w:tcPr>
            <w:tcW w:w="0" w:type="auto"/>
            <w:gridSpan w:val="3"/>
            <w:shd w:val="clear" w:color="auto" w:fill="E2E2E2"/>
            <w:tcMar>
              <w:top w:w="40" w:type="dxa"/>
              <w:left w:w="40" w:type="dxa"/>
              <w:bottom w:w="40" w:type="dxa"/>
              <w:right w:w="40" w:type="dxa"/>
            </w:tcMar>
            <w:vAlign w:val="bottom"/>
          </w:tcPr>
          <w:p w14:paraId="0BC985B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5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5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5B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5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5B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5B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5B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5B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5B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5B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5D4" w14:textId="77777777">
        <w:tc>
          <w:tcPr>
            <w:tcW w:w="0" w:type="auto"/>
            <w:shd w:val="clear" w:color="auto" w:fill="auto"/>
            <w:tcMar>
              <w:top w:w="40" w:type="dxa"/>
              <w:left w:w="240" w:type="dxa"/>
              <w:bottom w:w="40" w:type="dxa"/>
              <w:right w:w="40" w:type="dxa"/>
            </w:tcMar>
            <w:vAlign w:val="bottom"/>
          </w:tcPr>
          <w:p w14:paraId="0BC985BE" w14:textId="77777777" w:rsidR="009F0928" w:rsidRDefault="002112BD">
            <w:pPr>
              <w:textAlignment w:val="bottom"/>
              <w:rPr>
                <w:rFonts w:ascii="Times New Roman" w:hAnsi="Times New Roman"/>
                <w:sz w:val="16"/>
                <w:szCs w:val="16"/>
              </w:rPr>
            </w:pPr>
            <w:r>
              <w:rPr>
                <w:rFonts w:ascii="Arial" w:eastAsia="宋体" w:hAnsi="Arial" w:cs="Arial"/>
                <w:sz w:val="16"/>
                <w:szCs w:val="16"/>
              </w:rPr>
              <w:t>Marketplace</w:t>
            </w:r>
            <w:r>
              <w:rPr>
                <w:rFonts w:ascii="Arial" w:eastAsia="宋体" w:hAnsi="Arial" w:cs="Arial"/>
                <w:sz w:val="10"/>
                <w:szCs w:val="10"/>
              </w:rPr>
              <w:t> (3)</w:t>
            </w:r>
          </w:p>
        </w:tc>
        <w:tc>
          <w:tcPr>
            <w:tcW w:w="0" w:type="auto"/>
            <w:shd w:val="clear" w:color="auto" w:fill="auto"/>
            <w:tcMar>
              <w:top w:w="40" w:type="dxa"/>
              <w:left w:w="40" w:type="dxa"/>
              <w:bottom w:w="40" w:type="dxa"/>
            </w:tcMar>
            <w:vAlign w:val="bottom"/>
          </w:tcPr>
          <w:p w14:paraId="0BC985B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5C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7,578</w:t>
            </w:r>
          </w:p>
        </w:tc>
        <w:tc>
          <w:tcPr>
            <w:tcW w:w="0" w:type="auto"/>
            <w:shd w:val="clear" w:color="auto" w:fill="auto"/>
            <w:vAlign w:val="bottom"/>
          </w:tcPr>
          <w:p w14:paraId="0BC985C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5C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5C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5C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(123</w:t>
            </w:r>
          </w:p>
        </w:tc>
        <w:tc>
          <w:tcPr>
            <w:tcW w:w="0" w:type="auto"/>
            <w:shd w:val="clear" w:color="auto" w:fill="auto"/>
            <w:tcMar>
              <w:top w:w="40" w:type="dxa"/>
              <w:bottom w:w="40" w:type="dxa"/>
              <w:right w:w="40" w:type="dxa"/>
            </w:tcMar>
            <w:vAlign w:val="bottom"/>
          </w:tcPr>
          <w:p w14:paraId="0BC985C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5C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5C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5C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7,701</w:t>
            </w:r>
          </w:p>
        </w:tc>
        <w:tc>
          <w:tcPr>
            <w:tcW w:w="0" w:type="auto"/>
            <w:shd w:val="clear" w:color="auto" w:fill="auto"/>
            <w:vAlign w:val="bottom"/>
          </w:tcPr>
          <w:p w14:paraId="0BC985C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5C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5C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5C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7,416</w:t>
            </w:r>
          </w:p>
        </w:tc>
        <w:tc>
          <w:tcPr>
            <w:tcW w:w="0" w:type="auto"/>
            <w:shd w:val="clear" w:color="auto" w:fill="auto"/>
            <w:vAlign w:val="bottom"/>
          </w:tcPr>
          <w:p w14:paraId="0BC985C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5C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5C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w:t>
            </w:r>
          </w:p>
        </w:tc>
        <w:tc>
          <w:tcPr>
            <w:tcW w:w="0" w:type="auto"/>
            <w:shd w:val="clear" w:color="auto" w:fill="auto"/>
            <w:tcMar>
              <w:top w:w="40" w:type="dxa"/>
              <w:bottom w:w="40" w:type="dxa"/>
              <w:right w:w="40" w:type="dxa"/>
            </w:tcMar>
            <w:vAlign w:val="bottom"/>
          </w:tcPr>
          <w:p w14:paraId="0BC985D0"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85D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5D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w:t>
            </w:r>
          </w:p>
        </w:tc>
        <w:tc>
          <w:tcPr>
            <w:tcW w:w="0" w:type="auto"/>
            <w:shd w:val="clear" w:color="auto" w:fill="auto"/>
            <w:tcMar>
              <w:top w:w="40" w:type="dxa"/>
              <w:bottom w:w="40" w:type="dxa"/>
              <w:right w:w="40" w:type="dxa"/>
            </w:tcMar>
            <w:vAlign w:val="bottom"/>
          </w:tcPr>
          <w:p w14:paraId="0BC985D3"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r>
      <w:tr w:rsidR="009F0928" w14:paraId="0BC985E7" w14:textId="77777777">
        <w:tc>
          <w:tcPr>
            <w:tcW w:w="0" w:type="auto"/>
            <w:shd w:val="clear" w:color="auto" w:fill="E2E2E2"/>
            <w:tcMar>
              <w:top w:w="40" w:type="dxa"/>
              <w:left w:w="240" w:type="dxa"/>
              <w:bottom w:w="40" w:type="dxa"/>
              <w:right w:w="40" w:type="dxa"/>
            </w:tcMar>
            <w:vAlign w:val="bottom"/>
          </w:tcPr>
          <w:p w14:paraId="0BC985D5" w14:textId="77777777" w:rsidR="009F0928" w:rsidRDefault="002112BD">
            <w:pPr>
              <w:textAlignment w:val="bottom"/>
              <w:rPr>
                <w:rFonts w:ascii="Times New Roman" w:hAnsi="Times New Roman"/>
                <w:sz w:val="16"/>
                <w:szCs w:val="16"/>
              </w:rPr>
            </w:pPr>
            <w:r>
              <w:rPr>
                <w:rFonts w:ascii="Arial" w:eastAsia="宋体" w:hAnsi="Arial" w:cs="Arial"/>
                <w:sz w:val="16"/>
                <w:szCs w:val="16"/>
              </w:rPr>
              <w:t>StubHub</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5D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1,057</w:t>
            </w:r>
          </w:p>
        </w:tc>
        <w:tc>
          <w:tcPr>
            <w:tcW w:w="0" w:type="auto"/>
            <w:tcBorders>
              <w:bottom w:val="single" w:sz="8" w:space="0" w:color="000000"/>
            </w:tcBorders>
            <w:shd w:val="clear" w:color="auto" w:fill="E2E2E2"/>
            <w:vAlign w:val="bottom"/>
          </w:tcPr>
          <w:p w14:paraId="0BC985D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5D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5D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w:t>
            </w:r>
          </w:p>
        </w:tc>
        <w:tc>
          <w:tcPr>
            <w:tcW w:w="0" w:type="auto"/>
            <w:tcBorders>
              <w:bottom w:val="single" w:sz="8" w:space="0" w:color="000000"/>
            </w:tcBorders>
            <w:shd w:val="clear" w:color="auto" w:fill="E2E2E2"/>
            <w:tcMar>
              <w:top w:w="40" w:type="dxa"/>
              <w:bottom w:w="40" w:type="dxa"/>
              <w:right w:w="40" w:type="dxa"/>
            </w:tcMar>
            <w:vAlign w:val="bottom"/>
          </w:tcPr>
          <w:p w14:paraId="0BC985DA"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5D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5D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1,060</w:t>
            </w:r>
          </w:p>
        </w:tc>
        <w:tc>
          <w:tcPr>
            <w:tcW w:w="0" w:type="auto"/>
            <w:tcBorders>
              <w:bottom w:val="single" w:sz="8" w:space="0" w:color="000000"/>
            </w:tcBorders>
            <w:shd w:val="clear" w:color="auto" w:fill="E2E2E2"/>
            <w:vAlign w:val="bottom"/>
          </w:tcPr>
          <w:p w14:paraId="0BC985D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5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5D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1,068</w:t>
            </w:r>
          </w:p>
        </w:tc>
        <w:tc>
          <w:tcPr>
            <w:tcW w:w="0" w:type="auto"/>
            <w:tcBorders>
              <w:bottom w:val="single" w:sz="8" w:space="0" w:color="000000"/>
            </w:tcBorders>
            <w:shd w:val="clear" w:color="auto" w:fill="E2E2E2"/>
            <w:vAlign w:val="bottom"/>
          </w:tcPr>
          <w:p w14:paraId="0BC985E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5E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E2E2E2"/>
            <w:tcMar>
              <w:top w:w="40" w:type="dxa"/>
              <w:left w:w="40" w:type="dxa"/>
              <w:bottom w:w="40" w:type="dxa"/>
            </w:tcMar>
            <w:vAlign w:val="bottom"/>
          </w:tcPr>
          <w:p w14:paraId="0BC985E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bottom w:val="single" w:sz="8" w:space="0" w:color="000000"/>
            </w:tcBorders>
            <w:shd w:val="clear" w:color="auto" w:fill="E2E2E2"/>
            <w:tcMar>
              <w:top w:w="40" w:type="dxa"/>
              <w:bottom w:w="40" w:type="dxa"/>
              <w:right w:w="40" w:type="dxa"/>
            </w:tcMar>
            <w:vAlign w:val="bottom"/>
          </w:tcPr>
          <w:p w14:paraId="0BC985E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5E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E2E2E2"/>
            <w:tcMar>
              <w:top w:w="40" w:type="dxa"/>
              <w:left w:w="40" w:type="dxa"/>
              <w:bottom w:w="40" w:type="dxa"/>
            </w:tcMar>
            <w:vAlign w:val="bottom"/>
          </w:tcPr>
          <w:p w14:paraId="0BC985E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bottom w:val="single" w:sz="8" w:space="0" w:color="000000"/>
            </w:tcBorders>
            <w:shd w:val="clear" w:color="auto" w:fill="E2E2E2"/>
            <w:tcMar>
              <w:top w:w="40" w:type="dxa"/>
              <w:bottom w:w="40" w:type="dxa"/>
              <w:right w:w="40" w:type="dxa"/>
            </w:tcMar>
            <w:vAlign w:val="bottom"/>
          </w:tcPr>
          <w:p w14:paraId="0BC985E6"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85FA" w14:textId="77777777">
        <w:tc>
          <w:tcPr>
            <w:tcW w:w="0" w:type="auto"/>
            <w:shd w:val="clear" w:color="auto" w:fill="auto"/>
            <w:tcMar>
              <w:top w:w="40" w:type="dxa"/>
              <w:left w:w="400" w:type="dxa"/>
              <w:bottom w:w="40" w:type="dxa"/>
              <w:right w:w="40" w:type="dxa"/>
            </w:tcMar>
            <w:vAlign w:val="bottom"/>
          </w:tcPr>
          <w:p w14:paraId="0BC985E8" w14:textId="77777777" w:rsidR="009F0928" w:rsidRDefault="002112BD">
            <w:pPr>
              <w:textAlignment w:val="bottom"/>
              <w:rPr>
                <w:rFonts w:ascii="Times New Roman" w:hAnsi="Times New Roman"/>
                <w:sz w:val="16"/>
                <w:szCs w:val="16"/>
              </w:rPr>
            </w:pPr>
            <w:r>
              <w:rPr>
                <w:rFonts w:ascii="Arial" w:eastAsia="宋体" w:hAnsi="Arial" w:cs="Arial"/>
                <w:sz w:val="16"/>
                <w:szCs w:val="16"/>
              </w:rPr>
              <w:t xml:space="preserve">Total </w:t>
            </w:r>
          </w:p>
        </w:tc>
        <w:tc>
          <w:tcPr>
            <w:tcW w:w="0" w:type="auto"/>
            <w:gridSpan w:val="2"/>
            <w:shd w:val="clear" w:color="auto" w:fill="auto"/>
            <w:tcMar>
              <w:top w:w="40" w:type="dxa"/>
              <w:left w:w="40" w:type="dxa"/>
              <w:bottom w:w="40" w:type="dxa"/>
            </w:tcMar>
            <w:vAlign w:val="bottom"/>
          </w:tcPr>
          <w:p w14:paraId="0BC985E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8,635</w:t>
            </w:r>
          </w:p>
        </w:tc>
        <w:tc>
          <w:tcPr>
            <w:tcW w:w="0" w:type="auto"/>
            <w:shd w:val="clear" w:color="auto" w:fill="auto"/>
            <w:vAlign w:val="bottom"/>
          </w:tcPr>
          <w:p w14:paraId="0BC985E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5E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5E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(126</w:t>
            </w:r>
          </w:p>
        </w:tc>
        <w:tc>
          <w:tcPr>
            <w:tcW w:w="0" w:type="auto"/>
            <w:shd w:val="clear" w:color="auto" w:fill="auto"/>
            <w:tcMar>
              <w:top w:w="40" w:type="dxa"/>
              <w:bottom w:w="40" w:type="dxa"/>
              <w:right w:w="40" w:type="dxa"/>
            </w:tcMar>
            <w:vAlign w:val="bottom"/>
          </w:tcPr>
          <w:p w14:paraId="0BC985E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5E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5E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8,761</w:t>
            </w:r>
          </w:p>
        </w:tc>
        <w:tc>
          <w:tcPr>
            <w:tcW w:w="0" w:type="auto"/>
            <w:shd w:val="clear" w:color="auto" w:fill="auto"/>
            <w:vAlign w:val="bottom"/>
          </w:tcPr>
          <w:p w14:paraId="0BC985F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5F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5F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8,484</w:t>
            </w:r>
          </w:p>
        </w:tc>
        <w:tc>
          <w:tcPr>
            <w:tcW w:w="0" w:type="auto"/>
            <w:shd w:val="clear" w:color="auto" w:fill="auto"/>
            <w:vAlign w:val="bottom"/>
          </w:tcPr>
          <w:p w14:paraId="0BC985F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5F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5F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w:t>
            </w:r>
          </w:p>
        </w:tc>
        <w:tc>
          <w:tcPr>
            <w:tcW w:w="0" w:type="auto"/>
            <w:shd w:val="clear" w:color="auto" w:fill="auto"/>
            <w:tcMar>
              <w:top w:w="40" w:type="dxa"/>
              <w:bottom w:w="40" w:type="dxa"/>
              <w:right w:w="40" w:type="dxa"/>
            </w:tcMar>
            <w:vAlign w:val="bottom"/>
          </w:tcPr>
          <w:p w14:paraId="0BC985F6"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85F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5F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w:t>
            </w:r>
          </w:p>
        </w:tc>
        <w:tc>
          <w:tcPr>
            <w:tcW w:w="0" w:type="auto"/>
            <w:shd w:val="clear" w:color="auto" w:fill="auto"/>
            <w:tcMar>
              <w:top w:w="40" w:type="dxa"/>
              <w:bottom w:w="40" w:type="dxa"/>
              <w:right w:w="40" w:type="dxa"/>
            </w:tcMar>
            <w:vAlign w:val="bottom"/>
          </w:tcPr>
          <w:p w14:paraId="0BC985F9"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r>
      <w:tr w:rsidR="009F0928" w14:paraId="0BC98607" w14:textId="77777777">
        <w:tc>
          <w:tcPr>
            <w:tcW w:w="0" w:type="auto"/>
            <w:shd w:val="clear" w:color="auto" w:fill="E2E2E2"/>
            <w:tcMar>
              <w:top w:w="40" w:type="dxa"/>
              <w:left w:w="40" w:type="dxa"/>
              <w:bottom w:w="40" w:type="dxa"/>
              <w:right w:w="40" w:type="dxa"/>
            </w:tcMar>
            <w:vAlign w:val="bottom"/>
          </w:tcPr>
          <w:p w14:paraId="0BC985FB" w14:textId="77777777" w:rsidR="009F0928" w:rsidRDefault="002112BD">
            <w:pPr>
              <w:textAlignment w:val="bottom"/>
              <w:rPr>
                <w:rFonts w:ascii="Times New Roman" w:hAnsi="Times New Roman"/>
                <w:sz w:val="16"/>
                <w:szCs w:val="16"/>
              </w:rPr>
            </w:pPr>
            <w:r>
              <w:rPr>
                <w:rFonts w:ascii="Arial" w:eastAsia="宋体" w:hAnsi="Arial" w:cs="Arial"/>
                <w:sz w:val="16"/>
                <w:szCs w:val="16"/>
              </w:rPr>
              <w:t>Marketi</w:t>
            </w:r>
            <w:r>
              <w:rPr>
                <w:rFonts w:ascii="Arial" w:eastAsia="宋体" w:hAnsi="Arial" w:cs="Arial"/>
                <w:sz w:val="16"/>
                <w:szCs w:val="16"/>
              </w:rPr>
              <w:t>ng services and other revenues:</w:t>
            </w:r>
          </w:p>
        </w:tc>
        <w:tc>
          <w:tcPr>
            <w:tcW w:w="0" w:type="auto"/>
            <w:gridSpan w:val="3"/>
            <w:shd w:val="clear" w:color="auto" w:fill="E2E2E2"/>
            <w:tcMar>
              <w:top w:w="40" w:type="dxa"/>
              <w:left w:w="40" w:type="dxa"/>
              <w:bottom w:w="40" w:type="dxa"/>
              <w:right w:w="40" w:type="dxa"/>
            </w:tcMar>
            <w:vAlign w:val="bottom"/>
          </w:tcPr>
          <w:p w14:paraId="0BC985F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5F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5F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5F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6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60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60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60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6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60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60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61A" w14:textId="77777777">
        <w:tc>
          <w:tcPr>
            <w:tcW w:w="0" w:type="auto"/>
            <w:shd w:val="clear" w:color="auto" w:fill="auto"/>
            <w:tcMar>
              <w:top w:w="40" w:type="dxa"/>
              <w:left w:w="240" w:type="dxa"/>
              <w:bottom w:w="40" w:type="dxa"/>
              <w:right w:w="40" w:type="dxa"/>
            </w:tcMar>
            <w:vAlign w:val="bottom"/>
          </w:tcPr>
          <w:p w14:paraId="0BC98608" w14:textId="77777777" w:rsidR="009F0928" w:rsidRDefault="002112BD">
            <w:pPr>
              <w:textAlignment w:val="bottom"/>
              <w:rPr>
                <w:rFonts w:ascii="Times New Roman" w:hAnsi="Times New Roman"/>
                <w:sz w:val="16"/>
                <w:szCs w:val="16"/>
              </w:rPr>
            </w:pPr>
            <w:r>
              <w:rPr>
                <w:rFonts w:ascii="Arial" w:eastAsia="宋体" w:hAnsi="Arial" w:cs="Arial"/>
                <w:sz w:val="16"/>
                <w:szCs w:val="16"/>
              </w:rPr>
              <w:t>Marketplace</w:t>
            </w:r>
          </w:p>
        </w:tc>
        <w:tc>
          <w:tcPr>
            <w:tcW w:w="0" w:type="auto"/>
            <w:gridSpan w:val="2"/>
            <w:shd w:val="clear" w:color="auto" w:fill="auto"/>
            <w:tcMar>
              <w:top w:w="40" w:type="dxa"/>
              <w:left w:w="40" w:type="dxa"/>
              <w:bottom w:w="40" w:type="dxa"/>
            </w:tcMar>
            <w:vAlign w:val="bottom"/>
          </w:tcPr>
          <w:p w14:paraId="0BC9860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1,060</w:t>
            </w:r>
          </w:p>
        </w:tc>
        <w:tc>
          <w:tcPr>
            <w:tcW w:w="0" w:type="auto"/>
            <w:shd w:val="clear" w:color="auto" w:fill="auto"/>
            <w:vAlign w:val="bottom"/>
          </w:tcPr>
          <w:p w14:paraId="0BC9860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0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60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(30</w:t>
            </w:r>
          </w:p>
        </w:tc>
        <w:tc>
          <w:tcPr>
            <w:tcW w:w="0" w:type="auto"/>
            <w:shd w:val="clear" w:color="auto" w:fill="auto"/>
            <w:tcMar>
              <w:top w:w="40" w:type="dxa"/>
              <w:bottom w:w="40" w:type="dxa"/>
              <w:right w:w="40" w:type="dxa"/>
            </w:tcMar>
            <w:vAlign w:val="bottom"/>
          </w:tcPr>
          <w:p w14:paraId="0BC9860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60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60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1,090</w:t>
            </w:r>
          </w:p>
        </w:tc>
        <w:tc>
          <w:tcPr>
            <w:tcW w:w="0" w:type="auto"/>
            <w:shd w:val="clear" w:color="auto" w:fill="auto"/>
            <w:vAlign w:val="bottom"/>
          </w:tcPr>
          <w:p w14:paraId="0BC9861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1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61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1,225</w:t>
            </w:r>
          </w:p>
        </w:tc>
        <w:tc>
          <w:tcPr>
            <w:tcW w:w="0" w:type="auto"/>
            <w:shd w:val="clear" w:color="auto" w:fill="auto"/>
            <w:vAlign w:val="bottom"/>
          </w:tcPr>
          <w:p w14:paraId="0BC9861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1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61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(13</w:t>
            </w:r>
          </w:p>
        </w:tc>
        <w:tc>
          <w:tcPr>
            <w:tcW w:w="0" w:type="auto"/>
            <w:shd w:val="clear" w:color="auto" w:fill="auto"/>
            <w:tcMar>
              <w:top w:w="40" w:type="dxa"/>
              <w:bottom w:w="40" w:type="dxa"/>
              <w:right w:w="40" w:type="dxa"/>
            </w:tcMar>
            <w:vAlign w:val="bottom"/>
          </w:tcPr>
          <w:p w14:paraId="0BC98616"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61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61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(11</w:t>
            </w:r>
          </w:p>
        </w:tc>
        <w:tc>
          <w:tcPr>
            <w:tcW w:w="0" w:type="auto"/>
            <w:shd w:val="clear" w:color="auto" w:fill="auto"/>
            <w:tcMar>
              <w:top w:w="40" w:type="dxa"/>
              <w:bottom w:w="40" w:type="dxa"/>
              <w:right w:w="40" w:type="dxa"/>
            </w:tcMar>
            <w:vAlign w:val="bottom"/>
          </w:tcPr>
          <w:p w14:paraId="0BC9861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862D" w14:textId="77777777">
        <w:tc>
          <w:tcPr>
            <w:tcW w:w="0" w:type="auto"/>
            <w:shd w:val="clear" w:color="auto" w:fill="E2E2E2"/>
            <w:tcMar>
              <w:top w:w="40" w:type="dxa"/>
              <w:left w:w="240" w:type="dxa"/>
              <w:bottom w:w="40" w:type="dxa"/>
              <w:right w:w="40" w:type="dxa"/>
            </w:tcMar>
            <w:vAlign w:val="bottom"/>
          </w:tcPr>
          <w:p w14:paraId="0BC9861B" w14:textId="77777777" w:rsidR="009F0928" w:rsidRDefault="002112BD">
            <w:pPr>
              <w:textAlignment w:val="bottom"/>
              <w:rPr>
                <w:rFonts w:ascii="Times New Roman" w:hAnsi="Times New Roman"/>
                <w:sz w:val="16"/>
                <w:szCs w:val="16"/>
              </w:rPr>
            </w:pPr>
            <w:r>
              <w:rPr>
                <w:rFonts w:ascii="Arial" w:eastAsia="宋体" w:hAnsi="Arial" w:cs="Arial"/>
                <w:sz w:val="16"/>
                <w:szCs w:val="16"/>
              </w:rPr>
              <w:t>Classif</w:t>
            </w:r>
            <w:r>
              <w:rPr>
                <w:rFonts w:ascii="Arial" w:eastAsia="宋体" w:hAnsi="Arial" w:cs="Arial"/>
                <w:sz w:val="16"/>
                <w:szCs w:val="16"/>
              </w:rPr>
              <w:t>ieds</w:t>
            </w:r>
          </w:p>
        </w:tc>
        <w:tc>
          <w:tcPr>
            <w:tcW w:w="0" w:type="auto"/>
            <w:gridSpan w:val="2"/>
            <w:shd w:val="clear" w:color="auto" w:fill="E2E2E2"/>
            <w:tcMar>
              <w:top w:w="40" w:type="dxa"/>
              <w:left w:w="40" w:type="dxa"/>
              <w:bottom w:w="40" w:type="dxa"/>
            </w:tcMar>
            <w:vAlign w:val="bottom"/>
          </w:tcPr>
          <w:p w14:paraId="0BC9861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1,061</w:t>
            </w:r>
          </w:p>
        </w:tc>
        <w:tc>
          <w:tcPr>
            <w:tcW w:w="0" w:type="auto"/>
            <w:shd w:val="clear" w:color="auto" w:fill="E2E2E2"/>
            <w:vAlign w:val="bottom"/>
          </w:tcPr>
          <w:p w14:paraId="0BC9861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6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61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(55</w:t>
            </w:r>
          </w:p>
        </w:tc>
        <w:tc>
          <w:tcPr>
            <w:tcW w:w="0" w:type="auto"/>
            <w:shd w:val="clear" w:color="auto" w:fill="E2E2E2"/>
            <w:tcMar>
              <w:top w:w="40" w:type="dxa"/>
              <w:bottom w:w="40" w:type="dxa"/>
              <w:right w:w="40" w:type="dxa"/>
            </w:tcMar>
            <w:vAlign w:val="bottom"/>
          </w:tcPr>
          <w:p w14:paraId="0BC98620"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62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62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1,116</w:t>
            </w:r>
          </w:p>
        </w:tc>
        <w:tc>
          <w:tcPr>
            <w:tcW w:w="0" w:type="auto"/>
            <w:shd w:val="clear" w:color="auto" w:fill="E2E2E2"/>
            <w:vAlign w:val="bottom"/>
          </w:tcPr>
          <w:p w14:paraId="0BC9862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62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62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1,022</w:t>
            </w:r>
          </w:p>
        </w:tc>
        <w:tc>
          <w:tcPr>
            <w:tcW w:w="0" w:type="auto"/>
            <w:shd w:val="clear" w:color="auto" w:fill="E2E2E2"/>
            <w:vAlign w:val="bottom"/>
          </w:tcPr>
          <w:p w14:paraId="0BC9862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62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62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w:t>
            </w:r>
          </w:p>
        </w:tc>
        <w:tc>
          <w:tcPr>
            <w:tcW w:w="0" w:type="auto"/>
            <w:shd w:val="clear" w:color="auto" w:fill="E2E2E2"/>
            <w:tcMar>
              <w:top w:w="40" w:type="dxa"/>
              <w:bottom w:w="40" w:type="dxa"/>
              <w:right w:w="40" w:type="dxa"/>
            </w:tcMar>
            <w:vAlign w:val="bottom"/>
          </w:tcPr>
          <w:p w14:paraId="0BC98629"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862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62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w:t>
            </w:r>
          </w:p>
        </w:tc>
        <w:tc>
          <w:tcPr>
            <w:tcW w:w="0" w:type="auto"/>
            <w:shd w:val="clear" w:color="auto" w:fill="E2E2E2"/>
            <w:tcMar>
              <w:top w:w="40" w:type="dxa"/>
              <w:bottom w:w="40" w:type="dxa"/>
              <w:right w:w="40" w:type="dxa"/>
            </w:tcMar>
            <w:vAlign w:val="bottom"/>
          </w:tcPr>
          <w:p w14:paraId="0BC9862C"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r>
      <w:tr w:rsidR="009F0928" w14:paraId="0BC98640" w14:textId="77777777">
        <w:tc>
          <w:tcPr>
            <w:tcW w:w="0" w:type="auto"/>
            <w:shd w:val="clear" w:color="auto" w:fill="auto"/>
            <w:tcMar>
              <w:top w:w="40" w:type="dxa"/>
              <w:left w:w="240" w:type="dxa"/>
              <w:bottom w:w="40" w:type="dxa"/>
              <w:right w:w="40" w:type="dxa"/>
            </w:tcMar>
            <w:vAlign w:val="bottom"/>
          </w:tcPr>
          <w:p w14:paraId="0BC9862E" w14:textId="77777777" w:rsidR="009F0928" w:rsidRDefault="002112BD">
            <w:pPr>
              <w:textAlignment w:val="bottom"/>
              <w:rPr>
                <w:rFonts w:ascii="Times New Roman" w:hAnsi="Times New Roman"/>
                <w:sz w:val="16"/>
                <w:szCs w:val="16"/>
              </w:rPr>
            </w:pPr>
            <w:r>
              <w:rPr>
                <w:rFonts w:ascii="Arial" w:eastAsia="宋体" w:hAnsi="Arial" w:cs="Arial"/>
                <w:sz w:val="16"/>
                <w:szCs w:val="16"/>
              </w:rPr>
              <w:t>StubHub</w:t>
            </w:r>
          </w:p>
        </w:tc>
        <w:tc>
          <w:tcPr>
            <w:tcW w:w="0" w:type="auto"/>
            <w:gridSpan w:val="2"/>
            <w:shd w:val="clear" w:color="auto" w:fill="auto"/>
            <w:tcMar>
              <w:top w:w="40" w:type="dxa"/>
              <w:left w:w="40" w:type="dxa"/>
              <w:bottom w:w="40" w:type="dxa"/>
            </w:tcMar>
            <w:vAlign w:val="bottom"/>
          </w:tcPr>
          <w:p w14:paraId="0BC9862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64</w:t>
            </w:r>
          </w:p>
        </w:tc>
        <w:tc>
          <w:tcPr>
            <w:tcW w:w="0" w:type="auto"/>
            <w:shd w:val="clear" w:color="auto" w:fill="auto"/>
            <w:vAlign w:val="bottom"/>
          </w:tcPr>
          <w:p w14:paraId="0BC9863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3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63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0BC9863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3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63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64</w:t>
            </w:r>
          </w:p>
        </w:tc>
        <w:tc>
          <w:tcPr>
            <w:tcW w:w="0" w:type="auto"/>
            <w:shd w:val="clear" w:color="auto" w:fill="auto"/>
            <w:vAlign w:val="bottom"/>
          </w:tcPr>
          <w:p w14:paraId="0BC9863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63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15</w:t>
            </w:r>
          </w:p>
        </w:tc>
        <w:tc>
          <w:tcPr>
            <w:tcW w:w="0" w:type="auto"/>
            <w:shd w:val="clear" w:color="auto" w:fill="auto"/>
            <w:vAlign w:val="bottom"/>
          </w:tcPr>
          <w:p w14:paraId="0BC9863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63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0BC9863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63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0BC9863F" w14:textId="77777777" w:rsidR="009F0928" w:rsidRDefault="009F0928">
            <w:pPr>
              <w:textAlignment w:val="bottom"/>
              <w:rPr>
                <w:rFonts w:ascii="Times New Roman" w:hAnsi="Times New Roman"/>
                <w:sz w:val="20"/>
                <w:szCs w:val="20"/>
              </w:rPr>
            </w:pPr>
          </w:p>
        </w:tc>
      </w:tr>
      <w:tr w:rsidR="009F0928" w14:paraId="0BC98653" w14:textId="77777777">
        <w:tc>
          <w:tcPr>
            <w:tcW w:w="0" w:type="auto"/>
            <w:shd w:val="clear" w:color="auto" w:fill="E2E2E2"/>
            <w:tcMar>
              <w:top w:w="40" w:type="dxa"/>
              <w:left w:w="240" w:type="dxa"/>
              <w:bottom w:w="40" w:type="dxa"/>
              <w:right w:w="40" w:type="dxa"/>
            </w:tcMar>
            <w:vAlign w:val="bottom"/>
          </w:tcPr>
          <w:p w14:paraId="0BC98641" w14:textId="77777777" w:rsidR="009F0928" w:rsidRDefault="002112BD">
            <w:pPr>
              <w:textAlignment w:val="bottom"/>
              <w:rPr>
                <w:rFonts w:ascii="Times New Roman" w:hAnsi="Times New Roman"/>
                <w:sz w:val="16"/>
                <w:szCs w:val="16"/>
              </w:rPr>
            </w:pPr>
            <w:r>
              <w:rPr>
                <w:rFonts w:ascii="Arial" w:eastAsia="宋体" w:hAnsi="Arial" w:cs="Arial"/>
                <w:sz w:val="16"/>
                <w:szCs w:val="16"/>
              </w:rPr>
              <w:t>Elimination of inter-segment net revenue</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64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(20</w:t>
            </w:r>
          </w:p>
        </w:tc>
        <w:tc>
          <w:tcPr>
            <w:tcW w:w="0" w:type="auto"/>
            <w:tcBorders>
              <w:bottom w:val="single" w:sz="8" w:space="0" w:color="000000"/>
            </w:tcBorders>
            <w:shd w:val="clear" w:color="auto" w:fill="E2E2E2"/>
            <w:tcMar>
              <w:top w:w="40" w:type="dxa"/>
              <w:bottom w:w="40" w:type="dxa"/>
              <w:right w:w="40" w:type="dxa"/>
            </w:tcMar>
            <w:vAlign w:val="bottom"/>
          </w:tcPr>
          <w:p w14:paraId="0BC9864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64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64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E2E2E2"/>
            <w:vAlign w:val="bottom"/>
          </w:tcPr>
          <w:p w14:paraId="0BC9864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64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64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(20</w:t>
            </w:r>
          </w:p>
        </w:tc>
        <w:tc>
          <w:tcPr>
            <w:tcW w:w="0" w:type="auto"/>
            <w:tcBorders>
              <w:bottom w:val="single" w:sz="8" w:space="0" w:color="000000"/>
            </w:tcBorders>
            <w:shd w:val="clear" w:color="auto" w:fill="E2E2E2"/>
            <w:tcMar>
              <w:top w:w="40" w:type="dxa"/>
              <w:bottom w:w="40" w:type="dxa"/>
              <w:right w:w="40" w:type="dxa"/>
            </w:tcMar>
            <w:vAlign w:val="bottom"/>
          </w:tcPr>
          <w:p w14:paraId="0BC9864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64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64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E2E2E2"/>
            <w:vAlign w:val="bottom"/>
          </w:tcPr>
          <w:p w14:paraId="0BC9864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64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E2E2E2"/>
            <w:tcMar>
              <w:top w:w="40" w:type="dxa"/>
              <w:left w:w="40" w:type="dxa"/>
              <w:bottom w:w="40" w:type="dxa"/>
            </w:tcMar>
            <w:vAlign w:val="bottom"/>
          </w:tcPr>
          <w:p w14:paraId="0BC9864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E2E2E2"/>
            <w:vAlign w:val="bottom"/>
          </w:tcPr>
          <w:p w14:paraId="0BC9864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65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E2E2E2"/>
            <w:tcMar>
              <w:top w:w="40" w:type="dxa"/>
              <w:left w:w="40" w:type="dxa"/>
              <w:bottom w:w="40" w:type="dxa"/>
            </w:tcMar>
            <w:vAlign w:val="bottom"/>
          </w:tcPr>
          <w:p w14:paraId="0BC9865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E2E2E2"/>
            <w:vAlign w:val="bottom"/>
          </w:tcPr>
          <w:p w14:paraId="0BC98652" w14:textId="77777777" w:rsidR="009F0928" w:rsidRDefault="009F0928">
            <w:pPr>
              <w:textAlignment w:val="bottom"/>
              <w:rPr>
                <w:rFonts w:ascii="Times New Roman" w:hAnsi="Times New Roman"/>
                <w:sz w:val="20"/>
                <w:szCs w:val="20"/>
              </w:rPr>
            </w:pPr>
          </w:p>
        </w:tc>
      </w:tr>
      <w:tr w:rsidR="009F0928" w14:paraId="0BC98666" w14:textId="77777777">
        <w:tc>
          <w:tcPr>
            <w:tcW w:w="0" w:type="auto"/>
            <w:shd w:val="clear" w:color="auto" w:fill="auto"/>
            <w:tcMar>
              <w:top w:w="40" w:type="dxa"/>
              <w:left w:w="400" w:type="dxa"/>
              <w:bottom w:w="40" w:type="dxa"/>
              <w:right w:w="40" w:type="dxa"/>
            </w:tcMar>
            <w:vAlign w:val="bottom"/>
          </w:tcPr>
          <w:p w14:paraId="0BC98654" w14:textId="77777777" w:rsidR="009F0928" w:rsidRDefault="002112BD">
            <w:pPr>
              <w:textAlignment w:val="bottom"/>
              <w:rPr>
                <w:rFonts w:ascii="Times New Roman" w:hAnsi="Times New Roman"/>
                <w:sz w:val="16"/>
                <w:szCs w:val="16"/>
              </w:rPr>
            </w:pPr>
            <w:r>
              <w:rPr>
                <w:rFonts w:ascii="Arial" w:eastAsia="宋体" w:hAnsi="Arial" w:cs="Arial"/>
                <w:sz w:val="16"/>
                <w:szCs w:val="16"/>
              </w:rPr>
              <w:t xml:space="preserve">Total </w:t>
            </w:r>
          </w:p>
        </w:tc>
        <w:tc>
          <w:tcPr>
            <w:tcW w:w="0" w:type="auto"/>
            <w:gridSpan w:val="2"/>
            <w:shd w:val="clear" w:color="auto" w:fill="auto"/>
            <w:tcMar>
              <w:top w:w="40" w:type="dxa"/>
              <w:left w:w="40" w:type="dxa"/>
              <w:bottom w:w="40" w:type="dxa"/>
            </w:tcMar>
            <w:vAlign w:val="bottom"/>
          </w:tcPr>
          <w:p w14:paraId="0BC9865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2,165</w:t>
            </w:r>
          </w:p>
        </w:tc>
        <w:tc>
          <w:tcPr>
            <w:tcW w:w="0" w:type="auto"/>
            <w:shd w:val="clear" w:color="auto" w:fill="auto"/>
            <w:vAlign w:val="bottom"/>
          </w:tcPr>
          <w:p w14:paraId="0BC9865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5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65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(85</w:t>
            </w:r>
          </w:p>
        </w:tc>
        <w:tc>
          <w:tcPr>
            <w:tcW w:w="0" w:type="auto"/>
            <w:shd w:val="clear" w:color="auto" w:fill="auto"/>
            <w:tcMar>
              <w:top w:w="40" w:type="dxa"/>
              <w:bottom w:w="40" w:type="dxa"/>
              <w:right w:w="40" w:type="dxa"/>
            </w:tcMar>
            <w:vAlign w:val="bottom"/>
          </w:tcPr>
          <w:p w14:paraId="0BC9865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65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65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2,250</w:t>
            </w:r>
          </w:p>
        </w:tc>
        <w:tc>
          <w:tcPr>
            <w:tcW w:w="0" w:type="auto"/>
            <w:shd w:val="clear" w:color="auto" w:fill="auto"/>
            <w:vAlign w:val="bottom"/>
          </w:tcPr>
          <w:p w14:paraId="0BC9865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5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65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2,262</w:t>
            </w:r>
          </w:p>
        </w:tc>
        <w:tc>
          <w:tcPr>
            <w:tcW w:w="0" w:type="auto"/>
            <w:shd w:val="clear" w:color="auto" w:fill="auto"/>
            <w:vAlign w:val="bottom"/>
          </w:tcPr>
          <w:p w14:paraId="0BC9865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6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66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w:t>
            </w:r>
          </w:p>
        </w:tc>
        <w:tc>
          <w:tcPr>
            <w:tcW w:w="0" w:type="auto"/>
            <w:shd w:val="clear" w:color="auto" w:fill="auto"/>
            <w:tcMar>
              <w:top w:w="40" w:type="dxa"/>
              <w:bottom w:w="40" w:type="dxa"/>
              <w:right w:w="40" w:type="dxa"/>
            </w:tcMar>
            <w:vAlign w:val="bottom"/>
          </w:tcPr>
          <w:p w14:paraId="0BC98662"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66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66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auto"/>
            <w:tcMar>
              <w:top w:w="40" w:type="dxa"/>
              <w:bottom w:w="40" w:type="dxa"/>
              <w:right w:w="40" w:type="dxa"/>
            </w:tcMar>
            <w:vAlign w:val="bottom"/>
          </w:tcPr>
          <w:p w14:paraId="0BC9866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867D" w14:textId="77777777">
        <w:tc>
          <w:tcPr>
            <w:tcW w:w="0" w:type="auto"/>
            <w:shd w:val="clear" w:color="auto" w:fill="E2E2E2"/>
            <w:tcMar>
              <w:top w:w="40" w:type="dxa"/>
              <w:left w:w="560" w:type="dxa"/>
              <w:bottom w:w="40" w:type="dxa"/>
              <w:right w:w="40" w:type="dxa"/>
            </w:tcMar>
            <w:vAlign w:val="bottom"/>
          </w:tcPr>
          <w:p w14:paraId="0BC98667" w14:textId="77777777" w:rsidR="009F0928" w:rsidRDefault="002112BD">
            <w:pPr>
              <w:textAlignment w:val="bottom"/>
              <w:rPr>
                <w:rFonts w:ascii="Times New Roman" w:hAnsi="Times New Roman"/>
                <w:sz w:val="16"/>
                <w:szCs w:val="16"/>
              </w:rPr>
            </w:pPr>
            <w:r>
              <w:rPr>
                <w:rFonts w:ascii="Arial" w:eastAsia="宋体" w:hAnsi="Arial" w:cs="Arial"/>
                <w:sz w:val="16"/>
                <w:szCs w:val="16"/>
              </w:rPr>
              <w:t>Total n</w:t>
            </w:r>
            <w:r>
              <w:rPr>
                <w:rFonts w:ascii="Arial" w:eastAsia="宋体" w:hAnsi="Arial" w:cs="Arial"/>
                <w:sz w:val="16"/>
                <w:szCs w:val="16"/>
              </w:rPr>
              <w:t>et revenues</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668"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66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10,800</w:t>
            </w:r>
          </w:p>
        </w:tc>
        <w:tc>
          <w:tcPr>
            <w:tcW w:w="0" w:type="auto"/>
            <w:tcBorders>
              <w:top w:val="single" w:sz="8" w:space="0" w:color="000000"/>
              <w:bottom w:val="double" w:sz="6" w:space="0" w:color="000000"/>
            </w:tcBorders>
            <w:shd w:val="clear" w:color="auto" w:fill="E2E2E2"/>
            <w:vAlign w:val="bottom"/>
          </w:tcPr>
          <w:p w14:paraId="0BC9866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66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66C"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66D"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(211</w:t>
            </w:r>
          </w:p>
        </w:tc>
        <w:tc>
          <w:tcPr>
            <w:tcW w:w="0" w:type="auto"/>
            <w:tcBorders>
              <w:top w:val="single" w:sz="8" w:space="0" w:color="000000"/>
              <w:bottom w:val="double" w:sz="6" w:space="0" w:color="000000"/>
            </w:tcBorders>
            <w:shd w:val="clear" w:color="auto" w:fill="E2E2E2"/>
            <w:tcMar>
              <w:top w:w="40" w:type="dxa"/>
              <w:bottom w:w="40" w:type="dxa"/>
              <w:right w:w="40" w:type="dxa"/>
            </w:tcMar>
            <w:vAlign w:val="bottom"/>
          </w:tcPr>
          <w:p w14:paraId="0BC9866E"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866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670"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67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11,011</w:t>
            </w:r>
          </w:p>
        </w:tc>
        <w:tc>
          <w:tcPr>
            <w:tcW w:w="0" w:type="auto"/>
            <w:tcBorders>
              <w:top w:val="single" w:sz="8" w:space="0" w:color="000000"/>
              <w:bottom w:val="double" w:sz="6" w:space="0" w:color="000000"/>
            </w:tcBorders>
            <w:shd w:val="clear" w:color="auto" w:fill="E2E2E2"/>
            <w:vAlign w:val="bottom"/>
          </w:tcPr>
          <w:p w14:paraId="0BC9867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67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674"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67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10,746</w:t>
            </w:r>
          </w:p>
        </w:tc>
        <w:tc>
          <w:tcPr>
            <w:tcW w:w="0" w:type="auto"/>
            <w:tcBorders>
              <w:top w:val="single" w:sz="8" w:space="0" w:color="000000"/>
              <w:bottom w:val="double" w:sz="6" w:space="0" w:color="000000"/>
            </w:tcBorders>
            <w:shd w:val="clear" w:color="auto" w:fill="E2E2E2"/>
            <w:vAlign w:val="bottom"/>
          </w:tcPr>
          <w:p w14:paraId="0BC9867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67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67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top w:val="single" w:sz="8" w:space="0" w:color="000000"/>
              <w:bottom w:val="double" w:sz="6" w:space="0" w:color="000000"/>
            </w:tcBorders>
            <w:shd w:val="clear" w:color="auto" w:fill="E2E2E2"/>
            <w:tcMar>
              <w:top w:w="40" w:type="dxa"/>
              <w:bottom w:w="40" w:type="dxa"/>
              <w:right w:w="40" w:type="dxa"/>
            </w:tcMar>
            <w:vAlign w:val="bottom"/>
          </w:tcPr>
          <w:p w14:paraId="0BC98679"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867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67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w:t>
            </w:r>
          </w:p>
        </w:tc>
        <w:tc>
          <w:tcPr>
            <w:tcW w:w="0" w:type="auto"/>
            <w:tcBorders>
              <w:top w:val="single" w:sz="8" w:space="0" w:color="000000"/>
              <w:bottom w:val="double" w:sz="6" w:space="0" w:color="000000"/>
            </w:tcBorders>
            <w:shd w:val="clear" w:color="auto" w:fill="E2E2E2"/>
            <w:tcMar>
              <w:top w:w="40" w:type="dxa"/>
              <w:bottom w:w="40" w:type="dxa"/>
              <w:right w:w="40" w:type="dxa"/>
            </w:tcMar>
            <w:vAlign w:val="bottom"/>
          </w:tcPr>
          <w:p w14:paraId="0BC9867C"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r>
    </w:tbl>
    <w:p w14:paraId="0BC9867E" w14:textId="77777777" w:rsidR="009F0928" w:rsidRDefault="009F0928">
      <w:pPr>
        <w:spacing w:line="288" w:lineRule="auto"/>
        <w:jc w:val="both"/>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677"/>
        <w:gridCol w:w="130"/>
        <w:gridCol w:w="681"/>
        <w:gridCol w:w="63"/>
        <w:gridCol w:w="130"/>
        <w:gridCol w:w="130"/>
        <w:gridCol w:w="717"/>
        <w:gridCol w:w="61"/>
        <w:gridCol w:w="130"/>
        <w:gridCol w:w="130"/>
        <w:gridCol w:w="721"/>
        <w:gridCol w:w="65"/>
        <w:gridCol w:w="130"/>
        <w:gridCol w:w="130"/>
        <w:gridCol w:w="966"/>
        <w:gridCol w:w="66"/>
        <w:gridCol w:w="130"/>
        <w:gridCol w:w="799"/>
        <w:gridCol w:w="236"/>
        <w:gridCol w:w="130"/>
        <w:gridCol w:w="848"/>
        <w:gridCol w:w="236"/>
      </w:tblGrid>
      <w:tr w:rsidR="009F0928" w14:paraId="0BC98680" w14:textId="77777777">
        <w:tc>
          <w:tcPr>
            <w:tcW w:w="0" w:type="auto"/>
            <w:gridSpan w:val="22"/>
            <w:shd w:val="clear" w:color="auto" w:fill="auto"/>
            <w:vAlign w:val="center"/>
          </w:tcPr>
          <w:p w14:paraId="0BC9867F" w14:textId="77777777" w:rsidR="009F0928" w:rsidRDefault="009F0928">
            <w:pPr>
              <w:rPr>
                <w:rFonts w:ascii="Times New Roman" w:hAnsi="Times New Roman"/>
                <w:sz w:val="20"/>
                <w:szCs w:val="20"/>
              </w:rPr>
            </w:pPr>
          </w:p>
        </w:tc>
      </w:tr>
      <w:tr w:rsidR="009F0928" w14:paraId="0BC98697" w14:textId="77777777">
        <w:tc>
          <w:tcPr>
            <w:tcW w:w="1050" w:type="pct"/>
            <w:shd w:val="clear" w:color="auto" w:fill="auto"/>
            <w:vAlign w:val="center"/>
          </w:tcPr>
          <w:p w14:paraId="0BC98681" w14:textId="77777777" w:rsidR="009F0928" w:rsidRDefault="009F0928">
            <w:pPr>
              <w:rPr>
                <w:rFonts w:ascii="Times New Roman" w:hAnsi="Times New Roman"/>
                <w:sz w:val="20"/>
                <w:szCs w:val="20"/>
              </w:rPr>
            </w:pPr>
          </w:p>
        </w:tc>
        <w:tc>
          <w:tcPr>
            <w:tcW w:w="50" w:type="pct"/>
            <w:shd w:val="clear" w:color="auto" w:fill="auto"/>
            <w:vAlign w:val="center"/>
          </w:tcPr>
          <w:p w14:paraId="0BC98682" w14:textId="77777777" w:rsidR="009F0928" w:rsidRDefault="009F0928">
            <w:pPr>
              <w:rPr>
                <w:rFonts w:ascii="Times New Roman" w:hAnsi="Times New Roman"/>
                <w:sz w:val="20"/>
                <w:szCs w:val="20"/>
              </w:rPr>
            </w:pPr>
          </w:p>
        </w:tc>
        <w:tc>
          <w:tcPr>
            <w:tcW w:w="450" w:type="pct"/>
            <w:shd w:val="clear" w:color="auto" w:fill="auto"/>
            <w:vAlign w:val="center"/>
          </w:tcPr>
          <w:p w14:paraId="0BC98683" w14:textId="77777777" w:rsidR="009F0928" w:rsidRDefault="009F0928">
            <w:pPr>
              <w:rPr>
                <w:rFonts w:ascii="Times New Roman" w:hAnsi="Times New Roman"/>
                <w:sz w:val="20"/>
                <w:szCs w:val="20"/>
              </w:rPr>
            </w:pPr>
          </w:p>
        </w:tc>
        <w:tc>
          <w:tcPr>
            <w:tcW w:w="50" w:type="pct"/>
            <w:shd w:val="clear" w:color="auto" w:fill="auto"/>
            <w:vAlign w:val="center"/>
          </w:tcPr>
          <w:p w14:paraId="0BC98684" w14:textId="77777777" w:rsidR="009F0928" w:rsidRDefault="009F0928">
            <w:pPr>
              <w:rPr>
                <w:rFonts w:ascii="Times New Roman" w:hAnsi="Times New Roman"/>
                <w:sz w:val="20"/>
                <w:szCs w:val="20"/>
              </w:rPr>
            </w:pPr>
          </w:p>
        </w:tc>
        <w:tc>
          <w:tcPr>
            <w:tcW w:w="50" w:type="pct"/>
            <w:shd w:val="clear" w:color="auto" w:fill="auto"/>
            <w:vAlign w:val="center"/>
          </w:tcPr>
          <w:p w14:paraId="0BC98685" w14:textId="77777777" w:rsidR="009F0928" w:rsidRDefault="009F0928">
            <w:pPr>
              <w:rPr>
                <w:rFonts w:ascii="Times New Roman" w:hAnsi="Times New Roman"/>
                <w:sz w:val="20"/>
                <w:szCs w:val="20"/>
              </w:rPr>
            </w:pPr>
          </w:p>
        </w:tc>
        <w:tc>
          <w:tcPr>
            <w:tcW w:w="50" w:type="pct"/>
            <w:shd w:val="clear" w:color="auto" w:fill="auto"/>
            <w:vAlign w:val="center"/>
          </w:tcPr>
          <w:p w14:paraId="0BC98686" w14:textId="77777777" w:rsidR="009F0928" w:rsidRDefault="009F0928">
            <w:pPr>
              <w:rPr>
                <w:rFonts w:ascii="Times New Roman" w:hAnsi="Times New Roman"/>
                <w:sz w:val="20"/>
                <w:szCs w:val="20"/>
              </w:rPr>
            </w:pPr>
          </w:p>
        </w:tc>
        <w:tc>
          <w:tcPr>
            <w:tcW w:w="500" w:type="pct"/>
            <w:shd w:val="clear" w:color="auto" w:fill="auto"/>
            <w:vAlign w:val="center"/>
          </w:tcPr>
          <w:p w14:paraId="0BC98687" w14:textId="77777777" w:rsidR="009F0928" w:rsidRDefault="009F0928">
            <w:pPr>
              <w:rPr>
                <w:rFonts w:ascii="Times New Roman" w:hAnsi="Times New Roman"/>
                <w:sz w:val="20"/>
                <w:szCs w:val="20"/>
              </w:rPr>
            </w:pPr>
          </w:p>
        </w:tc>
        <w:tc>
          <w:tcPr>
            <w:tcW w:w="50" w:type="pct"/>
            <w:shd w:val="clear" w:color="auto" w:fill="auto"/>
            <w:vAlign w:val="center"/>
          </w:tcPr>
          <w:p w14:paraId="0BC98688" w14:textId="77777777" w:rsidR="009F0928" w:rsidRDefault="009F0928">
            <w:pPr>
              <w:rPr>
                <w:rFonts w:ascii="Times New Roman" w:hAnsi="Times New Roman"/>
                <w:sz w:val="20"/>
                <w:szCs w:val="20"/>
              </w:rPr>
            </w:pPr>
          </w:p>
        </w:tc>
        <w:tc>
          <w:tcPr>
            <w:tcW w:w="50" w:type="pct"/>
            <w:shd w:val="clear" w:color="auto" w:fill="auto"/>
            <w:vAlign w:val="center"/>
          </w:tcPr>
          <w:p w14:paraId="0BC98689" w14:textId="77777777" w:rsidR="009F0928" w:rsidRDefault="009F0928">
            <w:pPr>
              <w:rPr>
                <w:rFonts w:ascii="Times New Roman" w:hAnsi="Times New Roman"/>
                <w:sz w:val="20"/>
                <w:szCs w:val="20"/>
              </w:rPr>
            </w:pPr>
          </w:p>
        </w:tc>
        <w:tc>
          <w:tcPr>
            <w:tcW w:w="50" w:type="pct"/>
            <w:shd w:val="clear" w:color="auto" w:fill="auto"/>
            <w:vAlign w:val="center"/>
          </w:tcPr>
          <w:p w14:paraId="0BC9868A" w14:textId="77777777" w:rsidR="009F0928" w:rsidRDefault="009F0928">
            <w:pPr>
              <w:rPr>
                <w:rFonts w:ascii="Times New Roman" w:hAnsi="Times New Roman"/>
                <w:sz w:val="20"/>
                <w:szCs w:val="20"/>
              </w:rPr>
            </w:pPr>
          </w:p>
        </w:tc>
        <w:tc>
          <w:tcPr>
            <w:tcW w:w="500" w:type="pct"/>
            <w:shd w:val="clear" w:color="auto" w:fill="auto"/>
            <w:vAlign w:val="center"/>
          </w:tcPr>
          <w:p w14:paraId="0BC9868B" w14:textId="77777777" w:rsidR="009F0928" w:rsidRDefault="009F0928">
            <w:pPr>
              <w:rPr>
                <w:rFonts w:ascii="Times New Roman" w:hAnsi="Times New Roman"/>
                <w:sz w:val="20"/>
                <w:szCs w:val="20"/>
              </w:rPr>
            </w:pPr>
          </w:p>
        </w:tc>
        <w:tc>
          <w:tcPr>
            <w:tcW w:w="50" w:type="pct"/>
            <w:shd w:val="clear" w:color="auto" w:fill="auto"/>
            <w:vAlign w:val="center"/>
          </w:tcPr>
          <w:p w14:paraId="0BC9868C" w14:textId="77777777" w:rsidR="009F0928" w:rsidRDefault="009F0928">
            <w:pPr>
              <w:rPr>
                <w:rFonts w:ascii="Times New Roman" w:hAnsi="Times New Roman"/>
                <w:sz w:val="20"/>
                <w:szCs w:val="20"/>
              </w:rPr>
            </w:pPr>
          </w:p>
        </w:tc>
        <w:tc>
          <w:tcPr>
            <w:tcW w:w="50" w:type="pct"/>
            <w:shd w:val="clear" w:color="auto" w:fill="auto"/>
            <w:vAlign w:val="center"/>
          </w:tcPr>
          <w:p w14:paraId="0BC9868D" w14:textId="77777777" w:rsidR="009F0928" w:rsidRDefault="009F0928">
            <w:pPr>
              <w:rPr>
                <w:rFonts w:ascii="Times New Roman" w:hAnsi="Times New Roman"/>
                <w:sz w:val="20"/>
                <w:szCs w:val="20"/>
              </w:rPr>
            </w:pPr>
          </w:p>
        </w:tc>
        <w:tc>
          <w:tcPr>
            <w:tcW w:w="50" w:type="pct"/>
            <w:shd w:val="clear" w:color="auto" w:fill="auto"/>
            <w:vAlign w:val="center"/>
          </w:tcPr>
          <w:p w14:paraId="0BC9868E" w14:textId="77777777" w:rsidR="009F0928" w:rsidRDefault="009F0928">
            <w:pPr>
              <w:rPr>
                <w:rFonts w:ascii="Times New Roman" w:hAnsi="Times New Roman"/>
                <w:sz w:val="20"/>
                <w:szCs w:val="20"/>
              </w:rPr>
            </w:pPr>
          </w:p>
        </w:tc>
        <w:tc>
          <w:tcPr>
            <w:tcW w:w="650" w:type="pct"/>
            <w:shd w:val="clear" w:color="auto" w:fill="auto"/>
            <w:vAlign w:val="center"/>
          </w:tcPr>
          <w:p w14:paraId="0BC9868F" w14:textId="77777777" w:rsidR="009F0928" w:rsidRDefault="009F0928">
            <w:pPr>
              <w:rPr>
                <w:rFonts w:ascii="Times New Roman" w:hAnsi="Times New Roman"/>
                <w:sz w:val="20"/>
                <w:szCs w:val="20"/>
              </w:rPr>
            </w:pPr>
          </w:p>
        </w:tc>
        <w:tc>
          <w:tcPr>
            <w:tcW w:w="50" w:type="pct"/>
            <w:shd w:val="clear" w:color="auto" w:fill="auto"/>
            <w:vAlign w:val="center"/>
          </w:tcPr>
          <w:p w14:paraId="0BC98690" w14:textId="77777777" w:rsidR="009F0928" w:rsidRDefault="009F0928">
            <w:pPr>
              <w:rPr>
                <w:rFonts w:ascii="Times New Roman" w:hAnsi="Times New Roman"/>
                <w:sz w:val="20"/>
                <w:szCs w:val="20"/>
              </w:rPr>
            </w:pPr>
          </w:p>
        </w:tc>
        <w:tc>
          <w:tcPr>
            <w:tcW w:w="50" w:type="pct"/>
            <w:shd w:val="clear" w:color="auto" w:fill="auto"/>
            <w:vAlign w:val="center"/>
          </w:tcPr>
          <w:p w14:paraId="0BC98691" w14:textId="77777777" w:rsidR="009F0928" w:rsidRDefault="009F0928">
            <w:pPr>
              <w:rPr>
                <w:rFonts w:ascii="Times New Roman" w:hAnsi="Times New Roman"/>
                <w:sz w:val="20"/>
                <w:szCs w:val="20"/>
              </w:rPr>
            </w:pPr>
          </w:p>
        </w:tc>
        <w:tc>
          <w:tcPr>
            <w:tcW w:w="550" w:type="pct"/>
            <w:shd w:val="clear" w:color="auto" w:fill="auto"/>
            <w:vAlign w:val="center"/>
          </w:tcPr>
          <w:p w14:paraId="0BC98692" w14:textId="77777777" w:rsidR="009F0928" w:rsidRDefault="009F0928">
            <w:pPr>
              <w:rPr>
                <w:rFonts w:ascii="Times New Roman" w:hAnsi="Times New Roman"/>
                <w:sz w:val="20"/>
                <w:szCs w:val="20"/>
              </w:rPr>
            </w:pPr>
          </w:p>
        </w:tc>
        <w:tc>
          <w:tcPr>
            <w:tcW w:w="50" w:type="pct"/>
            <w:shd w:val="clear" w:color="auto" w:fill="auto"/>
            <w:vAlign w:val="center"/>
          </w:tcPr>
          <w:p w14:paraId="0BC98693" w14:textId="77777777" w:rsidR="009F0928" w:rsidRDefault="009F0928">
            <w:pPr>
              <w:rPr>
                <w:rFonts w:ascii="Times New Roman" w:hAnsi="Times New Roman"/>
                <w:sz w:val="20"/>
                <w:szCs w:val="20"/>
              </w:rPr>
            </w:pPr>
          </w:p>
        </w:tc>
        <w:tc>
          <w:tcPr>
            <w:tcW w:w="50" w:type="pct"/>
            <w:shd w:val="clear" w:color="auto" w:fill="auto"/>
            <w:vAlign w:val="center"/>
          </w:tcPr>
          <w:p w14:paraId="0BC98694" w14:textId="77777777" w:rsidR="009F0928" w:rsidRDefault="009F0928">
            <w:pPr>
              <w:rPr>
                <w:rFonts w:ascii="Times New Roman" w:hAnsi="Times New Roman"/>
                <w:sz w:val="20"/>
                <w:szCs w:val="20"/>
              </w:rPr>
            </w:pPr>
          </w:p>
        </w:tc>
        <w:tc>
          <w:tcPr>
            <w:tcW w:w="550" w:type="pct"/>
            <w:shd w:val="clear" w:color="auto" w:fill="auto"/>
            <w:vAlign w:val="center"/>
          </w:tcPr>
          <w:p w14:paraId="0BC98695" w14:textId="77777777" w:rsidR="009F0928" w:rsidRDefault="009F0928">
            <w:pPr>
              <w:rPr>
                <w:rFonts w:ascii="Times New Roman" w:hAnsi="Times New Roman"/>
                <w:sz w:val="20"/>
                <w:szCs w:val="20"/>
              </w:rPr>
            </w:pPr>
          </w:p>
        </w:tc>
        <w:tc>
          <w:tcPr>
            <w:tcW w:w="50" w:type="pct"/>
            <w:shd w:val="clear" w:color="auto" w:fill="auto"/>
            <w:vAlign w:val="center"/>
          </w:tcPr>
          <w:p w14:paraId="0BC98696" w14:textId="77777777" w:rsidR="009F0928" w:rsidRDefault="009F0928">
            <w:pPr>
              <w:rPr>
                <w:rFonts w:ascii="Times New Roman" w:hAnsi="Times New Roman"/>
                <w:sz w:val="20"/>
                <w:szCs w:val="20"/>
              </w:rPr>
            </w:pPr>
          </w:p>
        </w:tc>
      </w:tr>
      <w:tr w:rsidR="009F0928" w14:paraId="0BC986A0" w14:textId="77777777">
        <w:tc>
          <w:tcPr>
            <w:tcW w:w="0" w:type="auto"/>
            <w:shd w:val="clear" w:color="auto" w:fill="auto"/>
            <w:tcMar>
              <w:top w:w="40" w:type="dxa"/>
              <w:left w:w="40" w:type="dxa"/>
              <w:bottom w:w="40" w:type="dxa"/>
              <w:right w:w="40" w:type="dxa"/>
            </w:tcMar>
            <w:vAlign w:val="bottom"/>
          </w:tcPr>
          <w:p w14:paraId="0BC98698" w14:textId="77777777" w:rsidR="009F0928" w:rsidRDefault="002112BD">
            <w:pPr>
              <w:textAlignment w:val="bottom"/>
              <w:rPr>
                <w:rFonts w:ascii="Times New Roman" w:hAnsi="Times New Roman"/>
                <w:sz w:val="14"/>
                <w:szCs w:val="14"/>
              </w:rPr>
            </w:pPr>
            <w:r>
              <w:rPr>
                <w:rFonts w:ascii="Arial" w:eastAsia="宋体" w:hAnsi="Arial" w:cs="Arial"/>
                <w:b/>
                <w:bCs/>
                <w:sz w:val="14"/>
                <w:szCs w:val="14"/>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8699"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Year Ended</w:t>
            </w:r>
            <w:r>
              <w:rPr>
                <w:rFonts w:ascii="Arial" w:eastAsia="宋体" w:hAnsi="Arial" w:cs="Arial"/>
                <w:b/>
                <w:bCs/>
                <w:sz w:val="14"/>
                <w:szCs w:val="14"/>
              </w:rPr>
              <w:br/>
              <w:t>December 31, 2018</w:t>
            </w:r>
          </w:p>
        </w:tc>
        <w:tc>
          <w:tcPr>
            <w:tcW w:w="0" w:type="auto"/>
            <w:shd w:val="clear" w:color="auto" w:fill="auto"/>
            <w:tcMar>
              <w:top w:w="40" w:type="dxa"/>
              <w:left w:w="40" w:type="dxa"/>
              <w:bottom w:w="40" w:type="dxa"/>
              <w:right w:w="40" w:type="dxa"/>
            </w:tcMar>
            <w:vAlign w:val="bottom"/>
          </w:tcPr>
          <w:p w14:paraId="0BC9869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69B"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Year Ended</w:t>
            </w:r>
            <w:r>
              <w:rPr>
                <w:rFonts w:ascii="Arial" w:eastAsia="宋体" w:hAnsi="Arial" w:cs="Arial"/>
                <w:b/>
                <w:bCs/>
                <w:sz w:val="14"/>
                <w:szCs w:val="14"/>
              </w:rPr>
              <w:br/>
              <w:t>December 31, 2017</w:t>
            </w:r>
          </w:p>
        </w:tc>
        <w:tc>
          <w:tcPr>
            <w:tcW w:w="0" w:type="auto"/>
            <w:shd w:val="clear" w:color="auto" w:fill="auto"/>
            <w:tcMar>
              <w:top w:w="40" w:type="dxa"/>
              <w:left w:w="40" w:type="dxa"/>
              <w:bottom w:w="40" w:type="dxa"/>
              <w:right w:w="40" w:type="dxa"/>
            </w:tcMar>
            <w:vAlign w:val="bottom"/>
          </w:tcPr>
          <w:p w14:paraId="0BC9869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69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69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69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6AE" w14:textId="77777777">
        <w:tc>
          <w:tcPr>
            <w:tcW w:w="0" w:type="auto"/>
            <w:shd w:val="clear" w:color="auto" w:fill="auto"/>
            <w:tcMar>
              <w:top w:w="40" w:type="dxa"/>
              <w:left w:w="40" w:type="dxa"/>
              <w:bottom w:w="40" w:type="dxa"/>
              <w:right w:w="40" w:type="dxa"/>
            </w:tcMar>
            <w:vAlign w:val="bottom"/>
          </w:tcPr>
          <w:p w14:paraId="0BC986A1" w14:textId="77777777" w:rsidR="009F0928" w:rsidRDefault="002112BD">
            <w:pPr>
              <w:textAlignment w:val="bottom"/>
              <w:rPr>
                <w:rFonts w:ascii="Times New Roman" w:hAnsi="Times New Roman"/>
                <w:sz w:val="14"/>
                <w:szCs w:val="14"/>
              </w:rPr>
            </w:pPr>
            <w:r>
              <w:rPr>
                <w:rFonts w:ascii="Arial" w:eastAsia="宋体" w:hAnsi="Arial" w:cs="Arial"/>
                <w:b/>
                <w:bCs/>
                <w:sz w:val="14"/>
                <w:szCs w:val="14"/>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6A2"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As Reported</w:t>
            </w:r>
          </w:p>
        </w:tc>
        <w:tc>
          <w:tcPr>
            <w:tcW w:w="0" w:type="auto"/>
            <w:shd w:val="clear" w:color="auto" w:fill="auto"/>
            <w:tcMar>
              <w:top w:w="40" w:type="dxa"/>
              <w:left w:w="40" w:type="dxa"/>
              <w:bottom w:w="40" w:type="dxa"/>
              <w:right w:w="40" w:type="dxa"/>
            </w:tcMar>
            <w:vAlign w:val="bottom"/>
          </w:tcPr>
          <w:p w14:paraId="0BC986A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6A4"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xml:space="preserve">Exchange Rate Effect </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0BC986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6A6"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xml:space="preserve">FX-Neutral </w:t>
            </w:r>
            <w:r>
              <w:rPr>
                <w:rFonts w:ascii="Arial" w:eastAsia="宋体" w:hAnsi="Arial" w:cs="Arial"/>
                <w:b/>
                <w:bCs/>
                <w:sz w:val="10"/>
                <w:szCs w:val="10"/>
              </w:rPr>
              <w:t>(2)</w:t>
            </w:r>
          </w:p>
        </w:tc>
        <w:tc>
          <w:tcPr>
            <w:tcW w:w="0" w:type="auto"/>
            <w:shd w:val="clear" w:color="auto" w:fill="auto"/>
            <w:tcMar>
              <w:top w:w="40" w:type="dxa"/>
              <w:left w:w="40" w:type="dxa"/>
              <w:bottom w:w="40" w:type="dxa"/>
              <w:right w:w="40" w:type="dxa"/>
            </w:tcMar>
            <w:vAlign w:val="bottom"/>
          </w:tcPr>
          <w:p w14:paraId="0BC986A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6A8"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As Reported</w:t>
            </w:r>
          </w:p>
        </w:tc>
        <w:tc>
          <w:tcPr>
            <w:tcW w:w="0" w:type="auto"/>
            <w:shd w:val="clear" w:color="auto" w:fill="auto"/>
            <w:tcMar>
              <w:top w:w="40" w:type="dxa"/>
              <w:left w:w="40" w:type="dxa"/>
              <w:bottom w:w="40" w:type="dxa"/>
              <w:right w:w="40" w:type="dxa"/>
            </w:tcMar>
            <w:vAlign w:val="bottom"/>
          </w:tcPr>
          <w:p w14:paraId="0BC986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6AA"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As Reported % Change</w:t>
            </w:r>
          </w:p>
        </w:tc>
        <w:tc>
          <w:tcPr>
            <w:tcW w:w="0" w:type="auto"/>
            <w:shd w:val="clear" w:color="auto" w:fill="auto"/>
            <w:tcMar>
              <w:top w:w="40" w:type="dxa"/>
              <w:left w:w="40" w:type="dxa"/>
              <w:bottom w:w="40" w:type="dxa"/>
              <w:right w:w="40" w:type="dxa"/>
            </w:tcMar>
            <w:vAlign w:val="bottom"/>
          </w:tcPr>
          <w:p w14:paraId="0BC986A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86AC"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xml:space="preserve">FX-Neutral </w:t>
            </w:r>
          </w:p>
          <w:p w14:paraId="0BC986AD"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Change</w:t>
            </w:r>
          </w:p>
        </w:tc>
      </w:tr>
      <w:tr w:rsidR="009F0928" w14:paraId="0BC986BB" w14:textId="77777777">
        <w:tc>
          <w:tcPr>
            <w:tcW w:w="0" w:type="auto"/>
            <w:shd w:val="clear" w:color="auto" w:fill="E2E2E2"/>
            <w:tcMar>
              <w:top w:w="40" w:type="dxa"/>
              <w:left w:w="40" w:type="dxa"/>
              <w:bottom w:w="40" w:type="dxa"/>
              <w:right w:w="40" w:type="dxa"/>
            </w:tcMar>
            <w:vAlign w:val="bottom"/>
          </w:tcPr>
          <w:p w14:paraId="0BC986AF" w14:textId="77777777" w:rsidR="009F0928" w:rsidRDefault="002112BD">
            <w:pPr>
              <w:textAlignment w:val="bottom"/>
              <w:rPr>
                <w:rFonts w:ascii="Times New Roman" w:hAnsi="Times New Roman"/>
                <w:sz w:val="16"/>
                <w:szCs w:val="16"/>
              </w:rPr>
            </w:pPr>
            <w:r>
              <w:rPr>
                <w:rFonts w:ascii="Arial" w:eastAsia="宋体" w:hAnsi="Arial" w:cs="Arial"/>
                <w:b/>
                <w:bCs/>
                <w:sz w:val="16"/>
                <w:szCs w:val="16"/>
              </w:rPr>
              <w:t>GMV:</w:t>
            </w:r>
          </w:p>
        </w:tc>
        <w:tc>
          <w:tcPr>
            <w:tcW w:w="0" w:type="auto"/>
            <w:gridSpan w:val="3"/>
            <w:shd w:val="clear" w:color="auto" w:fill="E2E2E2"/>
            <w:tcMar>
              <w:top w:w="40" w:type="dxa"/>
              <w:left w:w="40" w:type="dxa"/>
              <w:bottom w:w="40" w:type="dxa"/>
              <w:right w:w="40" w:type="dxa"/>
            </w:tcMar>
            <w:vAlign w:val="bottom"/>
          </w:tcPr>
          <w:p w14:paraId="0BC986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6B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6B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6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6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6B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6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6B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6B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6B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6B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6D2" w14:textId="77777777">
        <w:tc>
          <w:tcPr>
            <w:tcW w:w="0" w:type="auto"/>
            <w:shd w:val="clear" w:color="auto" w:fill="auto"/>
            <w:tcMar>
              <w:top w:w="40" w:type="dxa"/>
              <w:left w:w="240" w:type="dxa"/>
              <w:bottom w:w="40" w:type="dxa"/>
              <w:right w:w="40" w:type="dxa"/>
            </w:tcMar>
            <w:vAlign w:val="bottom"/>
          </w:tcPr>
          <w:p w14:paraId="0BC986BC" w14:textId="77777777" w:rsidR="009F0928" w:rsidRDefault="002112BD">
            <w:pPr>
              <w:textAlignment w:val="bottom"/>
              <w:rPr>
                <w:rFonts w:ascii="Times New Roman" w:hAnsi="Times New Roman"/>
                <w:sz w:val="16"/>
                <w:szCs w:val="16"/>
              </w:rPr>
            </w:pPr>
            <w:r>
              <w:rPr>
                <w:rFonts w:ascii="Arial" w:eastAsia="宋体" w:hAnsi="Arial" w:cs="Arial"/>
                <w:sz w:val="16"/>
                <w:szCs w:val="16"/>
              </w:rPr>
              <w:t>Marketplace</w:t>
            </w:r>
          </w:p>
        </w:tc>
        <w:tc>
          <w:tcPr>
            <w:tcW w:w="0" w:type="auto"/>
            <w:shd w:val="clear" w:color="auto" w:fill="auto"/>
            <w:tcMar>
              <w:top w:w="40" w:type="dxa"/>
              <w:left w:w="40" w:type="dxa"/>
              <w:bottom w:w="40" w:type="dxa"/>
            </w:tcMar>
            <w:vAlign w:val="bottom"/>
          </w:tcPr>
          <w:p w14:paraId="0BC986B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6B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89,829</w:t>
            </w:r>
          </w:p>
        </w:tc>
        <w:tc>
          <w:tcPr>
            <w:tcW w:w="0" w:type="auto"/>
            <w:shd w:val="clear" w:color="auto" w:fill="auto"/>
            <w:vAlign w:val="bottom"/>
          </w:tcPr>
          <w:p w14:paraId="0BC986B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6C1"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6C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1,659</w:t>
            </w:r>
          </w:p>
        </w:tc>
        <w:tc>
          <w:tcPr>
            <w:tcW w:w="0" w:type="auto"/>
            <w:shd w:val="clear" w:color="auto" w:fill="auto"/>
            <w:vAlign w:val="bottom"/>
          </w:tcPr>
          <w:p w14:paraId="0BC986C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C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6C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6C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88,170</w:t>
            </w:r>
          </w:p>
        </w:tc>
        <w:tc>
          <w:tcPr>
            <w:tcW w:w="0" w:type="auto"/>
            <w:shd w:val="clear" w:color="auto" w:fill="auto"/>
            <w:vAlign w:val="bottom"/>
          </w:tcPr>
          <w:p w14:paraId="0BC986C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C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6C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6C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83,883</w:t>
            </w:r>
          </w:p>
        </w:tc>
        <w:tc>
          <w:tcPr>
            <w:tcW w:w="0" w:type="auto"/>
            <w:shd w:val="clear" w:color="auto" w:fill="auto"/>
            <w:vAlign w:val="bottom"/>
          </w:tcPr>
          <w:p w14:paraId="0BC986C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C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6CD"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w:t>
            </w:r>
          </w:p>
        </w:tc>
        <w:tc>
          <w:tcPr>
            <w:tcW w:w="0" w:type="auto"/>
            <w:shd w:val="clear" w:color="auto" w:fill="auto"/>
            <w:tcMar>
              <w:top w:w="40" w:type="dxa"/>
              <w:bottom w:w="40" w:type="dxa"/>
              <w:right w:w="40" w:type="dxa"/>
            </w:tcMar>
            <w:vAlign w:val="bottom"/>
          </w:tcPr>
          <w:p w14:paraId="0BC986CE"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86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6D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auto"/>
            <w:tcMar>
              <w:top w:w="40" w:type="dxa"/>
              <w:bottom w:w="40" w:type="dxa"/>
              <w:right w:w="40" w:type="dxa"/>
            </w:tcMar>
            <w:vAlign w:val="bottom"/>
          </w:tcPr>
          <w:p w14:paraId="0BC986D1"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r>
      <w:tr w:rsidR="009F0928" w14:paraId="0BC986E5" w14:textId="77777777">
        <w:tc>
          <w:tcPr>
            <w:tcW w:w="0" w:type="auto"/>
            <w:shd w:val="clear" w:color="auto" w:fill="E2E2E2"/>
            <w:tcMar>
              <w:top w:w="40" w:type="dxa"/>
              <w:left w:w="240" w:type="dxa"/>
              <w:bottom w:w="40" w:type="dxa"/>
              <w:right w:w="40" w:type="dxa"/>
            </w:tcMar>
            <w:vAlign w:val="bottom"/>
          </w:tcPr>
          <w:p w14:paraId="0BC986D3" w14:textId="77777777" w:rsidR="009F0928" w:rsidRDefault="002112BD">
            <w:pPr>
              <w:textAlignment w:val="bottom"/>
              <w:rPr>
                <w:rFonts w:ascii="Times New Roman" w:hAnsi="Times New Roman"/>
                <w:sz w:val="16"/>
                <w:szCs w:val="16"/>
              </w:rPr>
            </w:pPr>
            <w:r>
              <w:rPr>
                <w:rFonts w:ascii="Arial" w:eastAsia="宋体" w:hAnsi="Arial" w:cs="Arial"/>
                <w:sz w:val="16"/>
                <w:szCs w:val="16"/>
              </w:rPr>
              <w:t>StubHub</w:t>
            </w:r>
          </w:p>
        </w:tc>
        <w:tc>
          <w:tcPr>
            <w:tcW w:w="0" w:type="auto"/>
            <w:gridSpan w:val="2"/>
            <w:shd w:val="clear" w:color="auto" w:fill="E2E2E2"/>
            <w:tcMar>
              <w:top w:w="40" w:type="dxa"/>
              <w:left w:w="40" w:type="dxa"/>
              <w:bottom w:w="40" w:type="dxa"/>
            </w:tcMar>
            <w:vAlign w:val="bottom"/>
          </w:tcPr>
          <w:p w14:paraId="0BC986D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4,751</w:t>
            </w:r>
          </w:p>
        </w:tc>
        <w:tc>
          <w:tcPr>
            <w:tcW w:w="0" w:type="auto"/>
            <w:shd w:val="clear" w:color="auto" w:fill="E2E2E2"/>
            <w:vAlign w:val="bottom"/>
          </w:tcPr>
          <w:p w14:paraId="0BC986D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6D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6D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E2E2E2"/>
            <w:vAlign w:val="bottom"/>
          </w:tcPr>
          <w:p w14:paraId="0BC986D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6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6D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4,746</w:t>
            </w:r>
          </w:p>
        </w:tc>
        <w:tc>
          <w:tcPr>
            <w:tcW w:w="0" w:type="auto"/>
            <w:shd w:val="clear" w:color="auto" w:fill="E2E2E2"/>
            <w:vAlign w:val="bottom"/>
          </w:tcPr>
          <w:p w14:paraId="0BC986D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6D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6DD"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4,520</w:t>
            </w:r>
          </w:p>
        </w:tc>
        <w:tc>
          <w:tcPr>
            <w:tcW w:w="0" w:type="auto"/>
            <w:shd w:val="clear" w:color="auto" w:fill="E2E2E2"/>
            <w:vAlign w:val="bottom"/>
          </w:tcPr>
          <w:p w14:paraId="0BC986D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6D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6E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E2E2E2"/>
            <w:tcMar>
              <w:top w:w="40" w:type="dxa"/>
              <w:bottom w:w="40" w:type="dxa"/>
              <w:right w:w="40" w:type="dxa"/>
            </w:tcMar>
            <w:vAlign w:val="bottom"/>
          </w:tcPr>
          <w:p w14:paraId="0BC986E1"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86E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6E3"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E2E2E2"/>
            <w:tcMar>
              <w:top w:w="40" w:type="dxa"/>
              <w:bottom w:w="40" w:type="dxa"/>
              <w:right w:w="40" w:type="dxa"/>
            </w:tcMar>
            <w:vAlign w:val="bottom"/>
          </w:tcPr>
          <w:p w14:paraId="0BC986E4"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r>
      <w:tr w:rsidR="009F0928" w14:paraId="0BC986FC" w14:textId="77777777">
        <w:tc>
          <w:tcPr>
            <w:tcW w:w="0" w:type="auto"/>
            <w:shd w:val="clear" w:color="auto" w:fill="auto"/>
            <w:tcMar>
              <w:top w:w="40" w:type="dxa"/>
              <w:left w:w="400" w:type="dxa"/>
              <w:bottom w:w="40" w:type="dxa"/>
              <w:right w:w="40" w:type="dxa"/>
            </w:tcMar>
            <w:vAlign w:val="bottom"/>
          </w:tcPr>
          <w:p w14:paraId="0BC986E6" w14:textId="77777777" w:rsidR="009F0928" w:rsidRDefault="002112BD">
            <w:pPr>
              <w:textAlignment w:val="bottom"/>
              <w:rPr>
                <w:rFonts w:ascii="Times New Roman" w:hAnsi="Times New Roman"/>
                <w:sz w:val="16"/>
                <w:szCs w:val="16"/>
              </w:rPr>
            </w:pPr>
            <w:r>
              <w:rPr>
                <w:rFonts w:ascii="Arial" w:eastAsia="宋体" w:hAnsi="Arial" w:cs="Arial"/>
                <w:sz w:val="16"/>
                <w:szCs w:val="16"/>
              </w:rPr>
              <w:t>Total GMV</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6E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6E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94,580</w:t>
            </w:r>
          </w:p>
        </w:tc>
        <w:tc>
          <w:tcPr>
            <w:tcW w:w="0" w:type="auto"/>
            <w:tcBorders>
              <w:top w:val="single" w:sz="8" w:space="0" w:color="000000"/>
              <w:bottom w:val="double" w:sz="6" w:space="0" w:color="000000"/>
            </w:tcBorders>
            <w:shd w:val="clear" w:color="auto" w:fill="auto"/>
            <w:vAlign w:val="bottom"/>
          </w:tcPr>
          <w:p w14:paraId="0BC986E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E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6E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6E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1,664</w:t>
            </w:r>
          </w:p>
        </w:tc>
        <w:tc>
          <w:tcPr>
            <w:tcW w:w="0" w:type="auto"/>
            <w:tcBorders>
              <w:top w:val="single" w:sz="8" w:space="0" w:color="000000"/>
              <w:bottom w:val="double" w:sz="6" w:space="0" w:color="000000"/>
            </w:tcBorders>
            <w:shd w:val="clear" w:color="auto" w:fill="auto"/>
            <w:vAlign w:val="bottom"/>
          </w:tcPr>
          <w:p w14:paraId="0BC986E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E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6E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6F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92,916</w:t>
            </w:r>
          </w:p>
        </w:tc>
        <w:tc>
          <w:tcPr>
            <w:tcW w:w="0" w:type="auto"/>
            <w:tcBorders>
              <w:top w:val="single" w:sz="8" w:space="0" w:color="000000"/>
              <w:bottom w:val="double" w:sz="6" w:space="0" w:color="000000"/>
            </w:tcBorders>
            <w:shd w:val="clear" w:color="auto" w:fill="auto"/>
            <w:vAlign w:val="bottom"/>
          </w:tcPr>
          <w:p w14:paraId="0BC986F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F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6F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6F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88,403</w:t>
            </w:r>
          </w:p>
        </w:tc>
        <w:tc>
          <w:tcPr>
            <w:tcW w:w="0" w:type="auto"/>
            <w:tcBorders>
              <w:top w:val="single" w:sz="8" w:space="0" w:color="000000"/>
              <w:bottom w:val="double" w:sz="6" w:space="0" w:color="000000"/>
            </w:tcBorders>
            <w:shd w:val="clear" w:color="auto" w:fill="auto"/>
            <w:vAlign w:val="bottom"/>
          </w:tcPr>
          <w:p w14:paraId="0BC986F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6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6F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BC986F8"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86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6F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BC986FB"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r>
      <w:tr w:rsidR="009F0928" w14:paraId="0BC98709" w14:textId="77777777">
        <w:tc>
          <w:tcPr>
            <w:tcW w:w="0" w:type="auto"/>
            <w:shd w:val="clear" w:color="auto" w:fill="E2E2E2"/>
            <w:tcMar>
              <w:top w:w="40" w:type="dxa"/>
              <w:left w:w="40" w:type="dxa"/>
              <w:bottom w:w="40" w:type="dxa"/>
              <w:right w:w="40" w:type="dxa"/>
            </w:tcMar>
            <w:vAlign w:val="bottom"/>
          </w:tcPr>
          <w:p w14:paraId="0BC986F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6F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6F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7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70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70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70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7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70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70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70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70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716" w14:textId="77777777">
        <w:tc>
          <w:tcPr>
            <w:tcW w:w="0" w:type="auto"/>
            <w:shd w:val="clear" w:color="auto" w:fill="auto"/>
            <w:tcMar>
              <w:top w:w="40" w:type="dxa"/>
              <w:left w:w="40" w:type="dxa"/>
              <w:bottom w:w="40" w:type="dxa"/>
              <w:right w:w="40" w:type="dxa"/>
            </w:tcMar>
            <w:vAlign w:val="bottom"/>
          </w:tcPr>
          <w:p w14:paraId="0BC9870A" w14:textId="77777777" w:rsidR="009F0928" w:rsidRDefault="002112BD">
            <w:pPr>
              <w:textAlignment w:val="bottom"/>
              <w:rPr>
                <w:rFonts w:ascii="Times New Roman" w:hAnsi="Times New Roman"/>
                <w:sz w:val="16"/>
                <w:szCs w:val="16"/>
              </w:rPr>
            </w:pPr>
            <w:r>
              <w:rPr>
                <w:rFonts w:ascii="Arial" w:eastAsia="宋体" w:hAnsi="Arial" w:cs="Arial"/>
                <w:b/>
                <w:bCs/>
                <w:sz w:val="16"/>
                <w:szCs w:val="16"/>
              </w:rPr>
              <w:t>Net Revenues</w:t>
            </w:r>
          </w:p>
        </w:tc>
        <w:tc>
          <w:tcPr>
            <w:tcW w:w="0" w:type="auto"/>
            <w:gridSpan w:val="3"/>
            <w:shd w:val="clear" w:color="auto" w:fill="auto"/>
            <w:tcMar>
              <w:top w:w="40" w:type="dxa"/>
              <w:left w:w="40" w:type="dxa"/>
              <w:bottom w:w="40" w:type="dxa"/>
              <w:right w:w="40" w:type="dxa"/>
            </w:tcMar>
            <w:vAlign w:val="bottom"/>
          </w:tcPr>
          <w:p w14:paraId="0BC9870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70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70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70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70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7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71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71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71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71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871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723" w14:textId="77777777">
        <w:tc>
          <w:tcPr>
            <w:tcW w:w="0" w:type="auto"/>
            <w:shd w:val="clear" w:color="auto" w:fill="E2E2E2"/>
            <w:tcMar>
              <w:top w:w="40" w:type="dxa"/>
              <w:left w:w="40" w:type="dxa"/>
              <w:bottom w:w="40" w:type="dxa"/>
              <w:right w:w="40" w:type="dxa"/>
            </w:tcMar>
            <w:vAlign w:val="bottom"/>
          </w:tcPr>
          <w:p w14:paraId="0BC98717" w14:textId="77777777" w:rsidR="009F0928" w:rsidRDefault="002112BD">
            <w:pPr>
              <w:textAlignment w:val="bottom"/>
              <w:rPr>
                <w:rFonts w:ascii="Times New Roman" w:hAnsi="Times New Roman"/>
                <w:sz w:val="16"/>
                <w:szCs w:val="16"/>
              </w:rPr>
            </w:pPr>
            <w:r>
              <w:rPr>
                <w:rFonts w:ascii="Arial" w:eastAsia="宋体" w:hAnsi="Arial" w:cs="Arial"/>
                <w:sz w:val="16"/>
                <w:szCs w:val="16"/>
              </w:rPr>
              <w:t>Net transaction revenues:</w:t>
            </w:r>
          </w:p>
        </w:tc>
        <w:tc>
          <w:tcPr>
            <w:tcW w:w="0" w:type="auto"/>
            <w:gridSpan w:val="3"/>
            <w:shd w:val="clear" w:color="auto" w:fill="E2E2E2"/>
            <w:tcMar>
              <w:top w:w="40" w:type="dxa"/>
              <w:left w:w="40" w:type="dxa"/>
              <w:bottom w:w="40" w:type="dxa"/>
              <w:right w:w="40" w:type="dxa"/>
            </w:tcMar>
            <w:vAlign w:val="bottom"/>
          </w:tcPr>
          <w:p w14:paraId="0BC987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71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71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71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71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71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7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71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72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72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72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73A" w14:textId="77777777">
        <w:tc>
          <w:tcPr>
            <w:tcW w:w="0" w:type="auto"/>
            <w:shd w:val="clear" w:color="auto" w:fill="auto"/>
            <w:tcMar>
              <w:top w:w="40" w:type="dxa"/>
              <w:left w:w="240" w:type="dxa"/>
              <w:bottom w:w="40" w:type="dxa"/>
              <w:right w:w="40" w:type="dxa"/>
            </w:tcMar>
            <w:vAlign w:val="bottom"/>
          </w:tcPr>
          <w:p w14:paraId="0BC98724" w14:textId="77777777" w:rsidR="009F0928" w:rsidRDefault="002112BD">
            <w:pPr>
              <w:textAlignment w:val="bottom"/>
              <w:rPr>
                <w:rFonts w:ascii="Times New Roman" w:hAnsi="Times New Roman"/>
                <w:sz w:val="16"/>
                <w:szCs w:val="16"/>
              </w:rPr>
            </w:pPr>
            <w:r>
              <w:rPr>
                <w:rFonts w:ascii="Arial" w:eastAsia="宋体" w:hAnsi="Arial" w:cs="Arial"/>
                <w:sz w:val="16"/>
                <w:szCs w:val="16"/>
              </w:rPr>
              <w:t>Marketplace</w:t>
            </w:r>
            <w:r>
              <w:rPr>
                <w:rFonts w:ascii="Arial" w:eastAsia="宋体" w:hAnsi="Arial" w:cs="Arial"/>
                <w:sz w:val="10"/>
                <w:szCs w:val="10"/>
              </w:rPr>
              <w:t> (3)</w:t>
            </w:r>
          </w:p>
        </w:tc>
        <w:tc>
          <w:tcPr>
            <w:tcW w:w="0" w:type="auto"/>
            <w:shd w:val="clear" w:color="auto" w:fill="auto"/>
            <w:tcMar>
              <w:top w:w="40" w:type="dxa"/>
              <w:left w:w="40" w:type="dxa"/>
              <w:bottom w:w="40" w:type="dxa"/>
            </w:tcMar>
            <w:vAlign w:val="bottom"/>
          </w:tcPr>
          <w:p w14:paraId="0BC9872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72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7,416</w:t>
            </w:r>
          </w:p>
        </w:tc>
        <w:tc>
          <w:tcPr>
            <w:tcW w:w="0" w:type="auto"/>
            <w:shd w:val="clear" w:color="auto" w:fill="auto"/>
            <w:vAlign w:val="bottom"/>
          </w:tcPr>
          <w:p w14:paraId="0BC9872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2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72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72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118</w:t>
            </w:r>
          </w:p>
        </w:tc>
        <w:tc>
          <w:tcPr>
            <w:tcW w:w="0" w:type="auto"/>
            <w:shd w:val="clear" w:color="auto" w:fill="auto"/>
            <w:vAlign w:val="bottom"/>
          </w:tcPr>
          <w:p w14:paraId="0BC9872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2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72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72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7,298</w:t>
            </w:r>
          </w:p>
        </w:tc>
        <w:tc>
          <w:tcPr>
            <w:tcW w:w="0" w:type="auto"/>
            <w:shd w:val="clear" w:color="auto" w:fill="auto"/>
            <w:vAlign w:val="bottom"/>
          </w:tcPr>
          <w:p w14:paraId="0BC9872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3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731"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873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6,809</w:t>
            </w:r>
          </w:p>
        </w:tc>
        <w:tc>
          <w:tcPr>
            <w:tcW w:w="0" w:type="auto"/>
            <w:shd w:val="clear" w:color="auto" w:fill="auto"/>
            <w:vAlign w:val="bottom"/>
          </w:tcPr>
          <w:p w14:paraId="0BC9873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3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73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w:t>
            </w:r>
          </w:p>
        </w:tc>
        <w:tc>
          <w:tcPr>
            <w:tcW w:w="0" w:type="auto"/>
            <w:shd w:val="clear" w:color="auto" w:fill="auto"/>
            <w:tcMar>
              <w:top w:w="40" w:type="dxa"/>
              <w:bottom w:w="40" w:type="dxa"/>
              <w:right w:w="40" w:type="dxa"/>
            </w:tcMar>
            <w:vAlign w:val="bottom"/>
          </w:tcPr>
          <w:p w14:paraId="0BC98736"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87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73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w:t>
            </w:r>
          </w:p>
        </w:tc>
        <w:tc>
          <w:tcPr>
            <w:tcW w:w="0" w:type="auto"/>
            <w:shd w:val="clear" w:color="auto" w:fill="auto"/>
            <w:tcMar>
              <w:top w:w="40" w:type="dxa"/>
              <w:bottom w:w="40" w:type="dxa"/>
              <w:right w:w="40" w:type="dxa"/>
            </w:tcMar>
            <w:vAlign w:val="bottom"/>
          </w:tcPr>
          <w:p w14:paraId="0BC98739"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r>
      <w:tr w:rsidR="009F0928" w14:paraId="0BC9874D" w14:textId="77777777">
        <w:tc>
          <w:tcPr>
            <w:tcW w:w="0" w:type="auto"/>
            <w:shd w:val="clear" w:color="auto" w:fill="E2E2E2"/>
            <w:tcMar>
              <w:top w:w="40" w:type="dxa"/>
              <w:left w:w="240" w:type="dxa"/>
              <w:bottom w:w="40" w:type="dxa"/>
              <w:right w:w="40" w:type="dxa"/>
            </w:tcMar>
            <w:vAlign w:val="bottom"/>
          </w:tcPr>
          <w:p w14:paraId="0BC9873B" w14:textId="77777777" w:rsidR="009F0928" w:rsidRDefault="002112BD">
            <w:pPr>
              <w:textAlignment w:val="bottom"/>
              <w:rPr>
                <w:rFonts w:ascii="Times New Roman" w:hAnsi="Times New Roman"/>
                <w:sz w:val="16"/>
                <w:szCs w:val="16"/>
              </w:rPr>
            </w:pPr>
            <w:r>
              <w:rPr>
                <w:rFonts w:ascii="Arial" w:eastAsia="宋体" w:hAnsi="Arial" w:cs="Arial"/>
                <w:sz w:val="16"/>
                <w:szCs w:val="16"/>
              </w:rPr>
              <w:t>StubHub</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73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1,068</w:t>
            </w:r>
          </w:p>
        </w:tc>
        <w:tc>
          <w:tcPr>
            <w:tcW w:w="0" w:type="auto"/>
            <w:tcBorders>
              <w:bottom w:val="single" w:sz="8" w:space="0" w:color="000000"/>
            </w:tcBorders>
            <w:shd w:val="clear" w:color="auto" w:fill="E2E2E2"/>
            <w:vAlign w:val="bottom"/>
          </w:tcPr>
          <w:p w14:paraId="0BC9873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73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73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bottom w:val="single" w:sz="8" w:space="0" w:color="000000"/>
            </w:tcBorders>
            <w:shd w:val="clear" w:color="auto" w:fill="E2E2E2"/>
            <w:vAlign w:val="bottom"/>
          </w:tcPr>
          <w:p w14:paraId="0BC9874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74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74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1,067</w:t>
            </w:r>
          </w:p>
        </w:tc>
        <w:tc>
          <w:tcPr>
            <w:tcW w:w="0" w:type="auto"/>
            <w:tcBorders>
              <w:bottom w:val="single" w:sz="8" w:space="0" w:color="000000"/>
            </w:tcBorders>
            <w:shd w:val="clear" w:color="auto" w:fill="E2E2E2"/>
            <w:vAlign w:val="bottom"/>
          </w:tcPr>
          <w:p w14:paraId="0BC9874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74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74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1,011</w:t>
            </w:r>
          </w:p>
        </w:tc>
        <w:tc>
          <w:tcPr>
            <w:tcW w:w="0" w:type="auto"/>
            <w:tcBorders>
              <w:bottom w:val="single" w:sz="8" w:space="0" w:color="000000"/>
            </w:tcBorders>
            <w:shd w:val="clear" w:color="auto" w:fill="E2E2E2"/>
            <w:vAlign w:val="bottom"/>
          </w:tcPr>
          <w:p w14:paraId="0BC9874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74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E2E2E2"/>
            <w:tcMar>
              <w:top w:w="40" w:type="dxa"/>
              <w:left w:w="40" w:type="dxa"/>
              <w:bottom w:w="40" w:type="dxa"/>
            </w:tcMar>
            <w:vAlign w:val="bottom"/>
          </w:tcPr>
          <w:p w14:paraId="0BC9874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w:t>
            </w:r>
          </w:p>
        </w:tc>
        <w:tc>
          <w:tcPr>
            <w:tcW w:w="0" w:type="auto"/>
            <w:tcBorders>
              <w:bottom w:val="single" w:sz="8" w:space="0" w:color="000000"/>
            </w:tcBorders>
            <w:shd w:val="clear" w:color="auto" w:fill="E2E2E2"/>
            <w:tcMar>
              <w:top w:w="40" w:type="dxa"/>
              <w:bottom w:w="40" w:type="dxa"/>
              <w:right w:w="40" w:type="dxa"/>
            </w:tcMar>
            <w:vAlign w:val="bottom"/>
          </w:tcPr>
          <w:p w14:paraId="0BC98749"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874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E2E2E2"/>
            <w:tcMar>
              <w:top w:w="40" w:type="dxa"/>
              <w:left w:w="40" w:type="dxa"/>
              <w:bottom w:w="40" w:type="dxa"/>
            </w:tcMar>
            <w:vAlign w:val="bottom"/>
          </w:tcPr>
          <w:p w14:paraId="0BC9874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w:t>
            </w:r>
          </w:p>
        </w:tc>
        <w:tc>
          <w:tcPr>
            <w:tcW w:w="0" w:type="auto"/>
            <w:tcBorders>
              <w:bottom w:val="single" w:sz="8" w:space="0" w:color="000000"/>
            </w:tcBorders>
            <w:shd w:val="clear" w:color="auto" w:fill="E2E2E2"/>
            <w:tcMar>
              <w:top w:w="40" w:type="dxa"/>
              <w:bottom w:w="40" w:type="dxa"/>
              <w:right w:w="40" w:type="dxa"/>
            </w:tcMar>
            <w:vAlign w:val="bottom"/>
          </w:tcPr>
          <w:p w14:paraId="0BC9874C"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r>
      <w:tr w:rsidR="009F0928" w14:paraId="0BC98760" w14:textId="77777777">
        <w:tc>
          <w:tcPr>
            <w:tcW w:w="0" w:type="auto"/>
            <w:shd w:val="clear" w:color="auto" w:fill="auto"/>
            <w:tcMar>
              <w:top w:w="40" w:type="dxa"/>
              <w:left w:w="400" w:type="dxa"/>
              <w:bottom w:w="40" w:type="dxa"/>
              <w:right w:w="40" w:type="dxa"/>
            </w:tcMar>
            <w:vAlign w:val="bottom"/>
          </w:tcPr>
          <w:p w14:paraId="0BC9874E" w14:textId="77777777" w:rsidR="009F0928" w:rsidRDefault="002112BD">
            <w:pPr>
              <w:textAlignment w:val="bottom"/>
              <w:rPr>
                <w:rFonts w:ascii="Times New Roman" w:hAnsi="Times New Roman"/>
                <w:sz w:val="16"/>
                <w:szCs w:val="16"/>
              </w:rPr>
            </w:pPr>
            <w:r>
              <w:rPr>
                <w:rFonts w:ascii="Arial" w:eastAsia="宋体" w:hAnsi="Arial" w:cs="Arial"/>
                <w:sz w:val="16"/>
                <w:szCs w:val="16"/>
              </w:rPr>
              <w:t xml:space="preserve">Total </w:t>
            </w:r>
          </w:p>
        </w:tc>
        <w:tc>
          <w:tcPr>
            <w:tcW w:w="0" w:type="auto"/>
            <w:gridSpan w:val="2"/>
            <w:shd w:val="clear" w:color="auto" w:fill="auto"/>
            <w:tcMar>
              <w:top w:w="40" w:type="dxa"/>
              <w:left w:w="40" w:type="dxa"/>
              <w:bottom w:w="40" w:type="dxa"/>
            </w:tcMar>
            <w:vAlign w:val="bottom"/>
          </w:tcPr>
          <w:p w14:paraId="0BC9874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8,484</w:t>
            </w:r>
          </w:p>
        </w:tc>
        <w:tc>
          <w:tcPr>
            <w:tcW w:w="0" w:type="auto"/>
            <w:shd w:val="clear" w:color="auto" w:fill="auto"/>
            <w:vAlign w:val="bottom"/>
          </w:tcPr>
          <w:p w14:paraId="0BC9875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5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75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119</w:t>
            </w:r>
          </w:p>
        </w:tc>
        <w:tc>
          <w:tcPr>
            <w:tcW w:w="0" w:type="auto"/>
            <w:shd w:val="clear" w:color="auto" w:fill="auto"/>
            <w:vAlign w:val="bottom"/>
          </w:tcPr>
          <w:p w14:paraId="0BC9875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5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75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8,365</w:t>
            </w:r>
          </w:p>
        </w:tc>
        <w:tc>
          <w:tcPr>
            <w:tcW w:w="0" w:type="auto"/>
            <w:shd w:val="clear" w:color="auto" w:fill="auto"/>
            <w:vAlign w:val="bottom"/>
          </w:tcPr>
          <w:p w14:paraId="0BC9875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5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75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7,820</w:t>
            </w:r>
          </w:p>
        </w:tc>
        <w:tc>
          <w:tcPr>
            <w:tcW w:w="0" w:type="auto"/>
            <w:shd w:val="clear" w:color="auto" w:fill="auto"/>
            <w:vAlign w:val="bottom"/>
          </w:tcPr>
          <w:p w14:paraId="0BC9875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5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75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w:t>
            </w:r>
          </w:p>
        </w:tc>
        <w:tc>
          <w:tcPr>
            <w:tcW w:w="0" w:type="auto"/>
            <w:shd w:val="clear" w:color="auto" w:fill="auto"/>
            <w:tcMar>
              <w:top w:w="40" w:type="dxa"/>
              <w:bottom w:w="40" w:type="dxa"/>
              <w:right w:w="40" w:type="dxa"/>
            </w:tcMar>
            <w:vAlign w:val="bottom"/>
          </w:tcPr>
          <w:p w14:paraId="0BC9875C"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875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75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w:t>
            </w:r>
          </w:p>
        </w:tc>
        <w:tc>
          <w:tcPr>
            <w:tcW w:w="0" w:type="auto"/>
            <w:shd w:val="clear" w:color="auto" w:fill="auto"/>
            <w:tcMar>
              <w:top w:w="40" w:type="dxa"/>
              <w:bottom w:w="40" w:type="dxa"/>
              <w:right w:w="40" w:type="dxa"/>
            </w:tcMar>
            <w:vAlign w:val="bottom"/>
          </w:tcPr>
          <w:p w14:paraId="0BC9875F"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r>
      <w:tr w:rsidR="009F0928" w14:paraId="0BC9876D" w14:textId="77777777">
        <w:tc>
          <w:tcPr>
            <w:tcW w:w="0" w:type="auto"/>
            <w:shd w:val="clear" w:color="auto" w:fill="E2E2E2"/>
            <w:tcMar>
              <w:top w:w="40" w:type="dxa"/>
              <w:left w:w="40" w:type="dxa"/>
              <w:bottom w:w="40" w:type="dxa"/>
              <w:right w:w="40" w:type="dxa"/>
            </w:tcMar>
            <w:vAlign w:val="bottom"/>
          </w:tcPr>
          <w:p w14:paraId="0BC98761" w14:textId="77777777" w:rsidR="009F0928" w:rsidRDefault="002112BD">
            <w:pPr>
              <w:textAlignment w:val="bottom"/>
              <w:rPr>
                <w:rFonts w:ascii="Times New Roman" w:hAnsi="Times New Roman"/>
                <w:sz w:val="16"/>
                <w:szCs w:val="16"/>
              </w:rPr>
            </w:pPr>
            <w:r>
              <w:rPr>
                <w:rFonts w:ascii="Arial" w:eastAsia="宋体" w:hAnsi="Arial" w:cs="Arial"/>
                <w:sz w:val="16"/>
                <w:szCs w:val="16"/>
              </w:rPr>
              <w:t>Marketing services and other revenues:</w:t>
            </w:r>
          </w:p>
        </w:tc>
        <w:tc>
          <w:tcPr>
            <w:tcW w:w="0" w:type="auto"/>
            <w:gridSpan w:val="3"/>
            <w:shd w:val="clear" w:color="auto" w:fill="E2E2E2"/>
            <w:tcMar>
              <w:top w:w="40" w:type="dxa"/>
              <w:left w:w="40" w:type="dxa"/>
              <w:bottom w:w="40" w:type="dxa"/>
              <w:right w:w="40" w:type="dxa"/>
            </w:tcMar>
            <w:vAlign w:val="bottom"/>
          </w:tcPr>
          <w:p w14:paraId="0BC9876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76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76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7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76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76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76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76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76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76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876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780" w14:textId="77777777">
        <w:tc>
          <w:tcPr>
            <w:tcW w:w="0" w:type="auto"/>
            <w:shd w:val="clear" w:color="auto" w:fill="auto"/>
            <w:tcMar>
              <w:top w:w="40" w:type="dxa"/>
              <w:left w:w="240" w:type="dxa"/>
              <w:bottom w:w="40" w:type="dxa"/>
              <w:right w:w="40" w:type="dxa"/>
            </w:tcMar>
            <w:vAlign w:val="bottom"/>
          </w:tcPr>
          <w:p w14:paraId="0BC9876E" w14:textId="77777777" w:rsidR="009F0928" w:rsidRDefault="002112BD">
            <w:pPr>
              <w:textAlignment w:val="bottom"/>
              <w:rPr>
                <w:rFonts w:ascii="Times New Roman" w:hAnsi="Times New Roman"/>
                <w:sz w:val="16"/>
                <w:szCs w:val="16"/>
              </w:rPr>
            </w:pPr>
            <w:r>
              <w:rPr>
                <w:rFonts w:ascii="Arial" w:eastAsia="宋体" w:hAnsi="Arial" w:cs="Arial"/>
                <w:sz w:val="16"/>
                <w:szCs w:val="16"/>
              </w:rPr>
              <w:t>Marketplace</w:t>
            </w:r>
          </w:p>
        </w:tc>
        <w:tc>
          <w:tcPr>
            <w:tcW w:w="0" w:type="auto"/>
            <w:gridSpan w:val="2"/>
            <w:shd w:val="clear" w:color="auto" w:fill="auto"/>
            <w:tcMar>
              <w:top w:w="40" w:type="dxa"/>
              <w:left w:w="40" w:type="dxa"/>
              <w:bottom w:w="40" w:type="dxa"/>
            </w:tcMar>
            <w:vAlign w:val="bottom"/>
          </w:tcPr>
          <w:p w14:paraId="0BC9876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1,225</w:t>
            </w:r>
          </w:p>
        </w:tc>
        <w:tc>
          <w:tcPr>
            <w:tcW w:w="0" w:type="auto"/>
            <w:shd w:val="clear" w:color="auto" w:fill="auto"/>
            <w:vAlign w:val="bottom"/>
          </w:tcPr>
          <w:p w14:paraId="0BC9877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7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77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w:t>
            </w:r>
          </w:p>
        </w:tc>
        <w:tc>
          <w:tcPr>
            <w:tcW w:w="0" w:type="auto"/>
            <w:shd w:val="clear" w:color="auto" w:fill="auto"/>
            <w:vAlign w:val="bottom"/>
          </w:tcPr>
          <w:p w14:paraId="0BC9877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7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77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1,203</w:t>
            </w:r>
          </w:p>
        </w:tc>
        <w:tc>
          <w:tcPr>
            <w:tcW w:w="0" w:type="auto"/>
            <w:shd w:val="clear" w:color="auto" w:fill="auto"/>
            <w:vAlign w:val="bottom"/>
          </w:tcPr>
          <w:p w14:paraId="0BC9877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7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77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1,192</w:t>
            </w:r>
          </w:p>
        </w:tc>
        <w:tc>
          <w:tcPr>
            <w:tcW w:w="0" w:type="auto"/>
            <w:shd w:val="clear" w:color="auto" w:fill="auto"/>
            <w:vAlign w:val="bottom"/>
          </w:tcPr>
          <w:p w14:paraId="0BC9877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7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77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w:t>
            </w:r>
          </w:p>
        </w:tc>
        <w:tc>
          <w:tcPr>
            <w:tcW w:w="0" w:type="auto"/>
            <w:shd w:val="clear" w:color="auto" w:fill="auto"/>
            <w:tcMar>
              <w:top w:w="40" w:type="dxa"/>
              <w:bottom w:w="40" w:type="dxa"/>
              <w:right w:w="40" w:type="dxa"/>
            </w:tcMar>
            <w:vAlign w:val="bottom"/>
          </w:tcPr>
          <w:p w14:paraId="0BC9877C"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877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77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auto"/>
            <w:tcMar>
              <w:top w:w="40" w:type="dxa"/>
              <w:bottom w:w="40" w:type="dxa"/>
              <w:right w:w="40" w:type="dxa"/>
            </w:tcMar>
            <w:vAlign w:val="bottom"/>
          </w:tcPr>
          <w:p w14:paraId="0BC9877F"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r>
      <w:tr w:rsidR="009F0928" w14:paraId="0BC98793" w14:textId="77777777">
        <w:tc>
          <w:tcPr>
            <w:tcW w:w="0" w:type="auto"/>
            <w:shd w:val="clear" w:color="auto" w:fill="E2E2E2"/>
            <w:tcMar>
              <w:top w:w="40" w:type="dxa"/>
              <w:left w:w="240" w:type="dxa"/>
              <w:bottom w:w="40" w:type="dxa"/>
              <w:right w:w="40" w:type="dxa"/>
            </w:tcMar>
            <w:vAlign w:val="bottom"/>
          </w:tcPr>
          <w:p w14:paraId="0BC98781" w14:textId="77777777" w:rsidR="009F0928" w:rsidRDefault="002112BD">
            <w:pPr>
              <w:textAlignment w:val="bottom"/>
              <w:rPr>
                <w:rFonts w:ascii="Times New Roman" w:hAnsi="Times New Roman"/>
                <w:sz w:val="16"/>
                <w:szCs w:val="16"/>
              </w:rPr>
            </w:pPr>
            <w:r>
              <w:rPr>
                <w:rFonts w:ascii="Arial" w:eastAsia="宋体" w:hAnsi="Arial" w:cs="Arial"/>
                <w:sz w:val="16"/>
                <w:szCs w:val="16"/>
              </w:rPr>
              <w:t>Classifieds</w:t>
            </w:r>
          </w:p>
        </w:tc>
        <w:tc>
          <w:tcPr>
            <w:tcW w:w="0" w:type="auto"/>
            <w:gridSpan w:val="2"/>
            <w:shd w:val="clear" w:color="auto" w:fill="E2E2E2"/>
            <w:tcMar>
              <w:top w:w="40" w:type="dxa"/>
              <w:left w:w="40" w:type="dxa"/>
              <w:bottom w:w="40" w:type="dxa"/>
            </w:tcMar>
            <w:vAlign w:val="bottom"/>
          </w:tcPr>
          <w:p w14:paraId="0BC9878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1,022</w:t>
            </w:r>
          </w:p>
        </w:tc>
        <w:tc>
          <w:tcPr>
            <w:tcW w:w="0" w:type="auto"/>
            <w:shd w:val="clear" w:color="auto" w:fill="E2E2E2"/>
            <w:vAlign w:val="bottom"/>
          </w:tcPr>
          <w:p w14:paraId="0BC9878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78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78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33</w:t>
            </w:r>
          </w:p>
        </w:tc>
        <w:tc>
          <w:tcPr>
            <w:tcW w:w="0" w:type="auto"/>
            <w:shd w:val="clear" w:color="auto" w:fill="E2E2E2"/>
            <w:vAlign w:val="bottom"/>
          </w:tcPr>
          <w:p w14:paraId="0BC9878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78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78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989</w:t>
            </w:r>
          </w:p>
        </w:tc>
        <w:tc>
          <w:tcPr>
            <w:tcW w:w="0" w:type="auto"/>
            <w:shd w:val="clear" w:color="auto" w:fill="E2E2E2"/>
            <w:vAlign w:val="bottom"/>
          </w:tcPr>
          <w:p w14:paraId="0BC9878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78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78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897</w:t>
            </w:r>
          </w:p>
        </w:tc>
        <w:tc>
          <w:tcPr>
            <w:tcW w:w="0" w:type="auto"/>
            <w:shd w:val="clear" w:color="auto" w:fill="E2E2E2"/>
            <w:vAlign w:val="bottom"/>
          </w:tcPr>
          <w:p w14:paraId="0BC9878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7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78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14</w:t>
            </w:r>
          </w:p>
        </w:tc>
        <w:tc>
          <w:tcPr>
            <w:tcW w:w="0" w:type="auto"/>
            <w:shd w:val="clear" w:color="auto" w:fill="E2E2E2"/>
            <w:tcMar>
              <w:top w:w="40" w:type="dxa"/>
              <w:bottom w:w="40" w:type="dxa"/>
              <w:right w:w="40" w:type="dxa"/>
            </w:tcMar>
            <w:vAlign w:val="bottom"/>
          </w:tcPr>
          <w:p w14:paraId="0BC9878F"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87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79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w:t>
            </w:r>
          </w:p>
        </w:tc>
        <w:tc>
          <w:tcPr>
            <w:tcW w:w="0" w:type="auto"/>
            <w:shd w:val="clear" w:color="auto" w:fill="E2E2E2"/>
            <w:tcMar>
              <w:top w:w="40" w:type="dxa"/>
              <w:bottom w:w="40" w:type="dxa"/>
              <w:right w:w="40" w:type="dxa"/>
            </w:tcMar>
            <w:vAlign w:val="bottom"/>
          </w:tcPr>
          <w:p w14:paraId="0BC98792"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r>
      <w:tr w:rsidR="009F0928" w14:paraId="0BC987A6" w14:textId="77777777">
        <w:tc>
          <w:tcPr>
            <w:tcW w:w="0" w:type="auto"/>
            <w:shd w:val="clear" w:color="auto" w:fill="auto"/>
            <w:tcMar>
              <w:top w:w="40" w:type="dxa"/>
              <w:left w:w="240" w:type="dxa"/>
              <w:bottom w:w="40" w:type="dxa"/>
              <w:right w:w="40" w:type="dxa"/>
            </w:tcMar>
            <w:vAlign w:val="bottom"/>
          </w:tcPr>
          <w:p w14:paraId="0BC98794" w14:textId="77777777" w:rsidR="009F0928" w:rsidRDefault="002112BD">
            <w:pPr>
              <w:textAlignment w:val="bottom"/>
              <w:rPr>
                <w:rFonts w:ascii="Times New Roman" w:hAnsi="Times New Roman"/>
                <w:sz w:val="16"/>
                <w:szCs w:val="16"/>
              </w:rPr>
            </w:pPr>
            <w:r>
              <w:rPr>
                <w:rFonts w:ascii="Arial" w:eastAsia="宋体" w:hAnsi="Arial" w:cs="Arial"/>
                <w:sz w:val="16"/>
                <w:szCs w:val="16"/>
              </w:rPr>
              <w:t>StubHub</w:t>
            </w:r>
          </w:p>
        </w:tc>
        <w:tc>
          <w:tcPr>
            <w:tcW w:w="0" w:type="auto"/>
            <w:gridSpan w:val="2"/>
            <w:tcBorders>
              <w:bottom w:val="single" w:sz="8" w:space="0" w:color="000000"/>
            </w:tcBorders>
            <w:shd w:val="clear" w:color="auto" w:fill="auto"/>
            <w:tcMar>
              <w:top w:w="40" w:type="dxa"/>
              <w:left w:w="40" w:type="dxa"/>
              <w:bottom w:w="40" w:type="dxa"/>
            </w:tcMar>
            <w:vAlign w:val="bottom"/>
          </w:tcPr>
          <w:p w14:paraId="0BC9879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15</w:t>
            </w:r>
          </w:p>
        </w:tc>
        <w:tc>
          <w:tcPr>
            <w:tcW w:w="0" w:type="auto"/>
            <w:tcBorders>
              <w:bottom w:val="single" w:sz="8" w:space="0" w:color="000000"/>
            </w:tcBorders>
            <w:shd w:val="clear" w:color="auto" w:fill="auto"/>
            <w:vAlign w:val="bottom"/>
          </w:tcPr>
          <w:p w14:paraId="0BC9879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79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auto"/>
            <w:vAlign w:val="bottom"/>
          </w:tcPr>
          <w:p w14:paraId="0BC9879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9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79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15</w:t>
            </w:r>
          </w:p>
        </w:tc>
        <w:tc>
          <w:tcPr>
            <w:tcW w:w="0" w:type="auto"/>
            <w:tcBorders>
              <w:bottom w:val="single" w:sz="8" w:space="0" w:color="000000"/>
            </w:tcBorders>
            <w:shd w:val="clear" w:color="auto" w:fill="auto"/>
            <w:vAlign w:val="bottom"/>
          </w:tcPr>
          <w:p w14:paraId="0BC9879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9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79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18</w:t>
            </w:r>
          </w:p>
        </w:tc>
        <w:tc>
          <w:tcPr>
            <w:tcW w:w="0" w:type="auto"/>
            <w:tcBorders>
              <w:bottom w:val="single" w:sz="8" w:space="0" w:color="000000"/>
            </w:tcBorders>
            <w:shd w:val="clear" w:color="auto" w:fill="auto"/>
            <w:vAlign w:val="bottom"/>
          </w:tcPr>
          <w:p w14:paraId="0BC9879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0BC987A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(17</w:t>
            </w:r>
          </w:p>
        </w:tc>
        <w:tc>
          <w:tcPr>
            <w:tcW w:w="0" w:type="auto"/>
            <w:tcBorders>
              <w:bottom w:val="single" w:sz="8" w:space="0" w:color="000000"/>
            </w:tcBorders>
            <w:shd w:val="clear" w:color="auto" w:fill="auto"/>
            <w:tcMar>
              <w:top w:w="40" w:type="dxa"/>
              <w:bottom w:w="40" w:type="dxa"/>
              <w:right w:w="40" w:type="dxa"/>
            </w:tcMar>
            <w:vAlign w:val="bottom"/>
          </w:tcPr>
          <w:p w14:paraId="0BC987A2"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87A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0BC987A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(18</w:t>
            </w:r>
          </w:p>
        </w:tc>
        <w:tc>
          <w:tcPr>
            <w:tcW w:w="0" w:type="auto"/>
            <w:tcBorders>
              <w:bottom w:val="single" w:sz="8" w:space="0" w:color="000000"/>
            </w:tcBorders>
            <w:shd w:val="clear" w:color="auto" w:fill="auto"/>
            <w:tcMar>
              <w:top w:w="40" w:type="dxa"/>
              <w:bottom w:w="40" w:type="dxa"/>
              <w:right w:w="40" w:type="dxa"/>
            </w:tcMar>
            <w:vAlign w:val="bottom"/>
          </w:tcPr>
          <w:p w14:paraId="0BC987A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87B9" w14:textId="77777777">
        <w:tc>
          <w:tcPr>
            <w:tcW w:w="0" w:type="auto"/>
            <w:shd w:val="clear" w:color="auto" w:fill="E2E2E2"/>
            <w:tcMar>
              <w:top w:w="40" w:type="dxa"/>
              <w:left w:w="400" w:type="dxa"/>
              <w:bottom w:w="40" w:type="dxa"/>
              <w:right w:w="40" w:type="dxa"/>
            </w:tcMar>
            <w:vAlign w:val="bottom"/>
          </w:tcPr>
          <w:p w14:paraId="0BC987A7" w14:textId="77777777" w:rsidR="009F0928" w:rsidRDefault="002112BD">
            <w:pPr>
              <w:textAlignment w:val="bottom"/>
              <w:rPr>
                <w:rFonts w:ascii="Times New Roman" w:hAnsi="Times New Roman"/>
                <w:sz w:val="16"/>
                <w:szCs w:val="16"/>
              </w:rPr>
            </w:pPr>
            <w:r>
              <w:rPr>
                <w:rFonts w:ascii="Arial" w:eastAsia="宋体" w:hAnsi="Arial" w:cs="Arial"/>
                <w:sz w:val="16"/>
                <w:szCs w:val="16"/>
              </w:rPr>
              <w:t xml:space="preserve">Total </w:t>
            </w:r>
          </w:p>
        </w:tc>
        <w:tc>
          <w:tcPr>
            <w:tcW w:w="0" w:type="auto"/>
            <w:gridSpan w:val="2"/>
            <w:shd w:val="clear" w:color="auto" w:fill="E2E2E2"/>
            <w:tcMar>
              <w:top w:w="40" w:type="dxa"/>
              <w:left w:w="40" w:type="dxa"/>
              <w:bottom w:w="40" w:type="dxa"/>
            </w:tcMar>
            <w:vAlign w:val="bottom"/>
          </w:tcPr>
          <w:p w14:paraId="0BC987A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2,262</w:t>
            </w:r>
          </w:p>
        </w:tc>
        <w:tc>
          <w:tcPr>
            <w:tcW w:w="0" w:type="auto"/>
            <w:shd w:val="clear" w:color="auto" w:fill="E2E2E2"/>
            <w:vAlign w:val="bottom"/>
          </w:tcPr>
          <w:p w14:paraId="0BC987A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7A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7A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55</w:t>
            </w:r>
          </w:p>
        </w:tc>
        <w:tc>
          <w:tcPr>
            <w:tcW w:w="0" w:type="auto"/>
            <w:shd w:val="clear" w:color="auto" w:fill="E2E2E2"/>
            <w:vAlign w:val="bottom"/>
          </w:tcPr>
          <w:p w14:paraId="0BC987A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7A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7A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2,207</w:t>
            </w:r>
          </w:p>
        </w:tc>
        <w:tc>
          <w:tcPr>
            <w:tcW w:w="0" w:type="auto"/>
            <w:shd w:val="clear" w:color="auto" w:fill="E2E2E2"/>
            <w:vAlign w:val="bottom"/>
          </w:tcPr>
          <w:p w14:paraId="0BC987A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7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7B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2,107</w:t>
            </w:r>
          </w:p>
        </w:tc>
        <w:tc>
          <w:tcPr>
            <w:tcW w:w="0" w:type="auto"/>
            <w:shd w:val="clear" w:color="auto" w:fill="E2E2E2"/>
            <w:vAlign w:val="bottom"/>
          </w:tcPr>
          <w:p w14:paraId="0BC987B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7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7B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w:t>
            </w:r>
          </w:p>
        </w:tc>
        <w:tc>
          <w:tcPr>
            <w:tcW w:w="0" w:type="auto"/>
            <w:shd w:val="clear" w:color="auto" w:fill="E2E2E2"/>
            <w:tcMar>
              <w:top w:w="40" w:type="dxa"/>
              <w:bottom w:w="40" w:type="dxa"/>
              <w:right w:w="40" w:type="dxa"/>
            </w:tcMar>
            <w:vAlign w:val="bottom"/>
          </w:tcPr>
          <w:p w14:paraId="0BC987B5"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87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7B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E2E2E2"/>
            <w:tcMar>
              <w:top w:w="40" w:type="dxa"/>
              <w:bottom w:w="40" w:type="dxa"/>
              <w:right w:w="40" w:type="dxa"/>
            </w:tcMar>
            <w:vAlign w:val="bottom"/>
          </w:tcPr>
          <w:p w14:paraId="0BC987B8"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r>
      <w:tr w:rsidR="009F0928" w14:paraId="0BC987D0" w14:textId="77777777">
        <w:tc>
          <w:tcPr>
            <w:tcW w:w="0" w:type="auto"/>
            <w:shd w:val="clear" w:color="auto" w:fill="auto"/>
            <w:tcMar>
              <w:top w:w="40" w:type="dxa"/>
              <w:left w:w="560" w:type="dxa"/>
              <w:bottom w:w="40" w:type="dxa"/>
              <w:right w:w="40" w:type="dxa"/>
            </w:tcMar>
            <w:vAlign w:val="bottom"/>
          </w:tcPr>
          <w:p w14:paraId="0BC987BA" w14:textId="77777777" w:rsidR="009F0928" w:rsidRDefault="002112BD">
            <w:pPr>
              <w:textAlignment w:val="bottom"/>
              <w:rPr>
                <w:rFonts w:ascii="Times New Roman" w:hAnsi="Times New Roman"/>
                <w:sz w:val="16"/>
                <w:szCs w:val="16"/>
              </w:rPr>
            </w:pPr>
            <w:r>
              <w:rPr>
                <w:rFonts w:ascii="Arial" w:eastAsia="宋体" w:hAnsi="Arial" w:cs="Arial"/>
                <w:sz w:val="16"/>
                <w:szCs w:val="16"/>
              </w:rPr>
              <w:t>Total net revenues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7B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7B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10,746</w:t>
            </w:r>
          </w:p>
        </w:tc>
        <w:tc>
          <w:tcPr>
            <w:tcW w:w="0" w:type="auto"/>
            <w:tcBorders>
              <w:top w:val="single" w:sz="8" w:space="0" w:color="000000"/>
              <w:bottom w:val="double" w:sz="6" w:space="0" w:color="000000"/>
            </w:tcBorders>
            <w:shd w:val="clear" w:color="auto" w:fill="auto"/>
            <w:vAlign w:val="bottom"/>
          </w:tcPr>
          <w:p w14:paraId="0BC987B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B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7B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7C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174</w:t>
            </w:r>
          </w:p>
        </w:tc>
        <w:tc>
          <w:tcPr>
            <w:tcW w:w="0" w:type="auto"/>
            <w:tcBorders>
              <w:top w:val="single" w:sz="8" w:space="0" w:color="000000"/>
              <w:bottom w:val="double" w:sz="6" w:space="0" w:color="000000"/>
            </w:tcBorders>
            <w:shd w:val="clear" w:color="auto" w:fill="auto"/>
            <w:vAlign w:val="bottom"/>
          </w:tcPr>
          <w:p w14:paraId="0BC987C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C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7C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7C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10,572</w:t>
            </w:r>
          </w:p>
        </w:tc>
        <w:tc>
          <w:tcPr>
            <w:tcW w:w="0" w:type="auto"/>
            <w:tcBorders>
              <w:top w:val="single" w:sz="8" w:space="0" w:color="000000"/>
              <w:bottom w:val="double" w:sz="6" w:space="0" w:color="000000"/>
            </w:tcBorders>
            <w:shd w:val="clear" w:color="auto" w:fill="auto"/>
            <w:vAlign w:val="bottom"/>
          </w:tcPr>
          <w:p w14:paraId="0BC987C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C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7C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7C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9,927</w:t>
            </w:r>
          </w:p>
        </w:tc>
        <w:tc>
          <w:tcPr>
            <w:tcW w:w="0" w:type="auto"/>
            <w:tcBorders>
              <w:top w:val="single" w:sz="8" w:space="0" w:color="000000"/>
              <w:bottom w:val="double" w:sz="6" w:space="0" w:color="000000"/>
            </w:tcBorders>
            <w:shd w:val="clear" w:color="auto" w:fill="auto"/>
            <w:vAlign w:val="bottom"/>
          </w:tcPr>
          <w:p w14:paraId="0BC987C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7C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7C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BC987CC"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87C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7C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BC987CF"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r>
    </w:tbl>
    <w:p w14:paraId="0BC987D1" w14:textId="77777777" w:rsidR="009F0928" w:rsidRDefault="009F0928">
      <w:pPr>
        <w:rPr>
          <w:vanish/>
        </w:rPr>
      </w:pPr>
    </w:p>
    <w:tbl>
      <w:tblPr>
        <w:tblW w:w="2400" w:type="dxa"/>
        <w:tblCellMar>
          <w:left w:w="0" w:type="dxa"/>
          <w:right w:w="0" w:type="dxa"/>
        </w:tblCellMar>
        <w:tblLook w:val="04A0" w:firstRow="1" w:lastRow="0" w:firstColumn="1" w:lastColumn="0" w:noHBand="0" w:noVBand="1"/>
      </w:tblPr>
      <w:tblGrid>
        <w:gridCol w:w="2400"/>
      </w:tblGrid>
      <w:tr w:rsidR="009F0928" w14:paraId="0BC987D3" w14:textId="77777777">
        <w:tc>
          <w:tcPr>
            <w:tcW w:w="0" w:type="auto"/>
            <w:shd w:val="clear" w:color="auto" w:fill="auto"/>
            <w:vAlign w:val="center"/>
          </w:tcPr>
          <w:p w14:paraId="0BC987D2" w14:textId="77777777" w:rsidR="009F0928" w:rsidRDefault="009F0928">
            <w:pPr>
              <w:rPr>
                <w:rFonts w:ascii="Times New Roman" w:hAnsi="Times New Roman"/>
                <w:sz w:val="20"/>
                <w:szCs w:val="20"/>
              </w:rPr>
            </w:pPr>
          </w:p>
        </w:tc>
      </w:tr>
      <w:tr w:rsidR="009F0928" w14:paraId="0BC987D5" w14:textId="77777777">
        <w:tc>
          <w:tcPr>
            <w:tcW w:w="2400" w:type="dxa"/>
            <w:shd w:val="clear" w:color="auto" w:fill="auto"/>
            <w:vAlign w:val="center"/>
          </w:tcPr>
          <w:p w14:paraId="0BC987D4" w14:textId="77777777" w:rsidR="009F0928" w:rsidRDefault="009F0928">
            <w:pPr>
              <w:rPr>
                <w:rFonts w:ascii="Times New Roman" w:hAnsi="Times New Roman"/>
                <w:sz w:val="20"/>
                <w:szCs w:val="20"/>
              </w:rPr>
            </w:pPr>
          </w:p>
        </w:tc>
      </w:tr>
      <w:tr w:rsidR="009F0928" w14:paraId="0BC987D7"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0BC987D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87D8" w14:textId="77777777" w:rsidR="009F0928" w:rsidRDefault="002112BD">
      <w:pPr>
        <w:spacing w:line="288" w:lineRule="auto"/>
        <w:jc w:val="both"/>
        <w:rPr>
          <w:rFonts w:ascii="Times New Roman" w:hAnsi="Times New Roman"/>
          <w:sz w:val="16"/>
          <w:szCs w:val="16"/>
        </w:rPr>
      </w:pPr>
      <w:r>
        <w:rPr>
          <w:rFonts w:ascii="Arial" w:eastAsia="宋体" w:hAnsi="Arial" w:cs="Arial"/>
          <w:sz w:val="16"/>
          <w:szCs w:val="16"/>
        </w:rPr>
        <w:t>** Not meaningful</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9F0928" w14:paraId="0BC987DB" w14:textId="77777777">
        <w:trPr>
          <w:tblCellSpacing w:w="0" w:type="dxa"/>
        </w:trPr>
        <w:tc>
          <w:tcPr>
            <w:tcW w:w="480" w:type="dxa"/>
            <w:shd w:val="clear" w:color="auto" w:fill="auto"/>
            <w:vAlign w:val="center"/>
          </w:tcPr>
          <w:p w14:paraId="0BC987D9" w14:textId="77777777" w:rsidR="009F0928" w:rsidRDefault="009F0928">
            <w:pPr>
              <w:rPr>
                <w:rFonts w:ascii="Times New Roman" w:hAnsi="Times New Roman"/>
                <w:sz w:val="20"/>
                <w:szCs w:val="20"/>
              </w:rPr>
            </w:pPr>
          </w:p>
        </w:tc>
        <w:tc>
          <w:tcPr>
            <w:tcW w:w="0" w:type="auto"/>
            <w:shd w:val="clear" w:color="auto" w:fill="auto"/>
            <w:vAlign w:val="center"/>
          </w:tcPr>
          <w:p w14:paraId="0BC987DA" w14:textId="77777777" w:rsidR="009F0928" w:rsidRDefault="009F0928">
            <w:pPr>
              <w:rPr>
                <w:rFonts w:ascii="Times New Roman" w:hAnsi="Times New Roman"/>
                <w:sz w:val="20"/>
                <w:szCs w:val="20"/>
              </w:rPr>
            </w:pPr>
          </w:p>
        </w:tc>
      </w:tr>
      <w:tr w:rsidR="009F0928" w14:paraId="0BC987DE" w14:textId="77777777">
        <w:trPr>
          <w:tblCellSpacing w:w="0" w:type="dxa"/>
        </w:trPr>
        <w:tc>
          <w:tcPr>
            <w:tcW w:w="0" w:type="auto"/>
            <w:shd w:val="clear" w:color="auto" w:fill="auto"/>
          </w:tcPr>
          <w:p w14:paraId="0BC987DC"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(1)</w:t>
            </w:r>
          </w:p>
        </w:tc>
        <w:tc>
          <w:tcPr>
            <w:tcW w:w="0" w:type="auto"/>
            <w:shd w:val="clear" w:color="auto" w:fill="auto"/>
          </w:tcPr>
          <w:p w14:paraId="0BC987DD"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 xml:space="preserve">We define exchange rate effect as the year-over-year impact of foreign currency movements using prior period foreign currency rates applied to current year transactional currency amounts, excluding hedging activity. </w:t>
            </w:r>
          </w:p>
        </w:tc>
      </w:tr>
    </w:tbl>
    <w:p w14:paraId="0BC987DF" w14:textId="77777777" w:rsidR="009F0928" w:rsidRDefault="009F0928">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9F0928" w14:paraId="0BC987E2" w14:textId="77777777">
        <w:trPr>
          <w:tblCellSpacing w:w="0" w:type="dxa"/>
        </w:trPr>
        <w:tc>
          <w:tcPr>
            <w:tcW w:w="480" w:type="dxa"/>
            <w:shd w:val="clear" w:color="auto" w:fill="auto"/>
            <w:vAlign w:val="center"/>
          </w:tcPr>
          <w:p w14:paraId="0BC987E0" w14:textId="77777777" w:rsidR="009F0928" w:rsidRDefault="009F0928">
            <w:pPr>
              <w:rPr>
                <w:rFonts w:ascii="Times New Roman" w:hAnsi="Times New Roman"/>
                <w:sz w:val="20"/>
                <w:szCs w:val="20"/>
              </w:rPr>
            </w:pPr>
          </w:p>
        </w:tc>
        <w:tc>
          <w:tcPr>
            <w:tcW w:w="0" w:type="auto"/>
            <w:shd w:val="clear" w:color="auto" w:fill="auto"/>
            <w:vAlign w:val="center"/>
          </w:tcPr>
          <w:p w14:paraId="0BC987E1" w14:textId="77777777" w:rsidR="009F0928" w:rsidRDefault="009F0928">
            <w:pPr>
              <w:rPr>
                <w:rFonts w:ascii="Times New Roman" w:hAnsi="Times New Roman"/>
                <w:sz w:val="20"/>
                <w:szCs w:val="20"/>
              </w:rPr>
            </w:pPr>
          </w:p>
        </w:tc>
      </w:tr>
      <w:tr w:rsidR="009F0928" w14:paraId="0BC987E5" w14:textId="77777777">
        <w:trPr>
          <w:tblCellSpacing w:w="0" w:type="dxa"/>
        </w:trPr>
        <w:tc>
          <w:tcPr>
            <w:tcW w:w="0" w:type="auto"/>
            <w:shd w:val="clear" w:color="auto" w:fill="auto"/>
          </w:tcPr>
          <w:p w14:paraId="0BC987E3"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(2)</w:t>
            </w:r>
          </w:p>
        </w:tc>
        <w:tc>
          <w:tcPr>
            <w:tcW w:w="0" w:type="auto"/>
            <w:shd w:val="clear" w:color="auto" w:fill="auto"/>
          </w:tcPr>
          <w:p w14:paraId="0BC987E4"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We define FX-Neutral GMV as GM</w:t>
            </w:r>
            <w:r>
              <w:rPr>
                <w:rFonts w:ascii="Arial" w:eastAsia="宋体" w:hAnsi="Arial" w:cs="Arial"/>
                <w:sz w:val="16"/>
                <w:szCs w:val="16"/>
              </w:rPr>
              <w:t>V minus the exchange rate effect. We define the non-GAAP financial measures of FX-Neutral net revenues as net revenues minus the exchange rate effect.</w:t>
            </w:r>
          </w:p>
        </w:tc>
      </w:tr>
    </w:tbl>
    <w:p w14:paraId="0BC987E6" w14:textId="77777777" w:rsidR="009F0928" w:rsidRDefault="009F0928">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9F0928" w14:paraId="0BC987E9" w14:textId="77777777">
        <w:trPr>
          <w:tblCellSpacing w:w="0" w:type="dxa"/>
        </w:trPr>
        <w:tc>
          <w:tcPr>
            <w:tcW w:w="480" w:type="dxa"/>
            <w:shd w:val="clear" w:color="auto" w:fill="auto"/>
            <w:vAlign w:val="center"/>
          </w:tcPr>
          <w:p w14:paraId="0BC987E7" w14:textId="77777777" w:rsidR="009F0928" w:rsidRDefault="009F0928">
            <w:pPr>
              <w:rPr>
                <w:rFonts w:ascii="Times New Roman" w:hAnsi="Times New Roman"/>
                <w:sz w:val="20"/>
                <w:szCs w:val="20"/>
              </w:rPr>
            </w:pPr>
          </w:p>
        </w:tc>
        <w:tc>
          <w:tcPr>
            <w:tcW w:w="0" w:type="auto"/>
            <w:shd w:val="clear" w:color="auto" w:fill="auto"/>
            <w:vAlign w:val="center"/>
          </w:tcPr>
          <w:p w14:paraId="0BC987E8" w14:textId="77777777" w:rsidR="009F0928" w:rsidRDefault="009F0928">
            <w:pPr>
              <w:rPr>
                <w:rFonts w:ascii="Times New Roman" w:hAnsi="Times New Roman"/>
                <w:sz w:val="20"/>
                <w:szCs w:val="20"/>
              </w:rPr>
            </w:pPr>
          </w:p>
        </w:tc>
      </w:tr>
      <w:tr w:rsidR="009F0928" w14:paraId="0BC987EC" w14:textId="77777777">
        <w:trPr>
          <w:tblCellSpacing w:w="0" w:type="dxa"/>
        </w:trPr>
        <w:tc>
          <w:tcPr>
            <w:tcW w:w="0" w:type="auto"/>
            <w:shd w:val="clear" w:color="auto" w:fill="auto"/>
          </w:tcPr>
          <w:p w14:paraId="0BC987EA"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(3)</w:t>
            </w:r>
          </w:p>
        </w:tc>
        <w:tc>
          <w:tcPr>
            <w:tcW w:w="0" w:type="auto"/>
            <w:shd w:val="clear" w:color="auto" w:fill="auto"/>
          </w:tcPr>
          <w:p w14:paraId="0BC987EB"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 xml:space="preserve">Marketplace net transaction revenues were net of $81 million and $8 million of hedging </w:t>
            </w:r>
            <w:r>
              <w:rPr>
                <w:rFonts w:ascii="Arial" w:eastAsia="宋体" w:hAnsi="Arial" w:cs="Arial"/>
                <w:sz w:val="16"/>
                <w:szCs w:val="16"/>
              </w:rPr>
              <w:t>activity in 2019 and 2018, respectively.     </w:t>
            </w:r>
          </w:p>
        </w:tc>
      </w:tr>
    </w:tbl>
    <w:p w14:paraId="0BC987ED" w14:textId="77777777" w:rsidR="009F0928" w:rsidRDefault="009F0928">
      <w:pPr>
        <w:spacing w:line="288" w:lineRule="auto"/>
        <w:ind w:hanging="480"/>
        <w:jc w:val="both"/>
        <w:rPr>
          <w:rFonts w:ascii="Times New Roman" w:hAnsi="Times New Roman"/>
          <w:sz w:val="16"/>
          <w:szCs w:val="16"/>
        </w:rPr>
      </w:pPr>
    </w:p>
    <w:p w14:paraId="0BC987EE" w14:textId="77777777" w:rsidR="009F0928" w:rsidRDefault="009F0928">
      <w:pPr>
        <w:rPr>
          <w:rFonts w:ascii="Times New Roman" w:hAnsi="Times New Roman"/>
          <w:sz w:val="20"/>
          <w:szCs w:val="20"/>
        </w:rPr>
      </w:pPr>
    </w:p>
    <w:p w14:paraId="0BC987EF"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48</w:t>
      </w:r>
    </w:p>
    <w:p w14:paraId="0BC987F0" w14:textId="77777777" w:rsidR="009F0928" w:rsidRDefault="002112BD">
      <w:r>
        <w:rPr>
          <w:rFonts w:ascii="Times New Roman" w:hAnsi="Times New Roman"/>
          <w:sz w:val="18"/>
          <w:szCs w:val="18"/>
        </w:rPr>
        <w:pict w14:anchorId="0BC9B4ED">
          <v:rect id="_x0000_i1073" style="width:415.3pt;height:1.5pt" o:hralign="center" o:hrstd="t" o:hr="t" fillcolor="#a0a0a0" stroked="f"/>
        </w:pict>
      </w:r>
    </w:p>
    <w:p w14:paraId="0BC987F1" w14:textId="77777777" w:rsidR="009F0928" w:rsidRDefault="009F0928">
      <w:pPr>
        <w:spacing w:line="288" w:lineRule="auto"/>
        <w:rPr>
          <w:rFonts w:ascii="Times New Roman" w:hAnsi="Times New Roman"/>
          <w:sz w:val="20"/>
          <w:szCs w:val="20"/>
        </w:rPr>
      </w:pPr>
    </w:p>
    <w:p w14:paraId="0BC987F2" w14:textId="77777777" w:rsidR="009F0928" w:rsidRDefault="009F0928">
      <w:pPr>
        <w:rPr>
          <w:rFonts w:ascii="Times New Roman" w:hAnsi="Times New Roman"/>
          <w:sz w:val="20"/>
          <w:szCs w:val="20"/>
        </w:rPr>
      </w:pPr>
    </w:p>
    <w:p w14:paraId="0BC987F3"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Liquidity and Capital Resources</w:t>
      </w:r>
    </w:p>
    <w:p w14:paraId="0BC987F4" w14:textId="77777777" w:rsidR="009F0928" w:rsidRDefault="009F0928">
      <w:pPr>
        <w:spacing w:line="288" w:lineRule="auto"/>
        <w:jc w:val="both"/>
        <w:rPr>
          <w:rFonts w:ascii="Times New Roman" w:hAnsi="Times New Roman"/>
          <w:sz w:val="20"/>
          <w:szCs w:val="20"/>
        </w:rPr>
      </w:pPr>
    </w:p>
    <w:p w14:paraId="0BC987F5" w14:textId="77777777" w:rsidR="009F0928" w:rsidRDefault="002112BD">
      <w:pPr>
        <w:spacing w:line="288" w:lineRule="auto"/>
        <w:jc w:val="both"/>
        <w:rPr>
          <w:rFonts w:ascii="Times New Roman" w:hAnsi="Times New Roman"/>
          <w:sz w:val="20"/>
          <w:szCs w:val="20"/>
        </w:rPr>
      </w:pPr>
      <w:r>
        <w:rPr>
          <w:rFonts w:ascii="Arial" w:eastAsia="宋体" w:hAnsi="Arial" w:cs="Arial"/>
          <w:i/>
          <w:iCs/>
          <w:sz w:val="20"/>
          <w:szCs w:val="20"/>
        </w:rPr>
        <w:t>Cash Flows</w:t>
      </w:r>
      <w:r>
        <w:rPr>
          <w:rFonts w:ascii="Arial" w:eastAsia="宋体" w:hAnsi="Arial" w:cs="Arial"/>
          <w:sz w:val="20"/>
          <w:szCs w:val="20"/>
        </w:rPr>
        <w:t> </w:t>
      </w:r>
    </w:p>
    <w:tbl>
      <w:tblPr>
        <w:tblW w:w="5000" w:type="pct"/>
        <w:tblCellMar>
          <w:left w:w="0" w:type="dxa"/>
          <w:right w:w="0" w:type="dxa"/>
        </w:tblCellMar>
        <w:tblLook w:val="04A0" w:firstRow="1" w:lastRow="0" w:firstColumn="1" w:lastColumn="0" w:noHBand="0" w:noVBand="1"/>
      </w:tblPr>
      <w:tblGrid>
        <w:gridCol w:w="4821"/>
        <w:gridCol w:w="141"/>
        <w:gridCol w:w="834"/>
        <w:gridCol w:w="100"/>
        <w:gridCol w:w="130"/>
        <w:gridCol w:w="141"/>
        <w:gridCol w:w="834"/>
        <w:gridCol w:w="100"/>
        <w:gridCol w:w="130"/>
        <w:gridCol w:w="141"/>
        <w:gridCol w:w="834"/>
        <w:gridCol w:w="100"/>
      </w:tblGrid>
      <w:tr w:rsidR="009F0928" w14:paraId="0BC987F7" w14:textId="77777777">
        <w:tc>
          <w:tcPr>
            <w:tcW w:w="0" w:type="auto"/>
            <w:gridSpan w:val="12"/>
            <w:shd w:val="clear" w:color="auto" w:fill="auto"/>
            <w:vAlign w:val="center"/>
          </w:tcPr>
          <w:p w14:paraId="0BC987F6" w14:textId="77777777" w:rsidR="009F0928" w:rsidRDefault="009F0928">
            <w:pPr>
              <w:rPr>
                <w:rFonts w:ascii="Times New Roman" w:hAnsi="Times New Roman"/>
                <w:sz w:val="20"/>
                <w:szCs w:val="20"/>
              </w:rPr>
            </w:pPr>
          </w:p>
        </w:tc>
      </w:tr>
      <w:tr w:rsidR="009F0928" w14:paraId="0BC98804" w14:textId="77777777">
        <w:tc>
          <w:tcPr>
            <w:tcW w:w="2950" w:type="pct"/>
            <w:shd w:val="clear" w:color="auto" w:fill="auto"/>
            <w:vAlign w:val="center"/>
          </w:tcPr>
          <w:p w14:paraId="0BC987F8" w14:textId="77777777" w:rsidR="009F0928" w:rsidRDefault="009F0928">
            <w:pPr>
              <w:rPr>
                <w:rFonts w:ascii="Times New Roman" w:hAnsi="Times New Roman"/>
                <w:sz w:val="20"/>
                <w:szCs w:val="20"/>
              </w:rPr>
            </w:pPr>
          </w:p>
        </w:tc>
        <w:tc>
          <w:tcPr>
            <w:tcW w:w="50" w:type="pct"/>
            <w:shd w:val="clear" w:color="auto" w:fill="auto"/>
            <w:vAlign w:val="center"/>
          </w:tcPr>
          <w:p w14:paraId="0BC987F9" w14:textId="77777777" w:rsidR="009F0928" w:rsidRDefault="009F0928">
            <w:pPr>
              <w:rPr>
                <w:rFonts w:ascii="Times New Roman" w:hAnsi="Times New Roman"/>
                <w:sz w:val="20"/>
                <w:szCs w:val="20"/>
              </w:rPr>
            </w:pPr>
          </w:p>
        </w:tc>
        <w:tc>
          <w:tcPr>
            <w:tcW w:w="550" w:type="pct"/>
            <w:shd w:val="clear" w:color="auto" w:fill="auto"/>
            <w:vAlign w:val="center"/>
          </w:tcPr>
          <w:p w14:paraId="0BC987FA" w14:textId="77777777" w:rsidR="009F0928" w:rsidRDefault="009F0928">
            <w:pPr>
              <w:rPr>
                <w:rFonts w:ascii="Times New Roman" w:hAnsi="Times New Roman"/>
                <w:sz w:val="20"/>
                <w:szCs w:val="20"/>
              </w:rPr>
            </w:pPr>
          </w:p>
        </w:tc>
        <w:tc>
          <w:tcPr>
            <w:tcW w:w="50" w:type="pct"/>
            <w:shd w:val="clear" w:color="auto" w:fill="auto"/>
            <w:vAlign w:val="center"/>
          </w:tcPr>
          <w:p w14:paraId="0BC987FB" w14:textId="77777777" w:rsidR="009F0928" w:rsidRDefault="009F0928">
            <w:pPr>
              <w:rPr>
                <w:rFonts w:ascii="Times New Roman" w:hAnsi="Times New Roman"/>
                <w:sz w:val="20"/>
                <w:szCs w:val="20"/>
              </w:rPr>
            </w:pPr>
          </w:p>
        </w:tc>
        <w:tc>
          <w:tcPr>
            <w:tcW w:w="50" w:type="pct"/>
            <w:shd w:val="clear" w:color="auto" w:fill="auto"/>
            <w:vAlign w:val="center"/>
          </w:tcPr>
          <w:p w14:paraId="0BC987FC" w14:textId="77777777" w:rsidR="009F0928" w:rsidRDefault="009F0928">
            <w:pPr>
              <w:rPr>
                <w:rFonts w:ascii="Times New Roman" w:hAnsi="Times New Roman"/>
                <w:sz w:val="20"/>
                <w:szCs w:val="20"/>
              </w:rPr>
            </w:pPr>
          </w:p>
        </w:tc>
        <w:tc>
          <w:tcPr>
            <w:tcW w:w="50" w:type="pct"/>
            <w:shd w:val="clear" w:color="auto" w:fill="auto"/>
            <w:vAlign w:val="center"/>
          </w:tcPr>
          <w:p w14:paraId="0BC987FD" w14:textId="77777777" w:rsidR="009F0928" w:rsidRDefault="009F0928">
            <w:pPr>
              <w:rPr>
                <w:rFonts w:ascii="Times New Roman" w:hAnsi="Times New Roman"/>
                <w:sz w:val="20"/>
                <w:szCs w:val="20"/>
              </w:rPr>
            </w:pPr>
          </w:p>
        </w:tc>
        <w:tc>
          <w:tcPr>
            <w:tcW w:w="550" w:type="pct"/>
            <w:shd w:val="clear" w:color="auto" w:fill="auto"/>
            <w:vAlign w:val="center"/>
          </w:tcPr>
          <w:p w14:paraId="0BC987FE" w14:textId="77777777" w:rsidR="009F0928" w:rsidRDefault="009F0928">
            <w:pPr>
              <w:rPr>
                <w:rFonts w:ascii="Times New Roman" w:hAnsi="Times New Roman"/>
                <w:sz w:val="20"/>
                <w:szCs w:val="20"/>
              </w:rPr>
            </w:pPr>
          </w:p>
        </w:tc>
        <w:tc>
          <w:tcPr>
            <w:tcW w:w="50" w:type="pct"/>
            <w:shd w:val="clear" w:color="auto" w:fill="auto"/>
            <w:vAlign w:val="center"/>
          </w:tcPr>
          <w:p w14:paraId="0BC987FF" w14:textId="77777777" w:rsidR="009F0928" w:rsidRDefault="009F0928">
            <w:pPr>
              <w:rPr>
                <w:rFonts w:ascii="Times New Roman" w:hAnsi="Times New Roman"/>
                <w:sz w:val="20"/>
                <w:szCs w:val="20"/>
              </w:rPr>
            </w:pPr>
          </w:p>
        </w:tc>
        <w:tc>
          <w:tcPr>
            <w:tcW w:w="50" w:type="pct"/>
            <w:shd w:val="clear" w:color="auto" w:fill="auto"/>
            <w:vAlign w:val="center"/>
          </w:tcPr>
          <w:p w14:paraId="0BC98800" w14:textId="77777777" w:rsidR="009F0928" w:rsidRDefault="009F0928">
            <w:pPr>
              <w:rPr>
                <w:rFonts w:ascii="Times New Roman" w:hAnsi="Times New Roman"/>
                <w:sz w:val="20"/>
                <w:szCs w:val="20"/>
              </w:rPr>
            </w:pPr>
          </w:p>
        </w:tc>
        <w:tc>
          <w:tcPr>
            <w:tcW w:w="50" w:type="pct"/>
            <w:shd w:val="clear" w:color="auto" w:fill="auto"/>
            <w:vAlign w:val="center"/>
          </w:tcPr>
          <w:p w14:paraId="0BC98801" w14:textId="77777777" w:rsidR="009F0928" w:rsidRDefault="009F0928">
            <w:pPr>
              <w:rPr>
                <w:rFonts w:ascii="Times New Roman" w:hAnsi="Times New Roman"/>
                <w:sz w:val="20"/>
                <w:szCs w:val="20"/>
              </w:rPr>
            </w:pPr>
          </w:p>
        </w:tc>
        <w:tc>
          <w:tcPr>
            <w:tcW w:w="550" w:type="pct"/>
            <w:shd w:val="clear" w:color="auto" w:fill="auto"/>
            <w:vAlign w:val="center"/>
          </w:tcPr>
          <w:p w14:paraId="0BC98802" w14:textId="77777777" w:rsidR="009F0928" w:rsidRDefault="009F0928">
            <w:pPr>
              <w:rPr>
                <w:rFonts w:ascii="Times New Roman" w:hAnsi="Times New Roman"/>
                <w:sz w:val="20"/>
                <w:szCs w:val="20"/>
              </w:rPr>
            </w:pPr>
          </w:p>
        </w:tc>
        <w:tc>
          <w:tcPr>
            <w:tcW w:w="50" w:type="pct"/>
            <w:shd w:val="clear" w:color="auto" w:fill="auto"/>
            <w:vAlign w:val="center"/>
          </w:tcPr>
          <w:p w14:paraId="0BC98803" w14:textId="77777777" w:rsidR="009F0928" w:rsidRDefault="009F0928">
            <w:pPr>
              <w:rPr>
                <w:rFonts w:ascii="Times New Roman" w:hAnsi="Times New Roman"/>
                <w:sz w:val="20"/>
                <w:szCs w:val="20"/>
              </w:rPr>
            </w:pPr>
          </w:p>
        </w:tc>
      </w:tr>
      <w:tr w:rsidR="009F0928" w14:paraId="0BC98807" w14:textId="77777777">
        <w:tc>
          <w:tcPr>
            <w:tcW w:w="0" w:type="auto"/>
            <w:shd w:val="clear" w:color="auto" w:fill="auto"/>
            <w:tcMar>
              <w:top w:w="40" w:type="dxa"/>
              <w:left w:w="40" w:type="dxa"/>
              <w:bottom w:w="40" w:type="dxa"/>
              <w:right w:w="40" w:type="dxa"/>
            </w:tcMar>
            <w:vAlign w:val="bottom"/>
          </w:tcPr>
          <w:p w14:paraId="0BC98805"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8806"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Year Ended December 31,</w:t>
            </w:r>
          </w:p>
        </w:tc>
      </w:tr>
      <w:tr w:rsidR="009F0928" w14:paraId="0BC9880E" w14:textId="77777777">
        <w:tc>
          <w:tcPr>
            <w:tcW w:w="0" w:type="auto"/>
            <w:shd w:val="clear" w:color="auto" w:fill="auto"/>
            <w:tcMar>
              <w:top w:w="40" w:type="dxa"/>
              <w:left w:w="40" w:type="dxa"/>
              <w:bottom w:w="40" w:type="dxa"/>
              <w:right w:w="40" w:type="dxa"/>
            </w:tcMar>
            <w:vAlign w:val="bottom"/>
          </w:tcPr>
          <w:p w14:paraId="0BC98808"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809"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2019</w:t>
            </w:r>
          </w:p>
        </w:tc>
        <w:tc>
          <w:tcPr>
            <w:tcW w:w="0" w:type="auto"/>
            <w:shd w:val="clear" w:color="auto" w:fill="auto"/>
            <w:tcMar>
              <w:top w:w="40" w:type="dxa"/>
              <w:left w:w="40" w:type="dxa"/>
              <w:bottom w:w="40" w:type="dxa"/>
              <w:right w:w="40" w:type="dxa"/>
            </w:tcMar>
            <w:vAlign w:val="bottom"/>
          </w:tcPr>
          <w:p w14:paraId="0BC9880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80B"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2018</w:t>
            </w:r>
          </w:p>
        </w:tc>
        <w:tc>
          <w:tcPr>
            <w:tcW w:w="0" w:type="auto"/>
            <w:shd w:val="clear" w:color="auto" w:fill="auto"/>
            <w:tcMar>
              <w:top w:w="40" w:type="dxa"/>
              <w:left w:w="40" w:type="dxa"/>
              <w:bottom w:w="40" w:type="dxa"/>
              <w:right w:w="40" w:type="dxa"/>
            </w:tcMar>
            <w:vAlign w:val="bottom"/>
          </w:tcPr>
          <w:p w14:paraId="0BC9880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80D"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2017</w:t>
            </w:r>
          </w:p>
        </w:tc>
      </w:tr>
      <w:tr w:rsidR="009F0928" w14:paraId="0BC98811" w14:textId="77777777">
        <w:tc>
          <w:tcPr>
            <w:tcW w:w="0" w:type="auto"/>
            <w:shd w:val="clear" w:color="auto" w:fill="auto"/>
            <w:tcMar>
              <w:top w:w="40" w:type="dxa"/>
              <w:left w:w="40" w:type="dxa"/>
              <w:bottom w:w="40" w:type="dxa"/>
              <w:right w:w="40" w:type="dxa"/>
            </w:tcMar>
            <w:vAlign w:val="bottom"/>
          </w:tcPr>
          <w:p w14:paraId="0BC9880F"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11"/>
            <w:shd w:val="clear" w:color="auto" w:fill="auto"/>
            <w:tcMar>
              <w:top w:w="40" w:type="dxa"/>
              <w:left w:w="40" w:type="dxa"/>
              <w:bottom w:w="40" w:type="dxa"/>
            </w:tcMar>
            <w:vAlign w:val="bottom"/>
          </w:tcPr>
          <w:p w14:paraId="0BC9881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(In millions)</w:t>
            </w:r>
          </w:p>
        </w:tc>
      </w:tr>
      <w:tr w:rsidR="009F0928" w14:paraId="0BC98818" w14:textId="77777777">
        <w:tc>
          <w:tcPr>
            <w:tcW w:w="0" w:type="auto"/>
            <w:shd w:val="clear" w:color="auto" w:fill="E2E2E2"/>
            <w:tcMar>
              <w:top w:w="40" w:type="dxa"/>
              <w:left w:w="40" w:type="dxa"/>
              <w:bottom w:w="40" w:type="dxa"/>
              <w:right w:w="40" w:type="dxa"/>
            </w:tcMar>
            <w:vAlign w:val="bottom"/>
          </w:tcPr>
          <w:p w14:paraId="0BC98812" w14:textId="77777777" w:rsidR="009F0928" w:rsidRDefault="002112BD">
            <w:pPr>
              <w:textAlignment w:val="bottom"/>
              <w:rPr>
                <w:rFonts w:ascii="Times New Roman" w:hAnsi="Times New Roman"/>
                <w:sz w:val="18"/>
                <w:szCs w:val="18"/>
              </w:rPr>
            </w:pPr>
            <w:r>
              <w:rPr>
                <w:rFonts w:ascii="Arial" w:eastAsia="宋体" w:hAnsi="Arial" w:cs="Arial"/>
                <w:sz w:val="18"/>
                <w:szCs w:val="18"/>
              </w:rPr>
              <w:t>Net cash provided by (used in):</w:t>
            </w:r>
          </w:p>
        </w:tc>
        <w:tc>
          <w:tcPr>
            <w:tcW w:w="0" w:type="auto"/>
            <w:gridSpan w:val="3"/>
            <w:shd w:val="clear" w:color="auto" w:fill="E2E2E2"/>
            <w:tcMar>
              <w:top w:w="40" w:type="dxa"/>
              <w:left w:w="40" w:type="dxa"/>
              <w:bottom w:w="40" w:type="dxa"/>
              <w:right w:w="40" w:type="dxa"/>
            </w:tcMar>
            <w:vAlign w:val="bottom"/>
          </w:tcPr>
          <w:p w14:paraId="0BC98813"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right w:w="40" w:type="dxa"/>
            </w:tcMar>
            <w:vAlign w:val="bottom"/>
          </w:tcPr>
          <w:p w14:paraId="0BC9881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815"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right w:w="40" w:type="dxa"/>
            </w:tcMar>
            <w:vAlign w:val="bottom"/>
          </w:tcPr>
          <w:p w14:paraId="0BC988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81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825" w14:textId="77777777">
        <w:tc>
          <w:tcPr>
            <w:tcW w:w="0" w:type="auto"/>
            <w:shd w:val="clear" w:color="auto" w:fill="auto"/>
            <w:tcMar>
              <w:top w:w="40" w:type="dxa"/>
              <w:left w:w="560" w:type="dxa"/>
              <w:bottom w:w="40" w:type="dxa"/>
              <w:right w:w="40" w:type="dxa"/>
            </w:tcMar>
            <w:vAlign w:val="bottom"/>
          </w:tcPr>
          <w:p w14:paraId="0BC98819"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Continuing operating </w:t>
            </w:r>
            <w:r>
              <w:rPr>
                <w:rFonts w:ascii="Arial" w:eastAsia="宋体" w:hAnsi="Arial" w:cs="Arial"/>
                <w:sz w:val="18"/>
                <w:szCs w:val="18"/>
              </w:rPr>
              <w:t>activities</w:t>
            </w:r>
          </w:p>
        </w:tc>
        <w:tc>
          <w:tcPr>
            <w:tcW w:w="0" w:type="auto"/>
            <w:shd w:val="clear" w:color="auto" w:fill="auto"/>
            <w:tcMar>
              <w:top w:w="40" w:type="dxa"/>
              <w:left w:w="40" w:type="dxa"/>
              <w:bottom w:w="40" w:type="dxa"/>
            </w:tcMar>
            <w:vAlign w:val="bottom"/>
          </w:tcPr>
          <w:p w14:paraId="0BC9881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881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3,114</w:t>
            </w:r>
          </w:p>
        </w:tc>
        <w:tc>
          <w:tcPr>
            <w:tcW w:w="0" w:type="auto"/>
            <w:shd w:val="clear" w:color="auto" w:fill="auto"/>
            <w:vAlign w:val="bottom"/>
          </w:tcPr>
          <w:p w14:paraId="0BC9881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81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81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881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2,661</w:t>
            </w:r>
          </w:p>
        </w:tc>
        <w:tc>
          <w:tcPr>
            <w:tcW w:w="0" w:type="auto"/>
            <w:shd w:val="clear" w:color="auto" w:fill="auto"/>
            <w:vAlign w:val="bottom"/>
          </w:tcPr>
          <w:p w14:paraId="0BC9882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82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82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882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3,146</w:t>
            </w:r>
          </w:p>
        </w:tc>
        <w:tc>
          <w:tcPr>
            <w:tcW w:w="0" w:type="auto"/>
            <w:shd w:val="clear" w:color="auto" w:fill="auto"/>
            <w:vAlign w:val="bottom"/>
          </w:tcPr>
          <w:p w14:paraId="0BC98824" w14:textId="77777777" w:rsidR="009F0928" w:rsidRDefault="009F0928">
            <w:pPr>
              <w:textAlignment w:val="bottom"/>
              <w:rPr>
                <w:rFonts w:ascii="Times New Roman" w:hAnsi="Times New Roman"/>
                <w:sz w:val="20"/>
                <w:szCs w:val="20"/>
              </w:rPr>
            </w:pPr>
          </w:p>
        </w:tc>
      </w:tr>
      <w:tr w:rsidR="009F0928" w14:paraId="0BC9882F" w14:textId="77777777">
        <w:tc>
          <w:tcPr>
            <w:tcW w:w="0" w:type="auto"/>
            <w:shd w:val="clear" w:color="auto" w:fill="E2E2E2"/>
            <w:tcMar>
              <w:top w:w="40" w:type="dxa"/>
              <w:left w:w="560" w:type="dxa"/>
              <w:bottom w:w="40" w:type="dxa"/>
              <w:right w:w="40" w:type="dxa"/>
            </w:tcMar>
            <w:vAlign w:val="bottom"/>
          </w:tcPr>
          <w:p w14:paraId="0BC98826" w14:textId="77777777" w:rsidR="009F0928" w:rsidRDefault="002112BD">
            <w:pPr>
              <w:textAlignment w:val="bottom"/>
              <w:rPr>
                <w:rFonts w:ascii="Times New Roman" w:hAnsi="Times New Roman"/>
                <w:sz w:val="18"/>
                <w:szCs w:val="18"/>
              </w:rPr>
            </w:pPr>
            <w:r>
              <w:rPr>
                <w:rFonts w:ascii="Arial" w:eastAsia="宋体" w:hAnsi="Arial" w:cs="Arial"/>
                <w:sz w:val="18"/>
                <w:szCs w:val="18"/>
              </w:rPr>
              <w:t>Investing activities</w:t>
            </w:r>
          </w:p>
        </w:tc>
        <w:tc>
          <w:tcPr>
            <w:tcW w:w="0" w:type="auto"/>
            <w:gridSpan w:val="2"/>
            <w:shd w:val="clear" w:color="auto" w:fill="E2E2E2"/>
            <w:tcMar>
              <w:top w:w="40" w:type="dxa"/>
              <w:left w:w="40" w:type="dxa"/>
              <w:bottom w:w="40" w:type="dxa"/>
            </w:tcMar>
            <w:vAlign w:val="bottom"/>
          </w:tcPr>
          <w:p w14:paraId="0BC9882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2,787</w:t>
            </w:r>
          </w:p>
        </w:tc>
        <w:tc>
          <w:tcPr>
            <w:tcW w:w="0" w:type="auto"/>
            <w:shd w:val="clear" w:color="auto" w:fill="E2E2E2"/>
            <w:vAlign w:val="bottom"/>
          </w:tcPr>
          <w:p w14:paraId="0BC9882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82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82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2,894</w:t>
            </w:r>
          </w:p>
        </w:tc>
        <w:tc>
          <w:tcPr>
            <w:tcW w:w="0" w:type="auto"/>
            <w:shd w:val="clear" w:color="auto" w:fill="E2E2E2"/>
            <w:vAlign w:val="bottom"/>
          </w:tcPr>
          <w:p w14:paraId="0BC9882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82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82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(1,295</w:t>
            </w:r>
          </w:p>
        </w:tc>
        <w:tc>
          <w:tcPr>
            <w:tcW w:w="0" w:type="auto"/>
            <w:shd w:val="clear" w:color="auto" w:fill="E2E2E2"/>
            <w:tcMar>
              <w:top w:w="40" w:type="dxa"/>
              <w:bottom w:w="40" w:type="dxa"/>
              <w:right w:w="40" w:type="dxa"/>
            </w:tcMar>
            <w:vAlign w:val="bottom"/>
          </w:tcPr>
          <w:p w14:paraId="0BC9882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8839" w14:textId="77777777">
        <w:tc>
          <w:tcPr>
            <w:tcW w:w="0" w:type="auto"/>
            <w:shd w:val="clear" w:color="auto" w:fill="auto"/>
            <w:tcMar>
              <w:top w:w="40" w:type="dxa"/>
              <w:left w:w="560" w:type="dxa"/>
              <w:bottom w:w="40" w:type="dxa"/>
              <w:right w:w="40" w:type="dxa"/>
            </w:tcMar>
            <w:vAlign w:val="bottom"/>
          </w:tcPr>
          <w:p w14:paraId="0BC98830" w14:textId="77777777" w:rsidR="009F0928" w:rsidRDefault="002112BD">
            <w:pPr>
              <w:textAlignment w:val="bottom"/>
              <w:rPr>
                <w:rFonts w:ascii="Times New Roman" w:hAnsi="Times New Roman"/>
                <w:sz w:val="18"/>
                <w:szCs w:val="18"/>
              </w:rPr>
            </w:pPr>
            <w:r>
              <w:rPr>
                <w:rFonts w:ascii="Arial" w:eastAsia="宋体" w:hAnsi="Arial" w:cs="Arial"/>
                <w:sz w:val="18"/>
                <w:szCs w:val="18"/>
              </w:rPr>
              <w:t>Financing activities</w:t>
            </w:r>
          </w:p>
        </w:tc>
        <w:tc>
          <w:tcPr>
            <w:tcW w:w="0" w:type="auto"/>
            <w:gridSpan w:val="2"/>
            <w:shd w:val="clear" w:color="auto" w:fill="auto"/>
            <w:tcMar>
              <w:top w:w="40" w:type="dxa"/>
              <w:left w:w="40" w:type="dxa"/>
              <w:bottom w:w="40" w:type="dxa"/>
            </w:tcMar>
            <w:vAlign w:val="bottom"/>
          </w:tcPr>
          <w:p w14:paraId="0BC9883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(7,091</w:t>
            </w:r>
          </w:p>
        </w:tc>
        <w:tc>
          <w:tcPr>
            <w:tcW w:w="0" w:type="auto"/>
            <w:shd w:val="clear" w:color="auto" w:fill="auto"/>
            <w:tcMar>
              <w:top w:w="40" w:type="dxa"/>
              <w:bottom w:w="40" w:type="dxa"/>
              <w:right w:w="40" w:type="dxa"/>
            </w:tcMar>
            <w:vAlign w:val="bottom"/>
          </w:tcPr>
          <w:p w14:paraId="0BC9883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883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83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(5,398</w:t>
            </w:r>
          </w:p>
        </w:tc>
        <w:tc>
          <w:tcPr>
            <w:tcW w:w="0" w:type="auto"/>
            <w:shd w:val="clear" w:color="auto" w:fill="auto"/>
            <w:tcMar>
              <w:top w:w="40" w:type="dxa"/>
              <w:bottom w:w="40" w:type="dxa"/>
              <w:right w:w="40" w:type="dxa"/>
            </w:tcMar>
            <w:vAlign w:val="bottom"/>
          </w:tcPr>
          <w:p w14:paraId="0BC9883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88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83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(1,784</w:t>
            </w:r>
          </w:p>
        </w:tc>
        <w:tc>
          <w:tcPr>
            <w:tcW w:w="0" w:type="auto"/>
            <w:shd w:val="clear" w:color="auto" w:fill="auto"/>
            <w:tcMar>
              <w:top w:w="40" w:type="dxa"/>
              <w:bottom w:w="40" w:type="dxa"/>
              <w:right w:w="40" w:type="dxa"/>
            </w:tcMar>
            <w:vAlign w:val="bottom"/>
          </w:tcPr>
          <w:p w14:paraId="0BC9883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8843" w14:textId="77777777">
        <w:tc>
          <w:tcPr>
            <w:tcW w:w="0" w:type="auto"/>
            <w:shd w:val="clear" w:color="auto" w:fill="E2E2E2"/>
            <w:tcMar>
              <w:top w:w="40" w:type="dxa"/>
              <w:left w:w="40" w:type="dxa"/>
              <w:bottom w:w="40" w:type="dxa"/>
              <w:right w:w="40" w:type="dxa"/>
            </w:tcMar>
            <w:vAlign w:val="bottom"/>
          </w:tcPr>
          <w:p w14:paraId="0BC9883A" w14:textId="77777777" w:rsidR="009F0928" w:rsidRDefault="002112BD">
            <w:pPr>
              <w:textAlignment w:val="bottom"/>
              <w:rPr>
                <w:rFonts w:ascii="Times New Roman" w:hAnsi="Times New Roman"/>
                <w:sz w:val="18"/>
                <w:szCs w:val="18"/>
              </w:rPr>
            </w:pPr>
            <w:r>
              <w:rPr>
                <w:rFonts w:ascii="Arial" w:eastAsia="宋体" w:hAnsi="Arial" w:cs="Arial"/>
                <w:sz w:val="18"/>
                <w:szCs w:val="18"/>
              </w:rPr>
              <w:t>Effect of exchange rates on cash, cash equivalents and restricted cash</w:t>
            </w:r>
          </w:p>
        </w:tc>
        <w:tc>
          <w:tcPr>
            <w:tcW w:w="0" w:type="auto"/>
            <w:gridSpan w:val="2"/>
            <w:shd w:val="clear" w:color="auto" w:fill="E2E2E2"/>
            <w:tcMar>
              <w:top w:w="40" w:type="dxa"/>
              <w:left w:w="40" w:type="dxa"/>
              <w:bottom w:w="40" w:type="dxa"/>
            </w:tcMar>
            <w:vAlign w:val="bottom"/>
          </w:tcPr>
          <w:p w14:paraId="0BC9883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(33</w:t>
            </w:r>
          </w:p>
        </w:tc>
        <w:tc>
          <w:tcPr>
            <w:tcW w:w="0" w:type="auto"/>
            <w:shd w:val="clear" w:color="auto" w:fill="E2E2E2"/>
            <w:tcMar>
              <w:top w:w="40" w:type="dxa"/>
              <w:bottom w:w="40" w:type="dxa"/>
              <w:right w:w="40" w:type="dxa"/>
            </w:tcMar>
            <w:vAlign w:val="bottom"/>
          </w:tcPr>
          <w:p w14:paraId="0BC9883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88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83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(75</w:t>
            </w:r>
          </w:p>
        </w:tc>
        <w:tc>
          <w:tcPr>
            <w:tcW w:w="0" w:type="auto"/>
            <w:shd w:val="clear" w:color="auto" w:fill="E2E2E2"/>
            <w:tcMar>
              <w:top w:w="40" w:type="dxa"/>
              <w:bottom w:w="40" w:type="dxa"/>
              <w:right w:w="40" w:type="dxa"/>
            </w:tcMar>
            <w:vAlign w:val="bottom"/>
          </w:tcPr>
          <w:p w14:paraId="0BC9883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884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84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238</w:t>
            </w:r>
          </w:p>
        </w:tc>
        <w:tc>
          <w:tcPr>
            <w:tcW w:w="0" w:type="auto"/>
            <w:shd w:val="clear" w:color="auto" w:fill="E2E2E2"/>
            <w:vAlign w:val="bottom"/>
          </w:tcPr>
          <w:p w14:paraId="0BC98842" w14:textId="77777777" w:rsidR="009F0928" w:rsidRDefault="009F0928">
            <w:pPr>
              <w:textAlignment w:val="bottom"/>
              <w:rPr>
                <w:rFonts w:ascii="Times New Roman" w:hAnsi="Times New Roman"/>
                <w:sz w:val="20"/>
                <w:szCs w:val="20"/>
              </w:rPr>
            </w:pPr>
          </w:p>
        </w:tc>
      </w:tr>
      <w:tr w:rsidR="009F0928" w14:paraId="0BC9884D" w14:textId="77777777">
        <w:tc>
          <w:tcPr>
            <w:tcW w:w="0" w:type="auto"/>
            <w:shd w:val="clear" w:color="auto" w:fill="auto"/>
            <w:tcMar>
              <w:top w:w="40" w:type="dxa"/>
              <w:left w:w="40" w:type="dxa"/>
              <w:bottom w:w="40" w:type="dxa"/>
              <w:right w:w="40" w:type="dxa"/>
            </w:tcMar>
            <w:vAlign w:val="bottom"/>
          </w:tcPr>
          <w:p w14:paraId="0BC98844"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Net </w:t>
            </w:r>
            <w:r>
              <w:rPr>
                <w:rFonts w:ascii="Arial" w:eastAsia="宋体" w:hAnsi="Arial" w:cs="Arial"/>
                <w:sz w:val="18"/>
                <w:szCs w:val="18"/>
              </w:rPr>
              <w:t>increase (decrease) in cash, cash equivalents - discontinued operations</w:t>
            </w:r>
          </w:p>
        </w:tc>
        <w:tc>
          <w:tcPr>
            <w:tcW w:w="0" w:type="auto"/>
            <w:gridSpan w:val="2"/>
            <w:tcBorders>
              <w:bottom w:val="single" w:sz="8" w:space="0" w:color="000000"/>
            </w:tcBorders>
            <w:shd w:val="clear" w:color="auto" w:fill="auto"/>
            <w:tcMar>
              <w:top w:w="40" w:type="dxa"/>
              <w:left w:w="40" w:type="dxa"/>
              <w:bottom w:w="40" w:type="dxa"/>
            </w:tcMar>
            <w:vAlign w:val="bottom"/>
          </w:tcPr>
          <w:p w14:paraId="0BC9884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auto"/>
            <w:vAlign w:val="bottom"/>
          </w:tcPr>
          <w:p w14:paraId="0BC9884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84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84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w:t>
            </w:r>
          </w:p>
        </w:tc>
        <w:tc>
          <w:tcPr>
            <w:tcW w:w="0" w:type="auto"/>
            <w:tcBorders>
              <w:bottom w:val="single" w:sz="8" w:space="0" w:color="000000"/>
            </w:tcBorders>
            <w:shd w:val="clear" w:color="auto" w:fill="auto"/>
            <w:tcMar>
              <w:top w:w="40" w:type="dxa"/>
              <w:bottom w:w="40" w:type="dxa"/>
              <w:right w:w="40" w:type="dxa"/>
            </w:tcMar>
            <w:vAlign w:val="bottom"/>
          </w:tcPr>
          <w:p w14:paraId="0BC9884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884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84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auto"/>
            <w:vAlign w:val="bottom"/>
          </w:tcPr>
          <w:p w14:paraId="0BC9884C" w14:textId="77777777" w:rsidR="009F0928" w:rsidRDefault="009F0928">
            <w:pPr>
              <w:textAlignment w:val="bottom"/>
              <w:rPr>
                <w:rFonts w:ascii="Times New Roman" w:hAnsi="Times New Roman"/>
                <w:sz w:val="20"/>
                <w:szCs w:val="20"/>
              </w:rPr>
            </w:pPr>
          </w:p>
        </w:tc>
      </w:tr>
      <w:tr w:rsidR="009F0928" w14:paraId="0BC9885A" w14:textId="77777777">
        <w:tc>
          <w:tcPr>
            <w:tcW w:w="0" w:type="auto"/>
            <w:shd w:val="clear" w:color="auto" w:fill="E2E2E2"/>
            <w:tcMar>
              <w:top w:w="40" w:type="dxa"/>
              <w:left w:w="40" w:type="dxa"/>
              <w:bottom w:w="40" w:type="dxa"/>
              <w:right w:w="40" w:type="dxa"/>
            </w:tcMar>
            <w:vAlign w:val="bottom"/>
          </w:tcPr>
          <w:p w14:paraId="0BC9884E" w14:textId="77777777" w:rsidR="009F0928" w:rsidRDefault="002112BD">
            <w:pPr>
              <w:textAlignment w:val="bottom"/>
              <w:rPr>
                <w:rFonts w:ascii="Times New Roman" w:hAnsi="Times New Roman"/>
                <w:sz w:val="18"/>
                <w:szCs w:val="18"/>
              </w:rPr>
            </w:pPr>
            <w:r>
              <w:rPr>
                <w:rFonts w:ascii="Arial" w:eastAsia="宋体" w:hAnsi="Arial" w:cs="Arial"/>
                <w:sz w:val="18"/>
                <w:szCs w:val="18"/>
              </w:rPr>
              <w:t>Net increase (decrease) in cash, cash equivalents and restricted cash</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84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85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(1,223</w:t>
            </w:r>
          </w:p>
        </w:tc>
        <w:tc>
          <w:tcPr>
            <w:tcW w:w="0" w:type="auto"/>
            <w:tcBorders>
              <w:top w:val="single" w:sz="8" w:space="0" w:color="000000"/>
              <w:bottom w:val="double" w:sz="6" w:space="0" w:color="000000"/>
            </w:tcBorders>
            <w:shd w:val="clear" w:color="auto" w:fill="E2E2E2"/>
            <w:tcMar>
              <w:top w:w="40" w:type="dxa"/>
              <w:bottom w:w="40" w:type="dxa"/>
              <w:right w:w="40" w:type="dxa"/>
            </w:tcMar>
            <w:vAlign w:val="bottom"/>
          </w:tcPr>
          <w:p w14:paraId="0BC9885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885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85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85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79</w:t>
            </w:r>
          </w:p>
        </w:tc>
        <w:tc>
          <w:tcPr>
            <w:tcW w:w="0" w:type="auto"/>
            <w:tcBorders>
              <w:top w:val="single" w:sz="8" w:space="0" w:color="000000"/>
              <w:bottom w:val="double" w:sz="6" w:space="0" w:color="000000"/>
            </w:tcBorders>
            <w:shd w:val="clear" w:color="auto" w:fill="E2E2E2"/>
            <w:vAlign w:val="bottom"/>
          </w:tcPr>
          <w:p w14:paraId="0BC9885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85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85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85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305</w:t>
            </w:r>
          </w:p>
        </w:tc>
        <w:tc>
          <w:tcPr>
            <w:tcW w:w="0" w:type="auto"/>
            <w:tcBorders>
              <w:top w:val="single" w:sz="8" w:space="0" w:color="000000"/>
              <w:bottom w:val="double" w:sz="6" w:space="0" w:color="000000"/>
            </w:tcBorders>
            <w:shd w:val="clear" w:color="auto" w:fill="E2E2E2"/>
            <w:vAlign w:val="bottom"/>
          </w:tcPr>
          <w:p w14:paraId="0BC98859" w14:textId="77777777" w:rsidR="009F0928" w:rsidRDefault="009F0928">
            <w:pPr>
              <w:textAlignment w:val="bottom"/>
              <w:rPr>
                <w:rFonts w:ascii="Times New Roman" w:hAnsi="Times New Roman"/>
                <w:sz w:val="20"/>
                <w:szCs w:val="20"/>
              </w:rPr>
            </w:pPr>
          </w:p>
        </w:tc>
      </w:tr>
    </w:tbl>
    <w:p w14:paraId="0BC9885B"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w:t>
      </w:r>
    </w:p>
    <w:p w14:paraId="0BC9885C"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Continuing Operating Activities</w:t>
      </w:r>
    </w:p>
    <w:p w14:paraId="0BC9885D" w14:textId="77777777" w:rsidR="009F0928" w:rsidRDefault="009F0928">
      <w:pPr>
        <w:spacing w:line="288" w:lineRule="auto"/>
        <w:jc w:val="both"/>
        <w:rPr>
          <w:rFonts w:ascii="Times New Roman" w:hAnsi="Times New Roman"/>
          <w:sz w:val="20"/>
          <w:szCs w:val="20"/>
        </w:rPr>
      </w:pPr>
    </w:p>
    <w:p w14:paraId="0BC9885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Cash provided by </w:t>
      </w:r>
      <w:r>
        <w:rPr>
          <w:rFonts w:ascii="Arial" w:eastAsia="宋体" w:hAnsi="Arial" w:cs="Arial"/>
          <w:sz w:val="20"/>
          <w:szCs w:val="20"/>
        </w:rPr>
        <w:t>continuing operating activities of $3.1 billion in 2019 was primarily attributable to net income of $1.8 billion with adjustments of $681 million in depreciation and amortization, $505 million in stock-based compensation, $300 million in provision for tran</w:t>
      </w:r>
      <w:r>
        <w:rPr>
          <w:rFonts w:ascii="Arial" w:eastAsia="宋体" w:hAnsi="Arial" w:cs="Arial"/>
          <w:sz w:val="20"/>
          <w:szCs w:val="20"/>
        </w:rPr>
        <w:t>saction losses, $117 million for deferred income taxes, $52 million loss on the sale of a business, partially offset by a decrease of $200 million in changes in assets and liabilities, net of acquisition effects, and $133 million for changes in the fair va</w:t>
      </w:r>
      <w:r>
        <w:rPr>
          <w:rFonts w:ascii="Arial" w:eastAsia="宋体" w:hAnsi="Arial" w:cs="Arial"/>
          <w:sz w:val="20"/>
          <w:szCs w:val="20"/>
        </w:rPr>
        <w:t>lue of the Adyen warrant.</w:t>
      </w:r>
    </w:p>
    <w:p w14:paraId="0BC9885F" w14:textId="77777777" w:rsidR="009F0928" w:rsidRDefault="009F0928">
      <w:pPr>
        <w:spacing w:line="288" w:lineRule="auto"/>
        <w:ind w:firstLine="720"/>
        <w:jc w:val="both"/>
        <w:rPr>
          <w:rFonts w:ascii="Times New Roman" w:hAnsi="Times New Roman"/>
          <w:sz w:val="20"/>
          <w:szCs w:val="20"/>
        </w:rPr>
      </w:pPr>
    </w:p>
    <w:p w14:paraId="0BC9886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Cash provided by continuing operating activities of $2.7 billion in 2018 was primarily attributable to net income of $2.5 billion with adjustments of $696 million in depreciation and amortization, $538 million in stock-based comp</w:t>
      </w:r>
      <w:r>
        <w:rPr>
          <w:rFonts w:ascii="Arial" w:eastAsia="宋体" w:hAnsi="Arial" w:cs="Arial"/>
          <w:sz w:val="20"/>
          <w:szCs w:val="20"/>
        </w:rPr>
        <w:t>ensation and $286 million in provision for transaction losses, partially offset by a decrease of $577 million in changes in assets and liabilities, net of acquisition effects, and adjustments of $572 million for gain on investments, $153 million for deferr</w:t>
      </w:r>
      <w:r>
        <w:rPr>
          <w:rFonts w:ascii="Arial" w:eastAsia="宋体" w:hAnsi="Arial" w:cs="Arial"/>
          <w:sz w:val="20"/>
          <w:szCs w:val="20"/>
        </w:rPr>
        <w:t>ed income taxes and $104 million for changes in fair value of the Adyen warrant.</w:t>
      </w:r>
    </w:p>
    <w:p w14:paraId="0BC98861" w14:textId="77777777" w:rsidR="009F0928" w:rsidRDefault="009F0928">
      <w:pPr>
        <w:spacing w:line="288" w:lineRule="auto"/>
        <w:ind w:firstLine="720"/>
        <w:jc w:val="both"/>
        <w:rPr>
          <w:rFonts w:ascii="Times New Roman" w:hAnsi="Times New Roman"/>
          <w:sz w:val="20"/>
          <w:szCs w:val="20"/>
        </w:rPr>
      </w:pPr>
    </w:p>
    <w:p w14:paraId="0BC9886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net cash provided by continuing operating activities of $3.1 billion in 2017 was primarily due to $1.1 billion of changes in assets and liabilities, net of acquisition ef</w:t>
      </w:r>
      <w:r>
        <w:rPr>
          <w:rFonts w:ascii="Arial" w:eastAsia="宋体" w:hAnsi="Arial" w:cs="Arial"/>
          <w:sz w:val="20"/>
          <w:szCs w:val="20"/>
        </w:rPr>
        <w:t>fects, and a net loss of $1.0 billion offset by adjustments of $1.7 billion in deferred income taxes, $676 million in depreciation and amortization and $483 million in stock-based compensation.</w:t>
      </w:r>
    </w:p>
    <w:p w14:paraId="0BC98863" w14:textId="77777777" w:rsidR="009F0928" w:rsidRDefault="009F0928">
      <w:pPr>
        <w:spacing w:line="288" w:lineRule="auto"/>
        <w:ind w:firstLine="720"/>
        <w:jc w:val="both"/>
        <w:rPr>
          <w:rFonts w:ascii="Times New Roman" w:hAnsi="Times New Roman"/>
          <w:sz w:val="20"/>
          <w:szCs w:val="20"/>
        </w:rPr>
      </w:pPr>
    </w:p>
    <w:p w14:paraId="0BC98864"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Cash paid for income taxes in 2019, 2018 and 2017 was $333 mi</w:t>
      </w:r>
      <w:r>
        <w:rPr>
          <w:rFonts w:ascii="Arial" w:eastAsia="宋体" w:hAnsi="Arial" w:cs="Arial"/>
          <w:sz w:val="20"/>
          <w:szCs w:val="20"/>
        </w:rPr>
        <w:t xml:space="preserve">llion, $597 million and $308 million, respectively. Cash paid for income taxes in 2018 included tax payments related to our liability for deemed repatriation of foreign earnings under U.S. tax reform of $168 million, including a prepayment of $72 million. </w:t>
      </w:r>
    </w:p>
    <w:p w14:paraId="0BC98865" w14:textId="77777777" w:rsidR="009F0928" w:rsidRDefault="009F0928">
      <w:pPr>
        <w:spacing w:line="288" w:lineRule="auto"/>
        <w:ind w:firstLine="640"/>
        <w:jc w:val="both"/>
        <w:rPr>
          <w:rFonts w:ascii="Times New Roman" w:hAnsi="Times New Roman"/>
          <w:sz w:val="20"/>
          <w:szCs w:val="20"/>
        </w:rPr>
      </w:pPr>
    </w:p>
    <w:p w14:paraId="0BC98866"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Investing Activities</w:t>
      </w:r>
    </w:p>
    <w:p w14:paraId="0BC98867" w14:textId="77777777" w:rsidR="009F0928" w:rsidRDefault="009F0928">
      <w:pPr>
        <w:spacing w:line="288" w:lineRule="auto"/>
        <w:jc w:val="both"/>
        <w:rPr>
          <w:rFonts w:ascii="Times New Roman" w:hAnsi="Times New Roman"/>
          <w:sz w:val="20"/>
          <w:szCs w:val="20"/>
        </w:rPr>
      </w:pPr>
    </w:p>
    <w:p w14:paraId="0BC9886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Cash provided by investing activities of $2.8 billion in 2019 was primarily attributable to proceeds of $50.5 billion from the maturities and sales of investments, partially offset by cash paid for purchases of investments of $47.0 billion, property and eq</w:t>
      </w:r>
      <w:r>
        <w:rPr>
          <w:rFonts w:ascii="Arial" w:eastAsia="宋体" w:hAnsi="Arial" w:cs="Arial"/>
          <w:sz w:val="20"/>
          <w:szCs w:val="20"/>
        </w:rPr>
        <w:t xml:space="preserve">uipment of $554 million, equity investment in Paytm Mall of $160 million and acquisitions of $93 million. </w:t>
      </w:r>
    </w:p>
    <w:p w14:paraId="0BC98869" w14:textId="77777777" w:rsidR="009F0928" w:rsidRDefault="009F0928">
      <w:pPr>
        <w:spacing w:line="288" w:lineRule="auto"/>
        <w:ind w:firstLine="720"/>
        <w:jc w:val="both"/>
        <w:rPr>
          <w:rFonts w:ascii="Times New Roman" w:hAnsi="Times New Roman"/>
          <w:sz w:val="20"/>
          <w:szCs w:val="20"/>
        </w:rPr>
      </w:pPr>
    </w:p>
    <w:p w14:paraId="0BC9886A"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Cash provided by investing activities of $2.9 billion in 2018 was primarily attributable to proceeds of $30.9 billion from the maturities and sales </w:t>
      </w:r>
      <w:r>
        <w:rPr>
          <w:rFonts w:ascii="Arial" w:eastAsia="宋体" w:hAnsi="Arial" w:cs="Arial"/>
          <w:sz w:val="20"/>
          <w:szCs w:val="20"/>
        </w:rPr>
        <w:t xml:space="preserve">of investments and $1.0 billion from the sale of equity investment in Flipkart, partially offset by cash paid for purchases of investments of $28.1 billion, property and equipment of $651 million and acquisitions of $302 million. </w:t>
      </w:r>
    </w:p>
    <w:p w14:paraId="0BC9886B" w14:textId="77777777" w:rsidR="009F0928" w:rsidRDefault="009F0928">
      <w:pPr>
        <w:spacing w:line="288" w:lineRule="auto"/>
        <w:ind w:firstLine="720"/>
        <w:jc w:val="both"/>
        <w:rPr>
          <w:rFonts w:ascii="Times New Roman" w:hAnsi="Times New Roman"/>
          <w:sz w:val="20"/>
          <w:szCs w:val="20"/>
        </w:rPr>
      </w:pPr>
    </w:p>
    <w:p w14:paraId="0BC9886C"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net cash used in inv</w:t>
      </w:r>
      <w:r>
        <w:rPr>
          <w:rFonts w:ascii="Arial" w:eastAsia="宋体" w:hAnsi="Arial" w:cs="Arial"/>
          <w:sz w:val="20"/>
          <w:szCs w:val="20"/>
        </w:rPr>
        <w:t>esting activities of $1.3 billion in 2017 was primarily due to cash paid for property and equipment of $666 million and cash paid for our equity investment in Flipkart of $514 million.</w:t>
      </w:r>
    </w:p>
    <w:p w14:paraId="0BC9886D" w14:textId="77777777" w:rsidR="009F0928" w:rsidRDefault="009F0928">
      <w:pPr>
        <w:spacing w:line="288" w:lineRule="auto"/>
        <w:ind w:firstLine="720"/>
        <w:jc w:val="both"/>
        <w:rPr>
          <w:rFonts w:ascii="Times New Roman" w:hAnsi="Times New Roman"/>
          <w:sz w:val="20"/>
          <w:szCs w:val="20"/>
        </w:rPr>
      </w:pPr>
    </w:p>
    <w:p w14:paraId="0BC9886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largely offsetting effects of purchases of investments and maturit</w:t>
      </w:r>
      <w:r>
        <w:rPr>
          <w:rFonts w:ascii="Arial" w:eastAsia="宋体" w:hAnsi="Arial" w:cs="Arial"/>
          <w:sz w:val="20"/>
          <w:szCs w:val="20"/>
        </w:rPr>
        <w:t xml:space="preserve">ies and sale of investments results from the management of our investments. As our immediate cash needs change, purchase and sale activity will fluctuate. </w:t>
      </w:r>
    </w:p>
    <w:p w14:paraId="0BC9886F" w14:textId="77777777" w:rsidR="009F0928" w:rsidRDefault="009F0928">
      <w:pPr>
        <w:spacing w:line="288" w:lineRule="auto"/>
        <w:ind w:firstLine="720"/>
        <w:jc w:val="both"/>
        <w:rPr>
          <w:rFonts w:ascii="Times New Roman" w:hAnsi="Times New Roman"/>
          <w:sz w:val="20"/>
          <w:szCs w:val="20"/>
        </w:rPr>
      </w:pPr>
    </w:p>
    <w:p w14:paraId="0BC98870" w14:textId="77777777" w:rsidR="009F0928" w:rsidRDefault="009F0928">
      <w:pPr>
        <w:rPr>
          <w:rFonts w:ascii="Times New Roman" w:hAnsi="Times New Roman"/>
          <w:sz w:val="20"/>
          <w:szCs w:val="20"/>
        </w:rPr>
      </w:pPr>
    </w:p>
    <w:p w14:paraId="0BC98871"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49</w:t>
      </w:r>
    </w:p>
    <w:p w14:paraId="0BC98872" w14:textId="77777777" w:rsidR="009F0928" w:rsidRDefault="002112BD">
      <w:r>
        <w:rPr>
          <w:rFonts w:ascii="Times New Roman" w:hAnsi="Times New Roman"/>
          <w:sz w:val="18"/>
          <w:szCs w:val="18"/>
        </w:rPr>
        <w:pict w14:anchorId="0BC9B4EE">
          <v:rect id="_x0000_i1074" style="width:415.3pt;height:1.5pt" o:hralign="center" o:hrstd="t" o:hr="t" fillcolor="#a0a0a0" stroked="f"/>
        </w:pict>
      </w:r>
    </w:p>
    <w:p w14:paraId="0BC98873" w14:textId="77777777" w:rsidR="009F0928" w:rsidRDefault="009F0928">
      <w:pPr>
        <w:spacing w:line="288" w:lineRule="auto"/>
        <w:rPr>
          <w:rFonts w:ascii="Times New Roman" w:hAnsi="Times New Roman"/>
          <w:sz w:val="20"/>
          <w:szCs w:val="20"/>
        </w:rPr>
      </w:pPr>
    </w:p>
    <w:p w14:paraId="0BC98874" w14:textId="77777777" w:rsidR="009F0928" w:rsidRDefault="009F0928">
      <w:pPr>
        <w:rPr>
          <w:rFonts w:ascii="Times New Roman" w:hAnsi="Times New Roman"/>
          <w:sz w:val="20"/>
          <w:szCs w:val="20"/>
        </w:rPr>
      </w:pPr>
    </w:p>
    <w:p w14:paraId="0BC98875"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Financing Activities</w:t>
      </w:r>
    </w:p>
    <w:p w14:paraId="0BC98876" w14:textId="77777777" w:rsidR="009F0928" w:rsidRDefault="009F0928">
      <w:pPr>
        <w:spacing w:line="288" w:lineRule="auto"/>
        <w:jc w:val="both"/>
        <w:rPr>
          <w:rFonts w:ascii="Times New Roman" w:hAnsi="Times New Roman"/>
          <w:sz w:val="20"/>
          <w:szCs w:val="20"/>
        </w:rPr>
      </w:pPr>
    </w:p>
    <w:p w14:paraId="0BC9887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Cash used in financing activities of $7.1 billion in 2019 was </w:t>
      </w:r>
      <w:r>
        <w:rPr>
          <w:rFonts w:ascii="Arial" w:eastAsia="宋体" w:hAnsi="Arial" w:cs="Arial"/>
          <w:sz w:val="20"/>
          <w:szCs w:val="20"/>
        </w:rPr>
        <w:t>primarily used to repurchase $5.0 billion of common stock, repay outstanding debt of $1.6 billion and pay $473 million of cash dividends.</w:t>
      </w:r>
    </w:p>
    <w:p w14:paraId="0BC98878" w14:textId="77777777" w:rsidR="009F0928" w:rsidRDefault="009F0928">
      <w:pPr>
        <w:spacing w:line="288" w:lineRule="auto"/>
        <w:ind w:firstLine="720"/>
        <w:jc w:val="both"/>
        <w:rPr>
          <w:rFonts w:ascii="Times New Roman" w:hAnsi="Times New Roman"/>
          <w:sz w:val="20"/>
          <w:szCs w:val="20"/>
        </w:rPr>
      </w:pPr>
    </w:p>
    <w:p w14:paraId="0BC9887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Cash used in financing activities of $5.4 billion in 2018 was primarily used to repurchase $4.5 billion of common sto</w:t>
      </w:r>
      <w:r>
        <w:rPr>
          <w:rFonts w:ascii="Arial" w:eastAsia="宋体" w:hAnsi="Arial" w:cs="Arial"/>
          <w:sz w:val="20"/>
          <w:szCs w:val="20"/>
        </w:rPr>
        <w:t>ck and repay $750 million of our outstanding senior notes.</w:t>
      </w:r>
    </w:p>
    <w:p w14:paraId="0BC9887A" w14:textId="77777777" w:rsidR="009F0928" w:rsidRDefault="009F0928">
      <w:pPr>
        <w:spacing w:line="288" w:lineRule="auto"/>
        <w:ind w:firstLine="720"/>
        <w:jc w:val="both"/>
        <w:rPr>
          <w:rFonts w:ascii="Times New Roman" w:hAnsi="Times New Roman"/>
          <w:sz w:val="20"/>
          <w:szCs w:val="20"/>
        </w:rPr>
      </w:pPr>
    </w:p>
    <w:p w14:paraId="0BC9887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net cash used in financing activities of $1.8 billion in 2017 was primarily due to $2.7 billion of cash used to repurchase common stock and $1.5 billion of cash used to repay outstanding debt,</w:t>
      </w:r>
      <w:r>
        <w:rPr>
          <w:rFonts w:ascii="Arial" w:eastAsia="宋体" w:hAnsi="Arial" w:cs="Arial"/>
          <w:sz w:val="20"/>
          <w:szCs w:val="20"/>
        </w:rPr>
        <w:t xml:space="preserve"> partially offset by $2.5 billion of cash proceeds from debt issuances. </w:t>
      </w:r>
    </w:p>
    <w:p w14:paraId="0BC9887C" w14:textId="77777777" w:rsidR="009F0928" w:rsidRDefault="009F0928">
      <w:pPr>
        <w:spacing w:line="288" w:lineRule="auto"/>
        <w:ind w:firstLine="720"/>
        <w:jc w:val="both"/>
        <w:rPr>
          <w:rFonts w:ascii="Times New Roman" w:hAnsi="Times New Roman"/>
          <w:sz w:val="20"/>
          <w:szCs w:val="20"/>
        </w:rPr>
      </w:pPr>
    </w:p>
    <w:p w14:paraId="0BC9887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negative effect of exchange rate movements on cash, cash equivalents and restricted cash was due to the strengthening of the U.S. dollar against other currencies, primarily the K</w:t>
      </w:r>
      <w:r>
        <w:rPr>
          <w:rFonts w:ascii="Arial" w:eastAsia="宋体" w:hAnsi="Arial" w:cs="Arial"/>
          <w:sz w:val="20"/>
          <w:szCs w:val="20"/>
        </w:rPr>
        <w:t>orean won, euro and British pound during 2019. The negative effect of exchange rate movements on cash, cash equivalents and restricted cash was due to the strengthening of the U.S. dollar against other currencies, primarily the euro, Korean won and British</w:t>
      </w:r>
      <w:r>
        <w:rPr>
          <w:rFonts w:ascii="Arial" w:eastAsia="宋体" w:hAnsi="Arial" w:cs="Arial"/>
          <w:sz w:val="20"/>
          <w:szCs w:val="20"/>
        </w:rPr>
        <w:t xml:space="preserve"> pound, during 2018. The positive effect of exchange rate movements on cash, cash equivalents and restricted cash was due to the weakening of the U.S. dollar against other currencies, primarily the euro and Korean won, during 2017. </w:t>
      </w:r>
    </w:p>
    <w:p w14:paraId="0BC9887E" w14:textId="77777777" w:rsidR="009F0928" w:rsidRDefault="009F0928">
      <w:pPr>
        <w:spacing w:line="288" w:lineRule="auto"/>
        <w:jc w:val="both"/>
        <w:rPr>
          <w:rFonts w:ascii="Times New Roman" w:hAnsi="Times New Roman"/>
          <w:sz w:val="20"/>
          <w:szCs w:val="20"/>
        </w:rPr>
      </w:pPr>
    </w:p>
    <w:p w14:paraId="0BC9887F" w14:textId="77777777" w:rsidR="009F0928" w:rsidRDefault="002112BD">
      <w:pPr>
        <w:spacing w:line="288" w:lineRule="auto"/>
        <w:jc w:val="both"/>
        <w:rPr>
          <w:rFonts w:ascii="Times New Roman" w:hAnsi="Times New Roman"/>
          <w:sz w:val="20"/>
          <w:szCs w:val="20"/>
        </w:rPr>
      </w:pPr>
      <w:r>
        <w:rPr>
          <w:rFonts w:ascii="Arial" w:eastAsia="宋体" w:hAnsi="Arial" w:cs="Arial"/>
          <w:i/>
          <w:iCs/>
          <w:sz w:val="20"/>
          <w:szCs w:val="20"/>
        </w:rPr>
        <w:t>Stock Repurchases</w:t>
      </w:r>
    </w:p>
    <w:p w14:paraId="0BC98880" w14:textId="77777777" w:rsidR="009F0928" w:rsidRDefault="009F0928">
      <w:pPr>
        <w:spacing w:line="288" w:lineRule="auto"/>
        <w:ind w:firstLine="720"/>
        <w:jc w:val="both"/>
        <w:rPr>
          <w:rFonts w:ascii="Times New Roman" w:hAnsi="Times New Roman"/>
          <w:sz w:val="20"/>
          <w:szCs w:val="20"/>
        </w:rPr>
      </w:pPr>
    </w:p>
    <w:p w14:paraId="0BC9888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In </w:t>
      </w:r>
      <w:r>
        <w:rPr>
          <w:rFonts w:ascii="Arial" w:eastAsia="宋体" w:hAnsi="Arial" w:cs="Arial"/>
          <w:sz w:val="20"/>
          <w:szCs w:val="20"/>
        </w:rPr>
        <w:t>January 2018, our Board authorized a $6.0 billion stock repurchase program and in January 2019, our Board authorized an additional $4.0 billion stock repurchase program. These stock repurchase programs have no expiration from the date of authorization. Our</w:t>
      </w:r>
      <w:r>
        <w:rPr>
          <w:rFonts w:ascii="Arial" w:eastAsia="宋体" w:hAnsi="Arial" w:cs="Arial"/>
          <w:sz w:val="20"/>
          <w:szCs w:val="20"/>
        </w:rPr>
        <w:t xml:space="preserve"> stock repurchase programs are intended to programmatically offset the impact of dilution from our equity compensation programs and, subject to market conditions and other factors, to make opportunistic and programmatic repurchases of our common stock to r</w:t>
      </w:r>
      <w:r>
        <w:rPr>
          <w:rFonts w:ascii="Arial" w:eastAsia="宋体" w:hAnsi="Arial" w:cs="Arial"/>
          <w:sz w:val="20"/>
          <w:szCs w:val="20"/>
        </w:rPr>
        <w:t xml:space="preserve">educe our outstanding share count. Any share repurchases under our stock repurchase programs may be made through open market transactions, block trades, privately negotiated transactions (including accelerated share repurchase transactions) or other means </w:t>
      </w:r>
      <w:r>
        <w:rPr>
          <w:rFonts w:ascii="Arial" w:eastAsia="宋体" w:hAnsi="Arial" w:cs="Arial"/>
          <w:sz w:val="20"/>
          <w:szCs w:val="20"/>
        </w:rPr>
        <w:t>at times and in such amounts as management deems appropriate and will be funded from our working capital or other financing alternatives.</w:t>
      </w:r>
    </w:p>
    <w:p w14:paraId="0BC98882" w14:textId="77777777" w:rsidR="009F0928" w:rsidRDefault="009F0928">
      <w:pPr>
        <w:spacing w:line="288" w:lineRule="auto"/>
        <w:ind w:firstLine="720"/>
        <w:jc w:val="both"/>
        <w:rPr>
          <w:rFonts w:ascii="Times New Roman" w:hAnsi="Times New Roman"/>
          <w:sz w:val="20"/>
          <w:szCs w:val="20"/>
        </w:rPr>
      </w:pPr>
    </w:p>
    <w:p w14:paraId="0BC9888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During 2019, we repurchased approximately $5.0 billion of our common stock under our stock repurchase programs. As of</w:t>
      </w:r>
      <w:r>
        <w:rPr>
          <w:rFonts w:ascii="Arial" w:eastAsia="宋体" w:hAnsi="Arial" w:cs="Arial"/>
          <w:sz w:val="20"/>
          <w:szCs w:val="20"/>
        </w:rPr>
        <w:t xml:space="preserve"> December 31, 2019, a total of approximately $2.2 billion remained available for future repurchases of our common stock under our stock repurchase programs. In January 2020, our Board authorized an additional $5.0 billion stock repurchase program, with no </w:t>
      </w:r>
      <w:r>
        <w:rPr>
          <w:rFonts w:ascii="Arial" w:eastAsia="宋体" w:hAnsi="Arial" w:cs="Arial"/>
          <w:sz w:val="20"/>
          <w:szCs w:val="20"/>
        </w:rPr>
        <w:t xml:space="preserve">expiration from the date of authorization. </w:t>
      </w:r>
    </w:p>
    <w:p w14:paraId="0BC98884" w14:textId="77777777" w:rsidR="009F0928" w:rsidRDefault="009F0928">
      <w:pPr>
        <w:spacing w:line="288" w:lineRule="auto"/>
        <w:ind w:firstLine="720"/>
        <w:jc w:val="both"/>
        <w:rPr>
          <w:rFonts w:ascii="Times New Roman" w:hAnsi="Times New Roman"/>
          <w:sz w:val="20"/>
          <w:szCs w:val="20"/>
        </w:rPr>
      </w:pPr>
    </w:p>
    <w:p w14:paraId="0BC9888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expect, subject to market conditions and other uncertainties, to continue making opportunistic and programmatic repurchases of our common stock. However, our stock repurchase programs may be limited or termin</w:t>
      </w:r>
      <w:r>
        <w:rPr>
          <w:rFonts w:ascii="Arial" w:eastAsia="宋体" w:hAnsi="Arial" w:cs="Arial"/>
          <w:sz w:val="20"/>
          <w:szCs w:val="20"/>
        </w:rPr>
        <w:t>ated at any time without prior notice. The timing and actual number of shares repurchased will depend on a variety of factors, including corporate and regulatory requirements, price and other market conditions and management’s determination as to the appro</w:t>
      </w:r>
      <w:r>
        <w:rPr>
          <w:rFonts w:ascii="Arial" w:eastAsia="宋体" w:hAnsi="Arial" w:cs="Arial"/>
          <w:sz w:val="20"/>
          <w:szCs w:val="20"/>
        </w:rPr>
        <w:t>priate use of our cash.  </w:t>
      </w:r>
    </w:p>
    <w:p w14:paraId="0BC98886" w14:textId="77777777" w:rsidR="009F0928" w:rsidRDefault="009F0928">
      <w:pPr>
        <w:spacing w:line="288" w:lineRule="auto"/>
        <w:ind w:firstLine="720"/>
        <w:jc w:val="both"/>
        <w:rPr>
          <w:rFonts w:ascii="Times New Roman" w:hAnsi="Times New Roman"/>
          <w:sz w:val="20"/>
          <w:szCs w:val="20"/>
        </w:rPr>
      </w:pPr>
    </w:p>
    <w:p w14:paraId="0BC98887" w14:textId="77777777" w:rsidR="009F0928" w:rsidRDefault="002112BD">
      <w:pPr>
        <w:spacing w:line="288" w:lineRule="auto"/>
        <w:jc w:val="both"/>
        <w:rPr>
          <w:rFonts w:ascii="Times New Roman" w:hAnsi="Times New Roman"/>
          <w:sz w:val="20"/>
          <w:szCs w:val="20"/>
        </w:rPr>
      </w:pPr>
      <w:r>
        <w:rPr>
          <w:rFonts w:ascii="Arial" w:eastAsia="宋体" w:hAnsi="Arial" w:cs="Arial"/>
          <w:i/>
          <w:iCs/>
          <w:sz w:val="20"/>
          <w:szCs w:val="20"/>
        </w:rPr>
        <w:t>Dividends</w:t>
      </w:r>
    </w:p>
    <w:p w14:paraId="0BC98888" w14:textId="77777777" w:rsidR="009F0928" w:rsidRDefault="009F0928">
      <w:pPr>
        <w:spacing w:line="288" w:lineRule="auto"/>
        <w:jc w:val="both"/>
        <w:rPr>
          <w:rFonts w:ascii="Times New Roman" w:hAnsi="Times New Roman"/>
          <w:sz w:val="20"/>
          <w:szCs w:val="20"/>
        </w:rPr>
      </w:pPr>
    </w:p>
    <w:p w14:paraId="0BC98889" w14:textId="77777777" w:rsidR="009F0928" w:rsidRDefault="002112BD">
      <w:pPr>
        <w:spacing w:line="288" w:lineRule="auto"/>
        <w:ind w:firstLine="720"/>
        <w:rPr>
          <w:rFonts w:ascii="Times New Roman" w:hAnsi="Times New Roman"/>
          <w:sz w:val="20"/>
          <w:szCs w:val="20"/>
        </w:rPr>
      </w:pPr>
      <w:r>
        <w:rPr>
          <w:rFonts w:ascii="Arial" w:eastAsia="宋体" w:hAnsi="Arial" w:cs="Arial"/>
          <w:sz w:val="20"/>
          <w:szCs w:val="20"/>
        </w:rPr>
        <w:t>The company paid a total of $473 million in cash dividends during the year ended December 31, 2019. No cash dividends were paid in 2018 and 2017. In January 2020, we declared a cash dividend of $0.16 per share of commo</w:t>
      </w:r>
      <w:r>
        <w:rPr>
          <w:rFonts w:ascii="Arial" w:eastAsia="宋体" w:hAnsi="Arial" w:cs="Arial"/>
          <w:sz w:val="20"/>
          <w:szCs w:val="20"/>
        </w:rPr>
        <w:t xml:space="preserve">n stock to be paid on March 20, 2020 to stockholders of record as of March 2, 2020. </w:t>
      </w:r>
    </w:p>
    <w:p w14:paraId="0BC9888A" w14:textId="77777777" w:rsidR="009F0928" w:rsidRDefault="009F0928">
      <w:pPr>
        <w:spacing w:line="288" w:lineRule="auto"/>
        <w:ind w:firstLine="720"/>
        <w:jc w:val="both"/>
        <w:rPr>
          <w:rFonts w:ascii="Times New Roman" w:hAnsi="Times New Roman"/>
          <w:sz w:val="20"/>
          <w:szCs w:val="20"/>
        </w:rPr>
      </w:pPr>
    </w:p>
    <w:p w14:paraId="0BC9888B" w14:textId="77777777" w:rsidR="009F0928" w:rsidRDefault="002112BD">
      <w:pPr>
        <w:spacing w:line="288" w:lineRule="auto"/>
        <w:ind w:firstLine="480"/>
        <w:jc w:val="both"/>
        <w:rPr>
          <w:rFonts w:ascii="Times New Roman" w:hAnsi="Times New Roman"/>
          <w:sz w:val="20"/>
          <w:szCs w:val="20"/>
        </w:rPr>
      </w:pPr>
      <w:r>
        <w:rPr>
          <w:rFonts w:ascii="Arial" w:eastAsia="宋体" w:hAnsi="Arial" w:cs="Arial"/>
          <w:i/>
          <w:iCs/>
          <w:sz w:val="20"/>
          <w:szCs w:val="20"/>
        </w:rPr>
        <w:t>Shelf Registration Statement and Debt</w:t>
      </w:r>
    </w:p>
    <w:p w14:paraId="0BC9888C" w14:textId="77777777" w:rsidR="009F0928" w:rsidRDefault="009F0928">
      <w:pPr>
        <w:spacing w:line="288" w:lineRule="auto"/>
        <w:jc w:val="both"/>
        <w:rPr>
          <w:rFonts w:ascii="Times New Roman" w:hAnsi="Times New Roman"/>
          <w:sz w:val="20"/>
          <w:szCs w:val="20"/>
        </w:rPr>
      </w:pPr>
    </w:p>
    <w:p w14:paraId="0BC9888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As of December 31, 2019, we had an effective shelf registration statement on file with the Securities and Exchange </w:t>
      </w:r>
      <w:r>
        <w:rPr>
          <w:rFonts w:ascii="Arial" w:eastAsia="宋体" w:hAnsi="Arial" w:cs="Arial"/>
          <w:sz w:val="20"/>
          <w:szCs w:val="20"/>
        </w:rPr>
        <w:t xml:space="preserve">Commission that allows us to issue various types of debt securities, as well as common stock, preferred stock, warrants, depositary shares representing fractional interest in shares of preferred stock, purchase contracts and units from time to time in one </w:t>
      </w:r>
      <w:r>
        <w:rPr>
          <w:rFonts w:ascii="Arial" w:eastAsia="宋体" w:hAnsi="Arial" w:cs="Arial"/>
          <w:sz w:val="20"/>
          <w:szCs w:val="20"/>
        </w:rPr>
        <w:t>or more offerings. Each issuance under the shelf registration statement will require the filing of a prospectus supplement identifying the amount and terms of the securities to be issued. The registration statement does not limit the amount of securities t</w:t>
      </w:r>
      <w:r>
        <w:rPr>
          <w:rFonts w:ascii="Arial" w:eastAsia="宋体" w:hAnsi="Arial" w:cs="Arial"/>
          <w:sz w:val="20"/>
          <w:szCs w:val="20"/>
        </w:rPr>
        <w:t>hat may be issued thereunder. Our ability to issue securities is subject to market conditions and other factors including, in the case of our debt securities, our credit ratings and compliance with the covenants in our credit agreement.</w:t>
      </w:r>
    </w:p>
    <w:p w14:paraId="0BC9888E" w14:textId="77777777" w:rsidR="009F0928" w:rsidRDefault="009F0928">
      <w:pPr>
        <w:spacing w:line="288" w:lineRule="auto"/>
        <w:ind w:firstLine="720"/>
        <w:jc w:val="both"/>
        <w:rPr>
          <w:rFonts w:ascii="Times New Roman" w:hAnsi="Times New Roman"/>
          <w:sz w:val="20"/>
          <w:szCs w:val="20"/>
        </w:rPr>
      </w:pPr>
    </w:p>
    <w:p w14:paraId="0BC9888F" w14:textId="77777777" w:rsidR="009F0928" w:rsidRDefault="009F0928">
      <w:pPr>
        <w:rPr>
          <w:rFonts w:ascii="Times New Roman" w:hAnsi="Times New Roman"/>
          <w:sz w:val="20"/>
          <w:szCs w:val="20"/>
        </w:rPr>
      </w:pPr>
    </w:p>
    <w:p w14:paraId="0BC98890"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50</w:t>
      </w:r>
    </w:p>
    <w:p w14:paraId="0BC98891" w14:textId="77777777" w:rsidR="009F0928" w:rsidRDefault="002112BD">
      <w:r>
        <w:rPr>
          <w:rFonts w:ascii="Times New Roman" w:hAnsi="Times New Roman"/>
          <w:sz w:val="18"/>
          <w:szCs w:val="18"/>
        </w:rPr>
        <w:pict w14:anchorId="0BC9B4EF">
          <v:rect id="_x0000_i1075" style="width:415.3pt;height:1.5pt" o:hralign="center" o:hrstd="t" o:hr="t" fillcolor="#a0a0a0" stroked="f"/>
        </w:pict>
      </w:r>
    </w:p>
    <w:p w14:paraId="0BC98892" w14:textId="77777777" w:rsidR="009F0928" w:rsidRDefault="009F0928">
      <w:pPr>
        <w:spacing w:line="288" w:lineRule="auto"/>
        <w:rPr>
          <w:rFonts w:ascii="Times New Roman" w:hAnsi="Times New Roman"/>
          <w:sz w:val="20"/>
          <w:szCs w:val="20"/>
        </w:rPr>
      </w:pPr>
    </w:p>
    <w:p w14:paraId="0BC98893" w14:textId="77777777" w:rsidR="009F0928" w:rsidRDefault="009F0928">
      <w:pPr>
        <w:rPr>
          <w:rFonts w:ascii="Times New Roman" w:hAnsi="Times New Roman"/>
          <w:sz w:val="20"/>
          <w:szCs w:val="20"/>
        </w:rPr>
      </w:pPr>
    </w:p>
    <w:p w14:paraId="0BC98894" w14:textId="77777777" w:rsidR="009F0928" w:rsidRDefault="002112BD">
      <w:pPr>
        <w:spacing w:line="288" w:lineRule="auto"/>
        <w:ind w:firstLine="480"/>
        <w:jc w:val="both"/>
        <w:rPr>
          <w:rFonts w:ascii="Times New Roman" w:hAnsi="Times New Roman"/>
          <w:sz w:val="20"/>
          <w:szCs w:val="20"/>
        </w:rPr>
      </w:pPr>
      <w:r>
        <w:rPr>
          <w:rFonts w:ascii="Arial" w:eastAsia="宋体" w:hAnsi="Arial" w:cs="Arial"/>
          <w:i/>
          <w:iCs/>
          <w:sz w:val="20"/>
          <w:szCs w:val="20"/>
        </w:rPr>
        <w:t>Senior Not</w:t>
      </w:r>
      <w:r>
        <w:rPr>
          <w:rFonts w:ascii="Arial" w:eastAsia="宋体" w:hAnsi="Arial" w:cs="Arial"/>
          <w:i/>
          <w:iCs/>
          <w:sz w:val="20"/>
          <w:szCs w:val="20"/>
        </w:rPr>
        <w:t>es</w:t>
      </w:r>
    </w:p>
    <w:p w14:paraId="0BC98895" w14:textId="77777777" w:rsidR="009F0928" w:rsidRDefault="009F0928">
      <w:pPr>
        <w:spacing w:line="288" w:lineRule="auto"/>
        <w:ind w:firstLine="720"/>
        <w:jc w:val="both"/>
        <w:rPr>
          <w:rFonts w:ascii="Times New Roman" w:hAnsi="Times New Roman"/>
          <w:sz w:val="20"/>
          <w:szCs w:val="20"/>
        </w:rPr>
      </w:pPr>
    </w:p>
    <w:p w14:paraId="0BC9889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As of December 31, 2019, we had floating- and fixed-rate senior notes outstanding for an aggregate principal amount of $7.8 billion. The net proceeds from the issuances of these senior notes are used for general corporate purposes, including, among oth</w:t>
      </w:r>
      <w:r>
        <w:rPr>
          <w:rFonts w:ascii="Arial" w:eastAsia="宋体" w:hAnsi="Arial" w:cs="Arial"/>
          <w:sz w:val="20"/>
          <w:szCs w:val="20"/>
        </w:rPr>
        <w:t xml:space="preserve">er things, capital expenditures, share repurchases, repayment of indebtedness and possible acquisitions. The floating rate notes are not redeemable prior to maturity. On and after March 1, 2021, we may redeem some or all of the 6.000% fixed rate notes due </w:t>
      </w:r>
      <w:r>
        <w:rPr>
          <w:rFonts w:ascii="Arial" w:eastAsia="宋体" w:hAnsi="Arial" w:cs="Arial"/>
          <w:sz w:val="20"/>
          <w:szCs w:val="20"/>
        </w:rPr>
        <w:t>2056 at any time and from time to time prior to their maturity, at a redemption price equal to 100% of the principal amount of the notes to be redeemed, plus accrued and unpaid interest. We may redeem some or all of the other fixed rate notes of each serie</w:t>
      </w:r>
      <w:r>
        <w:rPr>
          <w:rFonts w:ascii="Arial" w:eastAsia="宋体" w:hAnsi="Arial" w:cs="Arial"/>
          <w:sz w:val="20"/>
          <w:szCs w:val="20"/>
        </w:rPr>
        <w:t xml:space="preserve">s at any time and from time to time prior to their maturity, generally at a make-whole redemption price plus accrued and unpaid interest. If a change of control triggering event occurs with respect to the 2.150% fixed rate notes due 2020, the 3.800% fixed </w:t>
      </w:r>
      <w:r>
        <w:rPr>
          <w:rFonts w:ascii="Arial" w:eastAsia="宋体" w:hAnsi="Arial" w:cs="Arial"/>
          <w:sz w:val="20"/>
          <w:szCs w:val="20"/>
        </w:rPr>
        <w:t>rate notes due 2022, the floating rate notes due 2023, the 2.750% fixed rate notes due 2023, the 3.600% fixed rate notes due 2027 or the 6.000% fixed rate notes due 2056, we must, subject to certain exceptions, offer to repurchase all of the notes of the a</w:t>
      </w:r>
      <w:r>
        <w:rPr>
          <w:rFonts w:ascii="Arial" w:eastAsia="宋体" w:hAnsi="Arial" w:cs="Arial"/>
          <w:sz w:val="20"/>
          <w:szCs w:val="20"/>
        </w:rPr>
        <w:t xml:space="preserve">pplicable series at a price equal to 101% of the principal amount plus accrued and unpaid interest. For additional details related to our senior notes, please see “Note 10 – Debt” to the consolidated financial statements included in this report. </w:t>
      </w:r>
    </w:p>
    <w:p w14:paraId="0BC98897" w14:textId="77777777" w:rsidR="009F0928" w:rsidRDefault="009F0928">
      <w:pPr>
        <w:spacing w:line="288" w:lineRule="auto"/>
        <w:ind w:firstLine="720"/>
        <w:jc w:val="both"/>
        <w:rPr>
          <w:rFonts w:ascii="Times New Roman" w:hAnsi="Times New Roman"/>
          <w:sz w:val="20"/>
          <w:szCs w:val="20"/>
        </w:rPr>
      </w:pPr>
    </w:p>
    <w:p w14:paraId="0BC9889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To help </w:t>
      </w:r>
      <w:r>
        <w:rPr>
          <w:rFonts w:ascii="Arial" w:eastAsia="宋体" w:hAnsi="Arial" w:cs="Arial"/>
          <w:sz w:val="20"/>
          <w:szCs w:val="20"/>
        </w:rPr>
        <w:t>achieve our interest rate risk management objectives, in connection with the previous issuance of certain senior notes, we entered into interest rate swap agreements that effectively converted $2.4 billion of the fixed rate notes to floating rate debt base</w:t>
      </w:r>
      <w:r>
        <w:rPr>
          <w:rFonts w:ascii="Arial" w:eastAsia="宋体" w:hAnsi="Arial" w:cs="Arial"/>
          <w:sz w:val="20"/>
          <w:szCs w:val="20"/>
        </w:rPr>
        <w:t xml:space="preserve">d on the London InterBank Offered Rate (“LIBOR”) plus a spread. These swaps were designated as fair value hedges against changes in the fair value of certain fixed rate senior notes resulting from changes in interest rates. As of December 31, 2019, we had </w:t>
      </w:r>
      <w:r>
        <w:rPr>
          <w:rFonts w:ascii="Arial" w:eastAsia="宋体" w:hAnsi="Arial" w:cs="Arial"/>
          <w:sz w:val="20"/>
          <w:szCs w:val="20"/>
        </w:rPr>
        <w:t>no interest rate swaps outstanding as $1.15 billion related to our 2.200% senior notes of the $2.4 billion aggregate notional amount matured. In addition, during the year ended December 31, 2019, we terminated the interest rate swaps related to $750 millio</w:t>
      </w:r>
      <w:r>
        <w:rPr>
          <w:rFonts w:ascii="Arial" w:eastAsia="宋体" w:hAnsi="Arial" w:cs="Arial"/>
          <w:sz w:val="20"/>
          <w:szCs w:val="20"/>
        </w:rPr>
        <w:t>n of our 2.875% senior notes due July 2021 and $500 million of our 3.450% senior notes due July 2024. As a result of the early termination, hedge accounting was discontinued prospectively and the gain on termination was recorded as an increase to the long-</w:t>
      </w:r>
      <w:r>
        <w:rPr>
          <w:rFonts w:ascii="Arial" w:eastAsia="宋体" w:hAnsi="Arial" w:cs="Arial"/>
          <w:sz w:val="20"/>
          <w:szCs w:val="20"/>
        </w:rPr>
        <w:t>term debt balance and is being recognized over the remaining life of the underlying debt as a reduction to interest expense. The gain recognized during the year ended December 31, 2019 was immaterial</w:t>
      </w:r>
      <w:r>
        <w:rPr>
          <w:rFonts w:ascii="Times New Roman" w:eastAsia="宋体" w:hAnsi="Times New Roman"/>
          <w:sz w:val="20"/>
          <w:szCs w:val="20"/>
        </w:rPr>
        <w:t xml:space="preserve">. </w:t>
      </w:r>
      <w:r>
        <w:rPr>
          <w:rFonts w:ascii="Arial" w:eastAsia="宋体" w:hAnsi="Arial" w:cs="Arial"/>
          <w:sz w:val="20"/>
          <w:szCs w:val="20"/>
        </w:rPr>
        <w:t>For additional details related to the interest rate swa</w:t>
      </w:r>
      <w:r>
        <w:rPr>
          <w:rFonts w:ascii="Arial" w:eastAsia="宋体" w:hAnsi="Arial" w:cs="Arial"/>
          <w:sz w:val="20"/>
          <w:szCs w:val="20"/>
        </w:rPr>
        <w:t>p termination, please see, “Note 10 – Debt” to the consolidated financial statements included in this report.</w:t>
      </w:r>
    </w:p>
    <w:p w14:paraId="0BC98899" w14:textId="77777777" w:rsidR="009F0928" w:rsidRDefault="009F0928">
      <w:pPr>
        <w:spacing w:line="288" w:lineRule="auto"/>
        <w:ind w:firstLine="720"/>
        <w:jc w:val="both"/>
        <w:rPr>
          <w:rFonts w:ascii="Times New Roman" w:hAnsi="Times New Roman"/>
          <w:sz w:val="20"/>
          <w:szCs w:val="20"/>
        </w:rPr>
      </w:pPr>
    </w:p>
    <w:p w14:paraId="0BC9889A"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indenture pursuant to which the senior notes were issued includes customary covenants that, among other things and subject to exceptions, lim</w:t>
      </w:r>
      <w:r>
        <w:rPr>
          <w:rFonts w:ascii="Arial" w:eastAsia="宋体" w:hAnsi="Arial" w:cs="Arial"/>
          <w:sz w:val="20"/>
          <w:szCs w:val="20"/>
        </w:rPr>
        <w:t>it our ability to incur, assume or guarantee debt secured by liens on specified assets or enter into sale and lease-back transactions with respect to specified properties, and also includes customary events of default.</w:t>
      </w:r>
    </w:p>
    <w:p w14:paraId="0BC9889B" w14:textId="77777777" w:rsidR="009F0928" w:rsidRDefault="009F0928">
      <w:pPr>
        <w:spacing w:line="288" w:lineRule="auto"/>
        <w:jc w:val="both"/>
        <w:rPr>
          <w:rFonts w:ascii="Times New Roman" w:hAnsi="Times New Roman"/>
          <w:sz w:val="20"/>
          <w:szCs w:val="20"/>
        </w:rPr>
      </w:pPr>
    </w:p>
    <w:p w14:paraId="0BC9889C" w14:textId="77777777" w:rsidR="009F0928" w:rsidRDefault="002112BD">
      <w:pPr>
        <w:spacing w:line="288" w:lineRule="auto"/>
        <w:ind w:firstLine="480"/>
        <w:jc w:val="both"/>
        <w:rPr>
          <w:rFonts w:ascii="Times New Roman" w:hAnsi="Times New Roman"/>
          <w:sz w:val="20"/>
          <w:szCs w:val="20"/>
        </w:rPr>
      </w:pPr>
      <w:r>
        <w:rPr>
          <w:rFonts w:ascii="Arial" w:eastAsia="宋体" w:hAnsi="Arial" w:cs="Arial"/>
          <w:i/>
          <w:iCs/>
          <w:sz w:val="20"/>
          <w:szCs w:val="20"/>
        </w:rPr>
        <w:t>Commercial Paper</w:t>
      </w:r>
    </w:p>
    <w:p w14:paraId="0BC9889D" w14:textId="77777777" w:rsidR="009F0928" w:rsidRDefault="009F0928">
      <w:pPr>
        <w:spacing w:line="288" w:lineRule="auto"/>
        <w:ind w:firstLine="720"/>
        <w:jc w:val="both"/>
        <w:rPr>
          <w:rFonts w:ascii="Times New Roman" w:hAnsi="Times New Roman"/>
          <w:sz w:val="20"/>
          <w:szCs w:val="20"/>
        </w:rPr>
      </w:pPr>
    </w:p>
    <w:p w14:paraId="0BC9889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have a </w:t>
      </w:r>
      <w:r>
        <w:rPr>
          <w:rFonts w:ascii="Arial" w:eastAsia="宋体" w:hAnsi="Arial" w:cs="Arial"/>
          <w:sz w:val="20"/>
          <w:szCs w:val="20"/>
        </w:rPr>
        <w:t>commercial paper program pursuant to which we may issue commercial paper notes in an aggregate principal amount at maturity of up to $1.5 billion outstanding at any time with maturities of up to 397 days from the date of issue. As of December 31, 2019, the</w:t>
      </w:r>
      <w:r>
        <w:rPr>
          <w:rFonts w:ascii="Arial" w:eastAsia="宋体" w:hAnsi="Arial" w:cs="Arial"/>
          <w:sz w:val="20"/>
          <w:szCs w:val="20"/>
        </w:rPr>
        <w:t>re were no commercial paper notes outstanding.</w:t>
      </w:r>
    </w:p>
    <w:p w14:paraId="0BC9889F" w14:textId="77777777" w:rsidR="009F0928" w:rsidRDefault="009F0928">
      <w:pPr>
        <w:spacing w:line="288" w:lineRule="auto"/>
        <w:ind w:firstLine="720"/>
        <w:jc w:val="both"/>
        <w:rPr>
          <w:rFonts w:ascii="Times New Roman" w:hAnsi="Times New Roman"/>
          <w:sz w:val="20"/>
          <w:szCs w:val="20"/>
        </w:rPr>
      </w:pPr>
    </w:p>
    <w:p w14:paraId="0BC988A0" w14:textId="77777777" w:rsidR="009F0928" w:rsidRDefault="002112BD">
      <w:pPr>
        <w:spacing w:line="288" w:lineRule="auto"/>
        <w:ind w:firstLine="120"/>
        <w:jc w:val="both"/>
        <w:rPr>
          <w:rFonts w:ascii="Times New Roman" w:hAnsi="Times New Roman"/>
          <w:sz w:val="20"/>
          <w:szCs w:val="20"/>
        </w:rPr>
      </w:pPr>
      <w:r>
        <w:rPr>
          <w:rFonts w:ascii="Arial" w:eastAsia="宋体" w:hAnsi="Arial" w:cs="Arial"/>
          <w:i/>
          <w:iCs/>
          <w:sz w:val="20"/>
          <w:szCs w:val="20"/>
        </w:rPr>
        <w:t xml:space="preserve">Credit Agreement </w:t>
      </w:r>
    </w:p>
    <w:p w14:paraId="0BC988A1" w14:textId="77777777" w:rsidR="009F0928" w:rsidRDefault="009F0928">
      <w:pPr>
        <w:spacing w:line="288" w:lineRule="auto"/>
        <w:ind w:firstLine="120"/>
        <w:jc w:val="both"/>
        <w:rPr>
          <w:rFonts w:ascii="Times New Roman" w:hAnsi="Times New Roman"/>
          <w:sz w:val="20"/>
          <w:szCs w:val="20"/>
        </w:rPr>
      </w:pPr>
    </w:p>
    <w:p w14:paraId="0BC988A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November 2015, we entered into a credit agreement that provides for an unsecured $2 billion five-year revolving credit facility. We may also, subject to the agreement of the applicable l</w:t>
      </w:r>
      <w:r>
        <w:rPr>
          <w:rFonts w:ascii="Arial" w:eastAsia="宋体" w:hAnsi="Arial" w:cs="Arial"/>
          <w:sz w:val="20"/>
          <w:szCs w:val="20"/>
        </w:rPr>
        <w:t>enders, increase the commitments under the revolving credit facility by up to an aggregate amount of $1 billion. Funds borrowed under the credit agreement may be used for working capital, capital expenditures, dividends, acquisitions and other general corp</w:t>
      </w:r>
      <w:r>
        <w:rPr>
          <w:rFonts w:ascii="Arial" w:eastAsia="宋体" w:hAnsi="Arial" w:cs="Arial"/>
          <w:sz w:val="20"/>
          <w:szCs w:val="20"/>
        </w:rPr>
        <w:t xml:space="preserve">orate purposes. </w:t>
      </w:r>
    </w:p>
    <w:p w14:paraId="0BC988A3" w14:textId="77777777" w:rsidR="009F0928" w:rsidRDefault="009F0928">
      <w:pPr>
        <w:spacing w:line="288" w:lineRule="auto"/>
        <w:ind w:firstLine="720"/>
        <w:jc w:val="both"/>
        <w:rPr>
          <w:rFonts w:ascii="Times New Roman" w:hAnsi="Times New Roman"/>
          <w:sz w:val="20"/>
          <w:szCs w:val="20"/>
        </w:rPr>
      </w:pPr>
    </w:p>
    <w:p w14:paraId="0BC988A4"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As of December 31, 2019, no borrowings were outstanding under our $2 billion credit agreement. However, as described above, we have an up to $1.5 billion commercial paper program and therefore maintain $1.5 billion of available </w:t>
      </w:r>
      <w:r>
        <w:rPr>
          <w:rFonts w:ascii="Arial" w:eastAsia="宋体" w:hAnsi="Arial" w:cs="Arial"/>
          <w:sz w:val="20"/>
          <w:szCs w:val="20"/>
        </w:rPr>
        <w:t>borrowing capacity under our credit agreement in order to repay commercial paper borrowings in the event we are unable to repay those borrowings from other sources when they become due. As a result, $500 million of borrowing capacity was available as of De</w:t>
      </w:r>
      <w:r>
        <w:rPr>
          <w:rFonts w:ascii="Arial" w:eastAsia="宋体" w:hAnsi="Arial" w:cs="Arial"/>
          <w:sz w:val="20"/>
          <w:szCs w:val="20"/>
        </w:rPr>
        <w:t>cember 31, 2019 for other purposes permitted by the credit agreement.  </w:t>
      </w:r>
    </w:p>
    <w:p w14:paraId="0BC988A5" w14:textId="77777777" w:rsidR="009F0928" w:rsidRDefault="009F0928">
      <w:pPr>
        <w:spacing w:line="288" w:lineRule="auto"/>
        <w:ind w:firstLine="720"/>
        <w:jc w:val="both"/>
        <w:rPr>
          <w:rFonts w:ascii="Times New Roman" w:hAnsi="Times New Roman"/>
          <w:sz w:val="20"/>
          <w:szCs w:val="20"/>
        </w:rPr>
      </w:pPr>
    </w:p>
    <w:p w14:paraId="0BC988A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Loans under the credit agreement bear interest at either (i) LIBOR plus a margin (based on our public debt credit ratings) ranging from 0.875 percent to 1.5 percent or (ii) a formula </w:t>
      </w:r>
      <w:r>
        <w:rPr>
          <w:rFonts w:ascii="Arial" w:eastAsia="宋体" w:hAnsi="Arial" w:cs="Arial"/>
          <w:sz w:val="20"/>
          <w:szCs w:val="20"/>
        </w:rPr>
        <w:t>based on the agent bank’s prime rate, the federal funds effective rate plus 0.5 percent or LIBOR plus 1.0 percent, plus a margin (based on our public debt credit ratings) ranging from zero percent to 0.5 percent. The credit agreement will terminate and all</w:t>
      </w:r>
      <w:r>
        <w:rPr>
          <w:rFonts w:ascii="Arial" w:eastAsia="宋体" w:hAnsi="Arial" w:cs="Arial"/>
          <w:sz w:val="20"/>
          <w:szCs w:val="20"/>
        </w:rPr>
        <w:t xml:space="preserve"> amounts owing thereunder will be due and payable on November 9, 2020, unless (a) the commitments are terminated earlier, either at our request </w:t>
      </w:r>
    </w:p>
    <w:p w14:paraId="0BC988A7" w14:textId="77777777" w:rsidR="009F0928" w:rsidRDefault="009F0928">
      <w:pPr>
        <w:rPr>
          <w:rFonts w:ascii="Times New Roman" w:hAnsi="Times New Roman"/>
          <w:sz w:val="20"/>
          <w:szCs w:val="20"/>
        </w:rPr>
      </w:pPr>
    </w:p>
    <w:p w14:paraId="0BC988A8"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51</w:t>
      </w:r>
    </w:p>
    <w:p w14:paraId="0BC988A9" w14:textId="77777777" w:rsidR="009F0928" w:rsidRDefault="002112BD">
      <w:r>
        <w:rPr>
          <w:rFonts w:ascii="Times New Roman" w:hAnsi="Times New Roman"/>
          <w:sz w:val="18"/>
          <w:szCs w:val="18"/>
        </w:rPr>
        <w:pict w14:anchorId="0BC9B4F0">
          <v:rect id="_x0000_i1076" style="width:415.3pt;height:1.5pt" o:hralign="center" o:hrstd="t" o:hr="t" fillcolor="#a0a0a0" stroked="f"/>
        </w:pict>
      </w:r>
    </w:p>
    <w:p w14:paraId="0BC988AA" w14:textId="77777777" w:rsidR="009F0928" w:rsidRDefault="009F0928">
      <w:pPr>
        <w:spacing w:line="288" w:lineRule="auto"/>
        <w:rPr>
          <w:rFonts w:ascii="Times New Roman" w:hAnsi="Times New Roman"/>
          <w:sz w:val="20"/>
          <w:szCs w:val="20"/>
        </w:rPr>
      </w:pPr>
    </w:p>
    <w:p w14:paraId="0BC988AB" w14:textId="77777777" w:rsidR="009F0928" w:rsidRDefault="009F0928">
      <w:pPr>
        <w:rPr>
          <w:rFonts w:ascii="Times New Roman" w:hAnsi="Times New Roman"/>
          <w:sz w:val="20"/>
          <w:szCs w:val="20"/>
        </w:rPr>
      </w:pPr>
    </w:p>
    <w:p w14:paraId="0BC988AC"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or, if an event of default occurs, by the lenders (or automatically in the case of certain bankruptcy-r</w:t>
      </w:r>
      <w:r>
        <w:rPr>
          <w:rFonts w:ascii="Arial" w:eastAsia="宋体" w:hAnsi="Arial" w:cs="Arial"/>
          <w:sz w:val="20"/>
          <w:szCs w:val="20"/>
        </w:rPr>
        <w:t>elated events of default), or (b) the maturity date is extended upon our request, subject to the agreement of the lenders. The credit agreement includes customary representations, warranties, affirmative and negative covenants, including financial covenant</w:t>
      </w:r>
      <w:r>
        <w:rPr>
          <w:rFonts w:ascii="Arial" w:eastAsia="宋体" w:hAnsi="Arial" w:cs="Arial"/>
          <w:sz w:val="20"/>
          <w:szCs w:val="20"/>
        </w:rPr>
        <w:t>s, events of default and indemnification provisions in favor of the banks. The negative covenants include restrictions regarding the incurrence of liens and subsidiary indebtedness, in each case, subject to certain exceptions. The financial covenants requi</w:t>
      </w:r>
      <w:r>
        <w:rPr>
          <w:rFonts w:ascii="Arial" w:eastAsia="宋体" w:hAnsi="Arial" w:cs="Arial"/>
          <w:sz w:val="20"/>
          <w:szCs w:val="20"/>
        </w:rPr>
        <w:t>re us to meet a quarterly financial test with respect to a minimum consolidated interest coverage ratio and a maximum consolidated leverage ratio. The events of default include the occurrence of a change of control (as defined in the credit agreement) with</w:t>
      </w:r>
      <w:r>
        <w:rPr>
          <w:rFonts w:ascii="Arial" w:eastAsia="宋体" w:hAnsi="Arial" w:cs="Arial"/>
          <w:sz w:val="20"/>
          <w:szCs w:val="20"/>
        </w:rPr>
        <w:t xml:space="preserve"> respect to us.</w:t>
      </w:r>
    </w:p>
    <w:p w14:paraId="0BC988AD" w14:textId="77777777" w:rsidR="009F0928" w:rsidRDefault="009F0928">
      <w:pPr>
        <w:spacing w:line="288" w:lineRule="auto"/>
        <w:ind w:firstLine="720"/>
        <w:jc w:val="both"/>
        <w:rPr>
          <w:rFonts w:ascii="Times New Roman" w:hAnsi="Times New Roman"/>
          <w:sz w:val="20"/>
          <w:szCs w:val="20"/>
        </w:rPr>
      </w:pPr>
    </w:p>
    <w:p w14:paraId="0BC988A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were in compliance with all covenants in our outstanding debt instruments for the period ended December 31, 2019.</w:t>
      </w:r>
    </w:p>
    <w:p w14:paraId="0BC988AF" w14:textId="77777777" w:rsidR="009F0928" w:rsidRDefault="009F0928">
      <w:pPr>
        <w:spacing w:line="288" w:lineRule="auto"/>
        <w:ind w:firstLine="720"/>
        <w:jc w:val="both"/>
        <w:rPr>
          <w:rFonts w:ascii="Times New Roman" w:hAnsi="Times New Roman"/>
          <w:sz w:val="20"/>
          <w:szCs w:val="20"/>
        </w:rPr>
      </w:pPr>
    </w:p>
    <w:p w14:paraId="0BC988B0" w14:textId="77777777" w:rsidR="009F0928" w:rsidRDefault="002112BD">
      <w:pPr>
        <w:spacing w:line="288" w:lineRule="auto"/>
        <w:ind w:firstLine="120"/>
        <w:jc w:val="both"/>
        <w:rPr>
          <w:rFonts w:ascii="Times New Roman" w:hAnsi="Times New Roman"/>
          <w:sz w:val="20"/>
          <w:szCs w:val="20"/>
        </w:rPr>
      </w:pPr>
      <w:r>
        <w:rPr>
          <w:rFonts w:ascii="Arial" w:eastAsia="宋体" w:hAnsi="Arial" w:cs="Arial"/>
          <w:i/>
          <w:iCs/>
          <w:sz w:val="20"/>
          <w:szCs w:val="20"/>
        </w:rPr>
        <w:t>Credit Ratings</w:t>
      </w:r>
    </w:p>
    <w:p w14:paraId="0BC988B1" w14:textId="77777777" w:rsidR="009F0928" w:rsidRDefault="009F0928">
      <w:pPr>
        <w:spacing w:line="288" w:lineRule="auto"/>
        <w:ind w:firstLine="120"/>
        <w:jc w:val="both"/>
        <w:rPr>
          <w:rFonts w:ascii="Times New Roman" w:hAnsi="Times New Roman"/>
          <w:sz w:val="20"/>
          <w:szCs w:val="20"/>
        </w:rPr>
      </w:pPr>
    </w:p>
    <w:p w14:paraId="0BC988B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As of December 31, 2019, we were rated investment grade by Standard and Poor’s Financial Services, LLC (l</w:t>
      </w:r>
      <w:r>
        <w:rPr>
          <w:rFonts w:ascii="Arial" w:eastAsia="宋体" w:hAnsi="Arial" w:cs="Arial"/>
          <w:sz w:val="20"/>
          <w:szCs w:val="20"/>
        </w:rPr>
        <w:t xml:space="preserve">ong-term rated BBB+, short-term rated A-2, with a stable outlook), Moody’s Investor Service (long-term rated Baa1, short-term rated P-2, with a stable outlook), and Fitch Ratings, Inc. (long-term rated BBB, short-term rated F-2, with a stable outlook). We </w:t>
      </w:r>
      <w:r>
        <w:rPr>
          <w:rFonts w:ascii="Arial" w:eastAsia="宋体" w:hAnsi="Arial" w:cs="Arial"/>
          <w:sz w:val="20"/>
          <w:szCs w:val="20"/>
        </w:rPr>
        <w:t xml:space="preserve">disclose these ratings to enhance the understanding of our sources of liquidity and the effects of our ratings on our costs of funds. Our borrowing costs depend, in part, on our credit ratings and any actions taken by these credit rating agencies to lower </w:t>
      </w:r>
      <w:r>
        <w:rPr>
          <w:rFonts w:ascii="Arial" w:eastAsia="宋体" w:hAnsi="Arial" w:cs="Arial"/>
          <w:sz w:val="20"/>
          <w:szCs w:val="20"/>
        </w:rPr>
        <w:t xml:space="preserve">our credit ratings will likely increase our borrowing costs.  </w:t>
      </w:r>
    </w:p>
    <w:p w14:paraId="0BC988B3" w14:textId="77777777" w:rsidR="009F0928" w:rsidRDefault="009F0928">
      <w:pPr>
        <w:spacing w:line="288" w:lineRule="auto"/>
        <w:jc w:val="both"/>
        <w:rPr>
          <w:rFonts w:ascii="Times New Roman" w:hAnsi="Times New Roman"/>
          <w:sz w:val="20"/>
          <w:szCs w:val="20"/>
        </w:rPr>
      </w:pPr>
    </w:p>
    <w:p w14:paraId="0BC988B4" w14:textId="77777777" w:rsidR="009F0928" w:rsidRDefault="002112BD">
      <w:pPr>
        <w:spacing w:line="288" w:lineRule="auto"/>
        <w:ind w:firstLine="120"/>
        <w:jc w:val="both"/>
        <w:rPr>
          <w:rFonts w:ascii="Times New Roman" w:hAnsi="Times New Roman"/>
          <w:sz w:val="20"/>
          <w:szCs w:val="20"/>
        </w:rPr>
      </w:pPr>
      <w:r>
        <w:rPr>
          <w:rFonts w:ascii="Arial" w:eastAsia="宋体" w:hAnsi="Arial" w:cs="Arial"/>
          <w:i/>
          <w:iCs/>
          <w:sz w:val="20"/>
          <w:szCs w:val="20"/>
        </w:rPr>
        <w:t>Commitments and Contingencies</w:t>
      </w:r>
    </w:p>
    <w:p w14:paraId="0BC988B5" w14:textId="77777777" w:rsidR="009F0928" w:rsidRDefault="009F0928">
      <w:pPr>
        <w:spacing w:line="288" w:lineRule="auto"/>
        <w:ind w:firstLine="720"/>
        <w:jc w:val="both"/>
        <w:rPr>
          <w:rFonts w:ascii="Times New Roman" w:hAnsi="Times New Roman"/>
          <w:sz w:val="20"/>
          <w:szCs w:val="20"/>
        </w:rPr>
      </w:pPr>
    </w:p>
    <w:p w14:paraId="0BC988B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have certain fixed contractual obligations and commitments that include future estimated payments for general operating purposes. Changes in our business need</w:t>
      </w:r>
      <w:r>
        <w:rPr>
          <w:rFonts w:ascii="Arial" w:eastAsia="宋体" w:hAnsi="Arial" w:cs="Arial"/>
          <w:sz w:val="20"/>
          <w:szCs w:val="20"/>
        </w:rPr>
        <w:t>s, contractual cancellation provisions, fluctuating interest rates, and other factors may result in actual payments differing from the estimates. We cannot provide certainty regarding the timing and amounts of these payments. The following table summarizes</w:t>
      </w:r>
      <w:r>
        <w:rPr>
          <w:rFonts w:ascii="Arial" w:eastAsia="宋体" w:hAnsi="Arial" w:cs="Arial"/>
          <w:sz w:val="20"/>
          <w:szCs w:val="20"/>
        </w:rPr>
        <w:t xml:space="preserve"> our fixed contractual obligations and commitments (in millions): </w:t>
      </w:r>
    </w:p>
    <w:tbl>
      <w:tblPr>
        <w:tblW w:w="5000" w:type="pct"/>
        <w:tblCellMar>
          <w:left w:w="0" w:type="dxa"/>
          <w:right w:w="0" w:type="dxa"/>
        </w:tblCellMar>
        <w:tblLook w:val="04A0" w:firstRow="1" w:lastRow="0" w:firstColumn="1" w:lastColumn="0" w:noHBand="0" w:noVBand="1"/>
      </w:tblPr>
      <w:tblGrid>
        <w:gridCol w:w="3598"/>
        <w:gridCol w:w="130"/>
        <w:gridCol w:w="152"/>
        <w:gridCol w:w="857"/>
        <w:gridCol w:w="27"/>
        <w:gridCol w:w="130"/>
        <w:gridCol w:w="153"/>
        <w:gridCol w:w="858"/>
        <w:gridCol w:w="51"/>
        <w:gridCol w:w="130"/>
        <w:gridCol w:w="153"/>
        <w:gridCol w:w="834"/>
        <w:gridCol w:w="73"/>
        <w:gridCol w:w="169"/>
        <w:gridCol w:w="152"/>
        <w:gridCol w:w="812"/>
        <w:gridCol w:w="27"/>
      </w:tblGrid>
      <w:tr w:rsidR="009F0928" w14:paraId="0BC988B8" w14:textId="77777777">
        <w:tc>
          <w:tcPr>
            <w:tcW w:w="0" w:type="auto"/>
            <w:gridSpan w:val="17"/>
            <w:shd w:val="clear" w:color="auto" w:fill="auto"/>
            <w:vAlign w:val="center"/>
          </w:tcPr>
          <w:p w14:paraId="0BC988B7" w14:textId="77777777" w:rsidR="009F0928" w:rsidRDefault="009F0928">
            <w:pPr>
              <w:rPr>
                <w:rFonts w:ascii="Times New Roman" w:hAnsi="Times New Roman"/>
                <w:sz w:val="20"/>
                <w:szCs w:val="20"/>
              </w:rPr>
            </w:pPr>
          </w:p>
        </w:tc>
      </w:tr>
      <w:tr w:rsidR="009F0928" w14:paraId="0BC988CA" w14:textId="77777777">
        <w:tc>
          <w:tcPr>
            <w:tcW w:w="2200" w:type="pct"/>
            <w:shd w:val="clear" w:color="auto" w:fill="auto"/>
            <w:vAlign w:val="center"/>
          </w:tcPr>
          <w:p w14:paraId="0BC988B9" w14:textId="77777777" w:rsidR="009F0928" w:rsidRDefault="009F0928">
            <w:pPr>
              <w:rPr>
                <w:rFonts w:ascii="Times New Roman" w:hAnsi="Times New Roman"/>
                <w:sz w:val="20"/>
                <w:szCs w:val="20"/>
              </w:rPr>
            </w:pPr>
          </w:p>
        </w:tc>
        <w:tc>
          <w:tcPr>
            <w:tcW w:w="50" w:type="pct"/>
            <w:shd w:val="clear" w:color="auto" w:fill="auto"/>
            <w:vAlign w:val="center"/>
          </w:tcPr>
          <w:p w14:paraId="0BC988BA" w14:textId="77777777" w:rsidR="009F0928" w:rsidRDefault="009F0928">
            <w:pPr>
              <w:rPr>
                <w:rFonts w:ascii="Times New Roman" w:hAnsi="Times New Roman"/>
                <w:sz w:val="20"/>
                <w:szCs w:val="20"/>
              </w:rPr>
            </w:pPr>
          </w:p>
        </w:tc>
        <w:tc>
          <w:tcPr>
            <w:tcW w:w="50" w:type="pct"/>
            <w:shd w:val="clear" w:color="auto" w:fill="auto"/>
            <w:vAlign w:val="center"/>
          </w:tcPr>
          <w:p w14:paraId="0BC988BB" w14:textId="77777777" w:rsidR="009F0928" w:rsidRDefault="009F0928">
            <w:pPr>
              <w:rPr>
                <w:rFonts w:ascii="Times New Roman" w:hAnsi="Times New Roman"/>
                <w:sz w:val="20"/>
                <w:szCs w:val="20"/>
              </w:rPr>
            </w:pPr>
          </w:p>
        </w:tc>
        <w:tc>
          <w:tcPr>
            <w:tcW w:w="550" w:type="pct"/>
            <w:shd w:val="clear" w:color="auto" w:fill="auto"/>
            <w:vAlign w:val="center"/>
          </w:tcPr>
          <w:p w14:paraId="0BC988BC" w14:textId="77777777" w:rsidR="009F0928" w:rsidRDefault="009F0928">
            <w:pPr>
              <w:rPr>
                <w:rFonts w:ascii="Times New Roman" w:hAnsi="Times New Roman"/>
                <w:sz w:val="20"/>
                <w:szCs w:val="20"/>
              </w:rPr>
            </w:pPr>
          </w:p>
        </w:tc>
        <w:tc>
          <w:tcPr>
            <w:tcW w:w="50" w:type="pct"/>
            <w:shd w:val="clear" w:color="auto" w:fill="auto"/>
            <w:vAlign w:val="center"/>
          </w:tcPr>
          <w:p w14:paraId="0BC988BD" w14:textId="77777777" w:rsidR="009F0928" w:rsidRDefault="009F0928">
            <w:pPr>
              <w:rPr>
                <w:rFonts w:ascii="Times New Roman" w:hAnsi="Times New Roman"/>
                <w:sz w:val="20"/>
                <w:szCs w:val="20"/>
              </w:rPr>
            </w:pPr>
          </w:p>
        </w:tc>
        <w:tc>
          <w:tcPr>
            <w:tcW w:w="50" w:type="pct"/>
            <w:shd w:val="clear" w:color="auto" w:fill="auto"/>
            <w:vAlign w:val="center"/>
          </w:tcPr>
          <w:p w14:paraId="0BC988BE" w14:textId="77777777" w:rsidR="009F0928" w:rsidRDefault="009F0928">
            <w:pPr>
              <w:rPr>
                <w:rFonts w:ascii="Times New Roman" w:hAnsi="Times New Roman"/>
                <w:sz w:val="20"/>
                <w:szCs w:val="20"/>
              </w:rPr>
            </w:pPr>
          </w:p>
        </w:tc>
        <w:tc>
          <w:tcPr>
            <w:tcW w:w="50" w:type="pct"/>
            <w:shd w:val="clear" w:color="auto" w:fill="auto"/>
            <w:vAlign w:val="center"/>
          </w:tcPr>
          <w:p w14:paraId="0BC988BF" w14:textId="77777777" w:rsidR="009F0928" w:rsidRDefault="009F0928">
            <w:pPr>
              <w:rPr>
                <w:rFonts w:ascii="Times New Roman" w:hAnsi="Times New Roman"/>
                <w:sz w:val="20"/>
                <w:szCs w:val="20"/>
              </w:rPr>
            </w:pPr>
          </w:p>
        </w:tc>
        <w:tc>
          <w:tcPr>
            <w:tcW w:w="550" w:type="pct"/>
            <w:shd w:val="clear" w:color="auto" w:fill="auto"/>
            <w:vAlign w:val="center"/>
          </w:tcPr>
          <w:p w14:paraId="0BC988C0" w14:textId="77777777" w:rsidR="009F0928" w:rsidRDefault="009F0928">
            <w:pPr>
              <w:rPr>
                <w:rFonts w:ascii="Times New Roman" w:hAnsi="Times New Roman"/>
                <w:sz w:val="20"/>
                <w:szCs w:val="20"/>
              </w:rPr>
            </w:pPr>
          </w:p>
        </w:tc>
        <w:tc>
          <w:tcPr>
            <w:tcW w:w="50" w:type="pct"/>
            <w:shd w:val="clear" w:color="auto" w:fill="auto"/>
            <w:vAlign w:val="center"/>
          </w:tcPr>
          <w:p w14:paraId="0BC988C1" w14:textId="77777777" w:rsidR="009F0928" w:rsidRDefault="009F0928">
            <w:pPr>
              <w:rPr>
                <w:rFonts w:ascii="Times New Roman" w:hAnsi="Times New Roman"/>
                <w:sz w:val="20"/>
                <w:szCs w:val="20"/>
              </w:rPr>
            </w:pPr>
          </w:p>
        </w:tc>
        <w:tc>
          <w:tcPr>
            <w:tcW w:w="50" w:type="pct"/>
            <w:shd w:val="clear" w:color="auto" w:fill="auto"/>
            <w:vAlign w:val="center"/>
          </w:tcPr>
          <w:p w14:paraId="0BC988C2" w14:textId="77777777" w:rsidR="009F0928" w:rsidRDefault="009F0928">
            <w:pPr>
              <w:rPr>
                <w:rFonts w:ascii="Times New Roman" w:hAnsi="Times New Roman"/>
                <w:sz w:val="20"/>
                <w:szCs w:val="20"/>
              </w:rPr>
            </w:pPr>
          </w:p>
        </w:tc>
        <w:tc>
          <w:tcPr>
            <w:tcW w:w="50" w:type="pct"/>
            <w:shd w:val="clear" w:color="auto" w:fill="auto"/>
            <w:vAlign w:val="center"/>
          </w:tcPr>
          <w:p w14:paraId="0BC988C3" w14:textId="77777777" w:rsidR="009F0928" w:rsidRDefault="009F0928">
            <w:pPr>
              <w:rPr>
                <w:rFonts w:ascii="Times New Roman" w:hAnsi="Times New Roman"/>
                <w:sz w:val="20"/>
                <w:szCs w:val="20"/>
              </w:rPr>
            </w:pPr>
          </w:p>
        </w:tc>
        <w:tc>
          <w:tcPr>
            <w:tcW w:w="550" w:type="pct"/>
            <w:shd w:val="clear" w:color="auto" w:fill="auto"/>
            <w:vAlign w:val="center"/>
          </w:tcPr>
          <w:p w14:paraId="0BC988C4" w14:textId="77777777" w:rsidR="009F0928" w:rsidRDefault="009F0928">
            <w:pPr>
              <w:rPr>
                <w:rFonts w:ascii="Times New Roman" w:hAnsi="Times New Roman"/>
                <w:sz w:val="20"/>
                <w:szCs w:val="20"/>
              </w:rPr>
            </w:pPr>
          </w:p>
        </w:tc>
        <w:tc>
          <w:tcPr>
            <w:tcW w:w="50" w:type="pct"/>
            <w:shd w:val="clear" w:color="auto" w:fill="auto"/>
            <w:vAlign w:val="center"/>
          </w:tcPr>
          <w:p w14:paraId="0BC988C5" w14:textId="77777777" w:rsidR="009F0928" w:rsidRDefault="009F0928">
            <w:pPr>
              <w:rPr>
                <w:rFonts w:ascii="Times New Roman" w:hAnsi="Times New Roman"/>
                <w:sz w:val="20"/>
                <w:szCs w:val="20"/>
              </w:rPr>
            </w:pPr>
          </w:p>
        </w:tc>
        <w:tc>
          <w:tcPr>
            <w:tcW w:w="50" w:type="pct"/>
            <w:shd w:val="clear" w:color="auto" w:fill="auto"/>
            <w:vAlign w:val="center"/>
          </w:tcPr>
          <w:p w14:paraId="0BC988C6" w14:textId="77777777" w:rsidR="009F0928" w:rsidRDefault="009F0928">
            <w:pPr>
              <w:rPr>
                <w:rFonts w:ascii="Times New Roman" w:hAnsi="Times New Roman"/>
                <w:sz w:val="20"/>
                <w:szCs w:val="20"/>
              </w:rPr>
            </w:pPr>
          </w:p>
        </w:tc>
        <w:tc>
          <w:tcPr>
            <w:tcW w:w="50" w:type="pct"/>
            <w:shd w:val="clear" w:color="auto" w:fill="auto"/>
            <w:vAlign w:val="center"/>
          </w:tcPr>
          <w:p w14:paraId="0BC988C7" w14:textId="77777777" w:rsidR="009F0928" w:rsidRDefault="009F0928">
            <w:pPr>
              <w:rPr>
                <w:rFonts w:ascii="Times New Roman" w:hAnsi="Times New Roman"/>
                <w:sz w:val="20"/>
                <w:szCs w:val="20"/>
              </w:rPr>
            </w:pPr>
          </w:p>
        </w:tc>
        <w:tc>
          <w:tcPr>
            <w:tcW w:w="550" w:type="pct"/>
            <w:shd w:val="clear" w:color="auto" w:fill="auto"/>
            <w:vAlign w:val="center"/>
          </w:tcPr>
          <w:p w14:paraId="0BC988C8" w14:textId="77777777" w:rsidR="009F0928" w:rsidRDefault="009F0928">
            <w:pPr>
              <w:rPr>
                <w:rFonts w:ascii="Times New Roman" w:hAnsi="Times New Roman"/>
                <w:sz w:val="20"/>
                <w:szCs w:val="20"/>
              </w:rPr>
            </w:pPr>
          </w:p>
        </w:tc>
        <w:tc>
          <w:tcPr>
            <w:tcW w:w="50" w:type="pct"/>
            <w:shd w:val="clear" w:color="auto" w:fill="auto"/>
            <w:vAlign w:val="center"/>
          </w:tcPr>
          <w:p w14:paraId="0BC988C9" w14:textId="77777777" w:rsidR="009F0928" w:rsidRDefault="009F0928">
            <w:pPr>
              <w:rPr>
                <w:rFonts w:ascii="Times New Roman" w:hAnsi="Times New Roman"/>
                <w:sz w:val="20"/>
                <w:szCs w:val="20"/>
              </w:rPr>
            </w:pPr>
          </w:p>
        </w:tc>
      </w:tr>
      <w:tr w:rsidR="009F0928" w14:paraId="0BC988D4"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BC988CB" w14:textId="77777777" w:rsidR="009F0928" w:rsidRDefault="002112BD">
            <w:pPr>
              <w:textAlignment w:val="bottom"/>
              <w:rPr>
                <w:rFonts w:ascii="Times New Roman" w:hAnsi="Times New Roman"/>
                <w:sz w:val="16"/>
                <w:szCs w:val="16"/>
              </w:rPr>
            </w:pPr>
            <w:r>
              <w:rPr>
                <w:rFonts w:ascii="Arial" w:eastAsia="宋体" w:hAnsi="Arial" w:cs="Arial"/>
                <w:b/>
                <w:bCs/>
                <w:sz w:val="16"/>
                <w:szCs w:val="16"/>
              </w:rPr>
              <w:t>Payments Due During the Year Ending December 31,</w:t>
            </w:r>
          </w:p>
        </w:tc>
        <w:tc>
          <w:tcPr>
            <w:tcW w:w="0" w:type="auto"/>
            <w:shd w:val="clear" w:color="auto" w:fill="auto"/>
            <w:tcMar>
              <w:top w:w="40" w:type="dxa"/>
              <w:left w:w="40" w:type="dxa"/>
              <w:bottom w:w="40" w:type="dxa"/>
              <w:right w:w="40" w:type="dxa"/>
            </w:tcMar>
            <w:vAlign w:val="bottom"/>
          </w:tcPr>
          <w:p w14:paraId="0BC988C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8C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Debt</w:t>
            </w:r>
          </w:p>
        </w:tc>
        <w:tc>
          <w:tcPr>
            <w:tcW w:w="0" w:type="auto"/>
            <w:shd w:val="clear" w:color="auto" w:fill="auto"/>
            <w:tcMar>
              <w:top w:w="40" w:type="dxa"/>
              <w:left w:w="40" w:type="dxa"/>
              <w:bottom w:w="40" w:type="dxa"/>
              <w:right w:w="40" w:type="dxa"/>
            </w:tcMar>
            <w:vAlign w:val="bottom"/>
          </w:tcPr>
          <w:p w14:paraId="0BC988C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8C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Leases</w:t>
            </w:r>
          </w:p>
        </w:tc>
        <w:tc>
          <w:tcPr>
            <w:tcW w:w="0" w:type="auto"/>
            <w:shd w:val="clear" w:color="auto" w:fill="auto"/>
            <w:tcMar>
              <w:top w:w="40" w:type="dxa"/>
              <w:left w:w="40" w:type="dxa"/>
              <w:bottom w:w="40" w:type="dxa"/>
              <w:right w:w="40" w:type="dxa"/>
            </w:tcMar>
            <w:vAlign w:val="bottom"/>
          </w:tcPr>
          <w:p w14:paraId="0BC988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8D1"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Purchase Obligations</w:t>
            </w:r>
          </w:p>
        </w:tc>
        <w:tc>
          <w:tcPr>
            <w:tcW w:w="0" w:type="auto"/>
            <w:shd w:val="clear" w:color="auto" w:fill="auto"/>
            <w:tcMar>
              <w:top w:w="40" w:type="dxa"/>
              <w:left w:w="40" w:type="dxa"/>
              <w:bottom w:w="40" w:type="dxa"/>
              <w:right w:w="40" w:type="dxa"/>
            </w:tcMar>
            <w:vAlign w:val="bottom"/>
          </w:tcPr>
          <w:p w14:paraId="0BC988D2"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8D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Total</w:t>
            </w:r>
          </w:p>
        </w:tc>
      </w:tr>
      <w:tr w:rsidR="009F0928" w14:paraId="0BC988E6" w14:textId="77777777">
        <w:tc>
          <w:tcPr>
            <w:tcW w:w="0" w:type="auto"/>
            <w:shd w:val="clear" w:color="auto" w:fill="E2E2E2"/>
            <w:tcMar>
              <w:top w:w="40" w:type="dxa"/>
              <w:left w:w="40" w:type="dxa"/>
              <w:bottom w:w="40" w:type="dxa"/>
              <w:right w:w="40" w:type="dxa"/>
            </w:tcMar>
            <w:vAlign w:val="bottom"/>
          </w:tcPr>
          <w:p w14:paraId="0BC988D5" w14:textId="77777777" w:rsidR="009F0928" w:rsidRDefault="002112BD">
            <w:pPr>
              <w:textAlignment w:val="bottom"/>
              <w:rPr>
                <w:rFonts w:ascii="Times New Roman" w:hAnsi="Times New Roman"/>
                <w:sz w:val="20"/>
                <w:szCs w:val="20"/>
              </w:rPr>
            </w:pPr>
            <w:r>
              <w:rPr>
                <w:rFonts w:ascii="Arial" w:eastAsia="宋体" w:hAnsi="Arial" w:cs="Arial"/>
                <w:sz w:val="20"/>
                <w:szCs w:val="20"/>
              </w:rPr>
              <w:t>2020</w:t>
            </w:r>
          </w:p>
        </w:tc>
        <w:tc>
          <w:tcPr>
            <w:tcW w:w="0" w:type="auto"/>
            <w:shd w:val="clear" w:color="auto" w:fill="E2E2E2"/>
            <w:tcMar>
              <w:top w:w="40" w:type="dxa"/>
              <w:left w:w="40" w:type="dxa"/>
              <w:bottom w:w="40" w:type="dxa"/>
              <w:right w:w="40" w:type="dxa"/>
            </w:tcMar>
            <w:vAlign w:val="bottom"/>
          </w:tcPr>
          <w:p w14:paraId="0BC988D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88D7"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tcBorders>
            <w:shd w:val="clear" w:color="auto" w:fill="E2E2E2"/>
            <w:tcMar>
              <w:top w:w="40" w:type="dxa"/>
              <w:bottom w:w="40" w:type="dxa"/>
            </w:tcMar>
            <w:vAlign w:val="bottom"/>
          </w:tcPr>
          <w:p w14:paraId="0BC988D8"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1,257</w:t>
            </w:r>
          </w:p>
        </w:tc>
        <w:tc>
          <w:tcPr>
            <w:tcW w:w="0" w:type="auto"/>
            <w:tcBorders>
              <w:top w:val="single" w:sz="8" w:space="0" w:color="000000"/>
            </w:tcBorders>
            <w:shd w:val="clear" w:color="auto" w:fill="E2E2E2"/>
            <w:vAlign w:val="bottom"/>
          </w:tcPr>
          <w:p w14:paraId="0BC988D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8D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8DB"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88D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200</w:t>
            </w:r>
          </w:p>
        </w:tc>
        <w:tc>
          <w:tcPr>
            <w:tcW w:w="0" w:type="auto"/>
            <w:shd w:val="clear" w:color="auto" w:fill="E2E2E2"/>
            <w:vAlign w:val="bottom"/>
          </w:tcPr>
          <w:p w14:paraId="0BC988D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8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8DF"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88E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140</w:t>
            </w:r>
          </w:p>
        </w:tc>
        <w:tc>
          <w:tcPr>
            <w:tcW w:w="0" w:type="auto"/>
            <w:shd w:val="clear" w:color="auto" w:fill="E2E2E2"/>
            <w:vAlign w:val="bottom"/>
          </w:tcPr>
          <w:p w14:paraId="0BC988E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8E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88E3"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tcBorders>
            <w:shd w:val="clear" w:color="auto" w:fill="E2E2E2"/>
            <w:tcMar>
              <w:top w:w="40" w:type="dxa"/>
              <w:bottom w:w="40" w:type="dxa"/>
            </w:tcMar>
            <w:vAlign w:val="bottom"/>
          </w:tcPr>
          <w:p w14:paraId="0BC988E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1,597</w:t>
            </w:r>
          </w:p>
        </w:tc>
        <w:tc>
          <w:tcPr>
            <w:tcW w:w="0" w:type="auto"/>
            <w:tcBorders>
              <w:top w:val="single" w:sz="8" w:space="0" w:color="000000"/>
            </w:tcBorders>
            <w:shd w:val="clear" w:color="auto" w:fill="E2E2E2"/>
            <w:vAlign w:val="bottom"/>
          </w:tcPr>
          <w:p w14:paraId="0BC988E5" w14:textId="77777777" w:rsidR="009F0928" w:rsidRDefault="009F0928">
            <w:pPr>
              <w:textAlignment w:val="bottom"/>
              <w:rPr>
                <w:rFonts w:ascii="Times New Roman" w:hAnsi="Times New Roman"/>
                <w:sz w:val="20"/>
                <w:szCs w:val="20"/>
              </w:rPr>
            </w:pPr>
          </w:p>
        </w:tc>
      </w:tr>
      <w:tr w:rsidR="009F0928" w14:paraId="0BC988F4" w14:textId="77777777">
        <w:tc>
          <w:tcPr>
            <w:tcW w:w="0" w:type="auto"/>
            <w:shd w:val="clear" w:color="auto" w:fill="auto"/>
            <w:tcMar>
              <w:top w:w="40" w:type="dxa"/>
              <w:left w:w="40" w:type="dxa"/>
              <w:bottom w:w="40" w:type="dxa"/>
              <w:right w:w="40" w:type="dxa"/>
            </w:tcMar>
            <w:vAlign w:val="bottom"/>
          </w:tcPr>
          <w:p w14:paraId="0BC988E7" w14:textId="77777777" w:rsidR="009F0928" w:rsidRDefault="002112BD">
            <w:pPr>
              <w:textAlignment w:val="bottom"/>
              <w:rPr>
                <w:rFonts w:ascii="Times New Roman" w:hAnsi="Times New Roman"/>
                <w:sz w:val="20"/>
                <w:szCs w:val="20"/>
              </w:rPr>
            </w:pPr>
            <w:r>
              <w:rPr>
                <w:rFonts w:ascii="Arial" w:eastAsia="宋体" w:hAnsi="Arial" w:cs="Arial"/>
                <w:sz w:val="20"/>
                <w:szCs w:val="20"/>
              </w:rPr>
              <w:t>2021</w:t>
            </w:r>
          </w:p>
        </w:tc>
        <w:tc>
          <w:tcPr>
            <w:tcW w:w="0" w:type="auto"/>
            <w:shd w:val="clear" w:color="auto" w:fill="auto"/>
            <w:tcMar>
              <w:top w:w="40" w:type="dxa"/>
              <w:left w:w="40" w:type="dxa"/>
              <w:bottom w:w="40" w:type="dxa"/>
              <w:right w:w="40" w:type="dxa"/>
            </w:tcMar>
            <w:vAlign w:val="bottom"/>
          </w:tcPr>
          <w:p w14:paraId="0BC988E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8E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980</w:t>
            </w:r>
          </w:p>
        </w:tc>
        <w:tc>
          <w:tcPr>
            <w:tcW w:w="0" w:type="auto"/>
            <w:shd w:val="clear" w:color="auto" w:fill="auto"/>
            <w:vAlign w:val="bottom"/>
          </w:tcPr>
          <w:p w14:paraId="0BC988E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8E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8E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174</w:t>
            </w:r>
          </w:p>
        </w:tc>
        <w:tc>
          <w:tcPr>
            <w:tcW w:w="0" w:type="auto"/>
            <w:shd w:val="clear" w:color="auto" w:fill="auto"/>
            <w:vAlign w:val="bottom"/>
          </w:tcPr>
          <w:p w14:paraId="0BC988E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8E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8EF"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82</w:t>
            </w:r>
          </w:p>
        </w:tc>
        <w:tc>
          <w:tcPr>
            <w:tcW w:w="0" w:type="auto"/>
            <w:shd w:val="clear" w:color="auto" w:fill="auto"/>
            <w:vAlign w:val="bottom"/>
          </w:tcPr>
          <w:p w14:paraId="0BC988F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8F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8F2"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1,236</w:t>
            </w:r>
          </w:p>
        </w:tc>
        <w:tc>
          <w:tcPr>
            <w:tcW w:w="0" w:type="auto"/>
            <w:shd w:val="clear" w:color="auto" w:fill="auto"/>
            <w:vAlign w:val="bottom"/>
          </w:tcPr>
          <w:p w14:paraId="0BC988F3" w14:textId="77777777" w:rsidR="009F0928" w:rsidRDefault="009F0928">
            <w:pPr>
              <w:textAlignment w:val="bottom"/>
              <w:rPr>
                <w:rFonts w:ascii="Times New Roman" w:hAnsi="Times New Roman"/>
                <w:sz w:val="20"/>
                <w:szCs w:val="20"/>
              </w:rPr>
            </w:pPr>
          </w:p>
        </w:tc>
      </w:tr>
      <w:tr w:rsidR="009F0928" w14:paraId="0BC98902" w14:textId="77777777">
        <w:tc>
          <w:tcPr>
            <w:tcW w:w="0" w:type="auto"/>
            <w:shd w:val="clear" w:color="auto" w:fill="E2E2E2"/>
            <w:tcMar>
              <w:top w:w="40" w:type="dxa"/>
              <w:left w:w="40" w:type="dxa"/>
              <w:bottom w:w="40" w:type="dxa"/>
              <w:right w:w="40" w:type="dxa"/>
            </w:tcMar>
            <w:vAlign w:val="bottom"/>
          </w:tcPr>
          <w:p w14:paraId="0BC988F5" w14:textId="77777777" w:rsidR="009F0928" w:rsidRDefault="002112BD">
            <w:pPr>
              <w:textAlignment w:val="bottom"/>
              <w:rPr>
                <w:rFonts w:ascii="Times New Roman" w:hAnsi="Times New Roman"/>
                <w:sz w:val="20"/>
                <w:szCs w:val="20"/>
              </w:rPr>
            </w:pPr>
            <w:r>
              <w:rPr>
                <w:rFonts w:ascii="Arial" w:eastAsia="宋体" w:hAnsi="Arial" w:cs="Arial"/>
                <w:sz w:val="20"/>
                <w:szCs w:val="20"/>
              </w:rPr>
              <w:t>2022</w:t>
            </w:r>
          </w:p>
        </w:tc>
        <w:tc>
          <w:tcPr>
            <w:tcW w:w="0" w:type="auto"/>
            <w:shd w:val="clear" w:color="auto" w:fill="E2E2E2"/>
            <w:tcMar>
              <w:top w:w="40" w:type="dxa"/>
              <w:left w:w="40" w:type="dxa"/>
              <w:bottom w:w="40" w:type="dxa"/>
              <w:right w:w="40" w:type="dxa"/>
            </w:tcMar>
            <w:vAlign w:val="bottom"/>
          </w:tcPr>
          <w:p w14:paraId="0BC988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8F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1,933</w:t>
            </w:r>
          </w:p>
        </w:tc>
        <w:tc>
          <w:tcPr>
            <w:tcW w:w="0" w:type="auto"/>
            <w:shd w:val="clear" w:color="auto" w:fill="E2E2E2"/>
            <w:vAlign w:val="bottom"/>
          </w:tcPr>
          <w:p w14:paraId="0BC988F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8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8F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151</w:t>
            </w:r>
          </w:p>
        </w:tc>
        <w:tc>
          <w:tcPr>
            <w:tcW w:w="0" w:type="auto"/>
            <w:shd w:val="clear" w:color="auto" w:fill="E2E2E2"/>
            <w:vAlign w:val="bottom"/>
          </w:tcPr>
          <w:p w14:paraId="0BC988F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8F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8F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69</w:t>
            </w:r>
          </w:p>
        </w:tc>
        <w:tc>
          <w:tcPr>
            <w:tcW w:w="0" w:type="auto"/>
            <w:shd w:val="clear" w:color="auto" w:fill="E2E2E2"/>
            <w:vAlign w:val="bottom"/>
          </w:tcPr>
          <w:p w14:paraId="0BC988F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8F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90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2,153</w:t>
            </w:r>
          </w:p>
        </w:tc>
        <w:tc>
          <w:tcPr>
            <w:tcW w:w="0" w:type="auto"/>
            <w:shd w:val="clear" w:color="auto" w:fill="E2E2E2"/>
            <w:vAlign w:val="bottom"/>
          </w:tcPr>
          <w:p w14:paraId="0BC98901" w14:textId="77777777" w:rsidR="009F0928" w:rsidRDefault="009F0928">
            <w:pPr>
              <w:textAlignment w:val="bottom"/>
              <w:rPr>
                <w:rFonts w:ascii="Times New Roman" w:hAnsi="Times New Roman"/>
                <w:sz w:val="20"/>
                <w:szCs w:val="20"/>
              </w:rPr>
            </w:pPr>
          </w:p>
        </w:tc>
      </w:tr>
      <w:tr w:rsidR="009F0928" w14:paraId="0BC98910" w14:textId="77777777">
        <w:tc>
          <w:tcPr>
            <w:tcW w:w="0" w:type="auto"/>
            <w:shd w:val="clear" w:color="auto" w:fill="auto"/>
            <w:tcMar>
              <w:top w:w="40" w:type="dxa"/>
              <w:left w:w="40" w:type="dxa"/>
              <w:bottom w:w="40" w:type="dxa"/>
              <w:right w:w="40" w:type="dxa"/>
            </w:tcMar>
            <w:vAlign w:val="bottom"/>
          </w:tcPr>
          <w:p w14:paraId="0BC98903" w14:textId="77777777" w:rsidR="009F0928" w:rsidRDefault="002112BD">
            <w:pPr>
              <w:textAlignment w:val="bottom"/>
              <w:rPr>
                <w:rFonts w:ascii="Times New Roman" w:hAnsi="Times New Roman"/>
                <w:sz w:val="20"/>
                <w:szCs w:val="20"/>
              </w:rPr>
            </w:pPr>
            <w:r>
              <w:rPr>
                <w:rFonts w:ascii="Arial" w:eastAsia="宋体" w:hAnsi="Arial" w:cs="Arial"/>
                <w:sz w:val="20"/>
                <w:szCs w:val="20"/>
              </w:rPr>
              <w:t>2023</w:t>
            </w:r>
          </w:p>
        </w:tc>
        <w:tc>
          <w:tcPr>
            <w:tcW w:w="0" w:type="auto"/>
            <w:shd w:val="clear" w:color="auto" w:fill="auto"/>
            <w:tcMar>
              <w:top w:w="40" w:type="dxa"/>
              <w:left w:w="40" w:type="dxa"/>
              <w:bottom w:w="40" w:type="dxa"/>
              <w:right w:w="40" w:type="dxa"/>
            </w:tcMar>
            <w:vAlign w:val="bottom"/>
          </w:tcPr>
          <w:p w14:paraId="0BC989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905"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1,284</w:t>
            </w:r>
          </w:p>
        </w:tc>
        <w:tc>
          <w:tcPr>
            <w:tcW w:w="0" w:type="auto"/>
            <w:shd w:val="clear" w:color="auto" w:fill="auto"/>
            <w:vAlign w:val="bottom"/>
          </w:tcPr>
          <w:p w14:paraId="0BC9890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90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908"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98</w:t>
            </w:r>
          </w:p>
        </w:tc>
        <w:tc>
          <w:tcPr>
            <w:tcW w:w="0" w:type="auto"/>
            <w:shd w:val="clear" w:color="auto" w:fill="auto"/>
            <w:vAlign w:val="bottom"/>
          </w:tcPr>
          <w:p w14:paraId="0BC9890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90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90B"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w:t>
            </w:r>
          </w:p>
        </w:tc>
        <w:tc>
          <w:tcPr>
            <w:tcW w:w="0" w:type="auto"/>
            <w:shd w:val="clear" w:color="auto" w:fill="auto"/>
            <w:vAlign w:val="bottom"/>
          </w:tcPr>
          <w:p w14:paraId="0BC9890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90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90E"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1,383</w:t>
            </w:r>
          </w:p>
        </w:tc>
        <w:tc>
          <w:tcPr>
            <w:tcW w:w="0" w:type="auto"/>
            <w:shd w:val="clear" w:color="auto" w:fill="auto"/>
            <w:vAlign w:val="bottom"/>
          </w:tcPr>
          <w:p w14:paraId="0BC9890F" w14:textId="77777777" w:rsidR="009F0928" w:rsidRDefault="009F0928">
            <w:pPr>
              <w:textAlignment w:val="bottom"/>
              <w:rPr>
                <w:rFonts w:ascii="Times New Roman" w:hAnsi="Times New Roman"/>
                <w:sz w:val="20"/>
                <w:szCs w:val="20"/>
              </w:rPr>
            </w:pPr>
          </w:p>
        </w:tc>
      </w:tr>
      <w:tr w:rsidR="009F0928" w14:paraId="0BC9891E" w14:textId="77777777">
        <w:tc>
          <w:tcPr>
            <w:tcW w:w="0" w:type="auto"/>
            <w:shd w:val="clear" w:color="auto" w:fill="E2E2E2"/>
            <w:tcMar>
              <w:top w:w="40" w:type="dxa"/>
              <w:left w:w="40" w:type="dxa"/>
              <w:bottom w:w="40" w:type="dxa"/>
              <w:right w:w="40" w:type="dxa"/>
            </w:tcMar>
            <w:vAlign w:val="bottom"/>
          </w:tcPr>
          <w:p w14:paraId="0BC98911" w14:textId="77777777" w:rsidR="009F0928" w:rsidRDefault="002112BD">
            <w:pPr>
              <w:textAlignment w:val="bottom"/>
              <w:rPr>
                <w:rFonts w:ascii="Times New Roman" w:hAnsi="Times New Roman"/>
                <w:sz w:val="20"/>
                <w:szCs w:val="20"/>
              </w:rPr>
            </w:pPr>
            <w:r>
              <w:rPr>
                <w:rFonts w:ascii="Arial" w:eastAsia="宋体" w:hAnsi="Arial" w:cs="Arial"/>
                <w:sz w:val="20"/>
                <w:szCs w:val="20"/>
              </w:rPr>
              <w:t>2024</w:t>
            </w:r>
          </w:p>
        </w:tc>
        <w:tc>
          <w:tcPr>
            <w:tcW w:w="0" w:type="auto"/>
            <w:shd w:val="clear" w:color="auto" w:fill="E2E2E2"/>
            <w:tcMar>
              <w:top w:w="40" w:type="dxa"/>
              <w:left w:w="40" w:type="dxa"/>
              <w:bottom w:w="40" w:type="dxa"/>
              <w:right w:w="40" w:type="dxa"/>
            </w:tcMar>
            <w:vAlign w:val="bottom"/>
          </w:tcPr>
          <w:p w14:paraId="0BC9891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913"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871</w:t>
            </w:r>
          </w:p>
        </w:tc>
        <w:tc>
          <w:tcPr>
            <w:tcW w:w="0" w:type="auto"/>
            <w:shd w:val="clear" w:color="auto" w:fill="E2E2E2"/>
            <w:vAlign w:val="bottom"/>
          </w:tcPr>
          <w:p w14:paraId="0BC9891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91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916"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45</w:t>
            </w:r>
          </w:p>
        </w:tc>
        <w:tc>
          <w:tcPr>
            <w:tcW w:w="0" w:type="auto"/>
            <w:shd w:val="clear" w:color="auto" w:fill="E2E2E2"/>
            <w:vAlign w:val="bottom"/>
          </w:tcPr>
          <w:p w14:paraId="0BC9891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9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91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w:t>
            </w:r>
          </w:p>
        </w:tc>
        <w:tc>
          <w:tcPr>
            <w:tcW w:w="0" w:type="auto"/>
            <w:shd w:val="clear" w:color="auto" w:fill="E2E2E2"/>
            <w:vAlign w:val="bottom"/>
          </w:tcPr>
          <w:p w14:paraId="0BC9891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91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91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917</w:t>
            </w:r>
          </w:p>
        </w:tc>
        <w:tc>
          <w:tcPr>
            <w:tcW w:w="0" w:type="auto"/>
            <w:shd w:val="clear" w:color="auto" w:fill="E2E2E2"/>
            <w:vAlign w:val="bottom"/>
          </w:tcPr>
          <w:p w14:paraId="0BC9891D" w14:textId="77777777" w:rsidR="009F0928" w:rsidRDefault="009F0928">
            <w:pPr>
              <w:textAlignment w:val="bottom"/>
              <w:rPr>
                <w:rFonts w:ascii="Times New Roman" w:hAnsi="Times New Roman"/>
                <w:sz w:val="20"/>
                <w:szCs w:val="20"/>
              </w:rPr>
            </w:pPr>
          </w:p>
        </w:tc>
      </w:tr>
      <w:tr w:rsidR="009F0928" w14:paraId="0BC9892C" w14:textId="77777777">
        <w:tc>
          <w:tcPr>
            <w:tcW w:w="0" w:type="auto"/>
            <w:shd w:val="clear" w:color="auto" w:fill="auto"/>
            <w:tcMar>
              <w:top w:w="40" w:type="dxa"/>
              <w:left w:w="40" w:type="dxa"/>
              <w:bottom w:w="40" w:type="dxa"/>
              <w:right w:w="40" w:type="dxa"/>
            </w:tcMar>
            <w:vAlign w:val="bottom"/>
          </w:tcPr>
          <w:p w14:paraId="0BC9891F" w14:textId="77777777" w:rsidR="009F0928" w:rsidRDefault="002112BD">
            <w:pPr>
              <w:textAlignment w:val="bottom"/>
              <w:rPr>
                <w:rFonts w:ascii="Times New Roman" w:hAnsi="Times New Roman"/>
                <w:sz w:val="20"/>
                <w:szCs w:val="20"/>
              </w:rPr>
            </w:pPr>
            <w:r>
              <w:rPr>
                <w:rFonts w:ascii="Arial" w:eastAsia="宋体" w:hAnsi="Arial" w:cs="Arial"/>
                <w:sz w:val="20"/>
                <w:szCs w:val="20"/>
              </w:rPr>
              <w:t>Thereafter</w:t>
            </w:r>
          </w:p>
        </w:tc>
        <w:tc>
          <w:tcPr>
            <w:tcW w:w="0" w:type="auto"/>
            <w:shd w:val="clear" w:color="auto" w:fill="auto"/>
            <w:tcMar>
              <w:top w:w="40" w:type="dxa"/>
              <w:left w:w="40" w:type="dxa"/>
              <w:bottom w:w="40" w:type="dxa"/>
              <w:right w:w="40" w:type="dxa"/>
            </w:tcMar>
            <w:vAlign w:val="bottom"/>
          </w:tcPr>
          <w:p w14:paraId="0BC9892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92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4,349</w:t>
            </w:r>
          </w:p>
        </w:tc>
        <w:tc>
          <w:tcPr>
            <w:tcW w:w="0" w:type="auto"/>
            <w:tcBorders>
              <w:bottom w:val="single" w:sz="8" w:space="0" w:color="000000"/>
            </w:tcBorders>
            <w:shd w:val="clear" w:color="auto" w:fill="auto"/>
            <w:vAlign w:val="bottom"/>
          </w:tcPr>
          <w:p w14:paraId="0BC9892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92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92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78</w:t>
            </w:r>
          </w:p>
        </w:tc>
        <w:tc>
          <w:tcPr>
            <w:tcW w:w="0" w:type="auto"/>
            <w:tcBorders>
              <w:bottom w:val="single" w:sz="8" w:space="0" w:color="000000"/>
            </w:tcBorders>
            <w:shd w:val="clear" w:color="auto" w:fill="auto"/>
            <w:vAlign w:val="bottom"/>
          </w:tcPr>
          <w:p w14:paraId="0BC9892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92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92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w:t>
            </w:r>
          </w:p>
        </w:tc>
        <w:tc>
          <w:tcPr>
            <w:tcW w:w="0" w:type="auto"/>
            <w:tcBorders>
              <w:bottom w:val="single" w:sz="8" w:space="0" w:color="000000"/>
            </w:tcBorders>
            <w:shd w:val="clear" w:color="auto" w:fill="auto"/>
            <w:vAlign w:val="bottom"/>
          </w:tcPr>
          <w:p w14:paraId="0BC9892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92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92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4,430</w:t>
            </w:r>
          </w:p>
        </w:tc>
        <w:tc>
          <w:tcPr>
            <w:tcW w:w="0" w:type="auto"/>
            <w:tcBorders>
              <w:bottom w:val="single" w:sz="8" w:space="0" w:color="000000"/>
            </w:tcBorders>
            <w:shd w:val="clear" w:color="auto" w:fill="auto"/>
            <w:vAlign w:val="bottom"/>
          </w:tcPr>
          <w:p w14:paraId="0BC9892B" w14:textId="77777777" w:rsidR="009F0928" w:rsidRDefault="009F0928">
            <w:pPr>
              <w:textAlignment w:val="bottom"/>
              <w:rPr>
                <w:rFonts w:ascii="Times New Roman" w:hAnsi="Times New Roman"/>
                <w:sz w:val="20"/>
                <w:szCs w:val="20"/>
              </w:rPr>
            </w:pPr>
          </w:p>
        </w:tc>
      </w:tr>
      <w:tr w:rsidR="009F0928" w14:paraId="0BC9893E" w14:textId="77777777">
        <w:tc>
          <w:tcPr>
            <w:tcW w:w="0" w:type="auto"/>
            <w:shd w:val="clear" w:color="auto" w:fill="E2E2E2"/>
            <w:tcMar>
              <w:top w:w="40" w:type="dxa"/>
              <w:left w:w="40" w:type="dxa"/>
              <w:bottom w:w="40" w:type="dxa"/>
              <w:right w:w="40" w:type="dxa"/>
            </w:tcMar>
            <w:vAlign w:val="bottom"/>
          </w:tcPr>
          <w:p w14:paraId="0BC9892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92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892F"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E2E2E2"/>
            <w:tcMar>
              <w:top w:w="40" w:type="dxa"/>
              <w:bottom w:w="40" w:type="dxa"/>
            </w:tcMar>
            <w:vAlign w:val="bottom"/>
          </w:tcPr>
          <w:p w14:paraId="0BC9893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10,674</w:t>
            </w:r>
          </w:p>
        </w:tc>
        <w:tc>
          <w:tcPr>
            <w:tcW w:w="0" w:type="auto"/>
            <w:tcBorders>
              <w:bottom w:val="double" w:sz="6" w:space="0" w:color="000000"/>
            </w:tcBorders>
            <w:shd w:val="clear" w:color="auto" w:fill="E2E2E2"/>
            <w:vAlign w:val="bottom"/>
          </w:tcPr>
          <w:p w14:paraId="0BC9893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93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8933"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E2E2E2"/>
            <w:tcMar>
              <w:top w:w="40" w:type="dxa"/>
              <w:bottom w:w="40" w:type="dxa"/>
            </w:tcMar>
            <w:vAlign w:val="bottom"/>
          </w:tcPr>
          <w:p w14:paraId="0BC9893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746</w:t>
            </w:r>
          </w:p>
        </w:tc>
        <w:tc>
          <w:tcPr>
            <w:tcW w:w="0" w:type="auto"/>
            <w:tcBorders>
              <w:bottom w:val="double" w:sz="6" w:space="0" w:color="000000"/>
            </w:tcBorders>
            <w:shd w:val="clear" w:color="auto" w:fill="E2E2E2"/>
            <w:vAlign w:val="bottom"/>
          </w:tcPr>
          <w:p w14:paraId="0BC9893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9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8937"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E2E2E2"/>
            <w:tcMar>
              <w:top w:w="40" w:type="dxa"/>
              <w:bottom w:w="40" w:type="dxa"/>
            </w:tcMar>
            <w:vAlign w:val="bottom"/>
          </w:tcPr>
          <w:p w14:paraId="0BC98938"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296</w:t>
            </w:r>
          </w:p>
        </w:tc>
        <w:tc>
          <w:tcPr>
            <w:tcW w:w="0" w:type="auto"/>
            <w:tcBorders>
              <w:bottom w:val="double" w:sz="6" w:space="0" w:color="000000"/>
            </w:tcBorders>
            <w:shd w:val="clear" w:color="auto" w:fill="E2E2E2"/>
            <w:vAlign w:val="bottom"/>
          </w:tcPr>
          <w:p w14:paraId="0BC9893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9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893B"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E2E2E2"/>
            <w:tcMar>
              <w:top w:w="40" w:type="dxa"/>
              <w:bottom w:w="40" w:type="dxa"/>
            </w:tcMar>
            <w:vAlign w:val="bottom"/>
          </w:tcPr>
          <w:p w14:paraId="0BC9893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11,716</w:t>
            </w:r>
          </w:p>
        </w:tc>
        <w:tc>
          <w:tcPr>
            <w:tcW w:w="0" w:type="auto"/>
            <w:tcBorders>
              <w:bottom w:val="double" w:sz="6" w:space="0" w:color="000000"/>
            </w:tcBorders>
            <w:shd w:val="clear" w:color="auto" w:fill="E2E2E2"/>
            <w:vAlign w:val="bottom"/>
          </w:tcPr>
          <w:p w14:paraId="0BC9893D" w14:textId="77777777" w:rsidR="009F0928" w:rsidRDefault="009F0928">
            <w:pPr>
              <w:textAlignment w:val="bottom"/>
              <w:rPr>
                <w:rFonts w:ascii="Times New Roman" w:hAnsi="Times New Roman"/>
                <w:sz w:val="20"/>
                <w:szCs w:val="20"/>
              </w:rPr>
            </w:pPr>
          </w:p>
        </w:tc>
      </w:tr>
    </w:tbl>
    <w:p w14:paraId="0BC9893F" w14:textId="77777777" w:rsidR="009F0928" w:rsidRDefault="009F0928">
      <w:pPr>
        <w:spacing w:line="288" w:lineRule="auto"/>
        <w:ind w:firstLine="720"/>
        <w:jc w:val="both"/>
        <w:rPr>
          <w:rFonts w:ascii="Times New Roman" w:hAnsi="Times New Roman"/>
          <w:sz w:val="20"/>
          <w:szCs w:val="20"/>
        </w:rPr>
      </w:pPr>
    </w:p>
    <w:p w14:paraId="0BC9894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w:t>
      </w:r>
      <w:r>
        <w:rPr>
          <w:rFonts w:ascii="Arial" w:eastAsia="宋体" w:hAnsi="Arial" w:cs="Arial"/>
          <w:sz w:val="20"/>
          <w:szCs w:val="20"/>
        </w:rPr>
        <w:t>significant assumptions used in our determination of amounts presented in the above table are as follows:</w:t>
      </w:r>
    </w:p>
    <w:p w14:paraId="0BC98941" w14:textId="77777777" w:rsidR="009F0928" w:rsidRDefault="009F0928">
      <w:pPr>
        <w:spacing w:line="288" w:lineRule="auto"/>
        <w:ind w:firstLine="7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9F0928" w14:paraId="0BC98944" w14:textId="77777777">
        <w:trPr>
          <w:tblCellSpacing w:w="0" w:type="dxa"/>
        </w:trPr>
        <w:tc>
          <w:tcPr>
            <w:tcW w:w="1200" w:type="dxa"/>
            <w:shd w:val="clear" w:color="auto" w:fill="auto"/>
            <w:vAlign w:val="center"/>
          </w:tcPr>
          <w:p w14:paraId="0BC98942" w14:textId="77777777" w:rsidR="009F0928" w:rsidRDefault="009F0928">
            <w:pPr>
              <w:rPr>
                <w:rFonts w:ascii="Times New Roman" w:hAnsi="Times New Roman"/>
                <w:sz w:val="20"/>
                <w:szCs w:val="20"/>
              </w:rPr>
            </w:pPr>
          </w:p>
        </w:tc>
        <w:tc>
          <w:tcPr>
            <w:tcW w:w="0" w:type="auto"/>
            <w:shd w:val="clear" w:color="auto" w:fill="auto"/>
            <w:vAlign w:val="center"/>
          </w:tcPr>
          <w:p w14:paraId="0BC98943" w14:textId="77777777" w:rsidR="009F0928" w:rsidRDefault="009F0928">
            <w:pPr>
              <w:rPr>
                <w:rFonts w:ascii="Times New Roman" w:hAnsi="Times New Roman"/>
                <w:sz w:val="20"/>
                <w:szCs w:val="20"/>
              </w:rPr>
            </w:pPr>
          </w:p>
        </w:tc>
      </w:tr>
      <w:tr w:rsidR="009F0928" w14:paraId="0BC98947" w14:textId="77777777">
        <w:trPr>
          <w:tblCellSpacing w:w="0" w:type="dxa"/>
        </w:trPr>
        <w:tc>
          <w:tcPr>
            <w:tcW w:w="0" w:type="auto"/>
            <w:shd w:val="clear" w:color="auto" w:fill="auto"/>
          </w:tcPr>
          <w:p w14:paraId="0BC98945"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8946"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Debt amounts include the principal and interest amounts of the respective debt instruments. For additional details related to our debt, </w:t>
            </w:r>
            <w:r>
              <w:rPr>
                <w:rFonts w:ascii="Arial" w:eastAsia="宋体" w:hAnsi="Arial" w:cs="Arial"/>
                <w:sz w:val="20"/>
                <w:szCs w:val="20"/>
              </w:rPr>
              <w:t>please see “Note 10 – Debt” to the consolidated financial statements included in this report. This table does not reflect any amounts payable under our $2 billion revolving credit facility or $1.5 billion commercial paper program, for which no borrowings w</w:t>
            </w:r>
            <w:r>
              <w:rPr>
                <w:rFonts w:ascii="Arial" w:eastAsia="宋体" w:hAnsi="Arial" w:cs="Arial"/>
                <w:sz w:val="20"/>
                <w:szCs w:val="20"/>
              </w:rPr>
              <w:t>ere outstanding as of December 31, 2019.</w:t>
            </w:r>
          </w:p>
        </w:tc>
      </w:tr>
    </w:tbl>
    <w:p w14:paraId="0BC98948" w14:textId="77777777" w:rsidR="009F0928" w:rsidRDefault="009F0928">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9F0928" w14:paraId="0BC9894B" w14:textId="77777777">
        <w:trPr>
          <w:tblCellSpacing w:w="0" w:type="dxa"/>
        </w:trPr>
        <w:tc>
          <w:tcPr>
            <w:tcW w:w="1200" w:type="dxa"/>
            <w:shd w:val="clear" w:color="auto" w:fill="auto"/>
            <w:vAlign w:val="center"/>
          </w:tcPr>
          <w:p w14:paraId="0BC98949" w14:textId="77777777" w:rsidR="009F0928" w:rsidRDefault="009F0928">
            <w:pPr>
              <w:rPr>
                <w:rFonts w:ascii="Times New Roman" w:hAnsi="Times New Roman"/>
                <w:sz w:val="20"/>
                <w:szCs w:val="20"/>
              </w:rPr>
            </w:pPr>
          </w:p>
        </w:tc>
        <w:tc>
          <w:tcPr>
            <w:tcW w:w="0" w:type="auto"/>
            <w:shd w:val="clear" w:color="auto" w:fill="auto"/>
            <w:vAlign w:val="center"/>
          </w:tcPr>
          <w:p w14:paraId="0BC9894A" w14:textId="77777777" w:rsidR="009F0928" w:rsidRDefault="009F0928">
            <w:pPr>
              <w:rPr>
                <w:rFonts w:ascii="Times New Roman" w:hAnsi="Times New Roman"/>
                <w:sz w:val="20"/>
                <w:szCs w:val="20"/>
              </w:rPr>
            </w:pPr>
          </w:p>
        </w:tc>
      </w:tr>
      <w:tr w:rsidR="009F0928" w14:paraId="0BC9894E" w14:textId="77777777">
        <w:trPr>
          <w:tblCellSpacing w:w="0" w:type="dxa"/>
        </w:trPr>
        <w:tc>
          <w:tcPr>
            <w:tcW w:w="0" w:type="auto"/>
            <w:shd w:val="clear" w:color="auto" w:fill="auto"/>
          </w:tcPr>
          <w:p w14:paraId="0BC9894C"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894D"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Lease amounts include payments for our operating and finance leases for office space, data centers, as well as fulfillment centers and other corporate assets that we utilize under lease arrangements. The amou</w:t>
            </w:r>
            <w:r>
              <w:rPr>
                <w:rFonts w:ascii="Arial" w:eastAsia="宋体" w:hAnsi="Arial" w:cs="Arial"/>
                <w:sz w:val="20"/>
                <w:szCs w:val="20"/>
              </w:rPr>
              <w:t>nts presented are consistent with contractual terms and are not expected to differ significantly from actual results under our existing leases, unless a substantial change in our headcount needs requires us to expand our occupied space or exit an office fa</w:t>
            </w:r>
            <w:r>
              <w:rPr>
                <w:rFonts w:ascii="Arial" w:eastAsia="宋体" w:hAnsi="Arial" w:cs="Arial"/>
                <w:sz w:val="20"/>
                <w:szCs w:val="20"/>
              </w:rPr>
              <w:t xml:space="preserve">cility early. </w:t>
            </w:r>
          </w:p>
        </w:tc>
      </w:tr>
    </w:tbl>
    <w:p w14:paraId="0BC9894F" w14:textId="77777777" w:rsidR="009F0928" w:rsidRDefault="009F0928">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9F0928" w14:paraId="0BC98952" w14:textId="77777777">
        <w:trPr>
          <w:tblCellSpacing w:w="0" w:type="dxa"/>
        </w:trPr>
        <w:tc>
          <w:tcPr>
            <w:tcW w:w="1200" w:type="dxa"/>
            <w:shd w:val="clear" w:color="auto" w:fill="auto"/>
            <w:vAlign w:val="center"/>
          </w:tcPr>
          <w:p w14:paraId="0BC98950" w14:textId="77777777" w:rsidR="009F0928" w:rsidRDefault="009F0928">
            <w:pPr>
              <w:rPr>
                <w:rFonts w:ascii="Times New Roman" w:hAnsi="Times New Roman"/>
                <w:sz w:val="20"/>
                <w:szCs w:val="20"/>
              </w:rPr>
            </w:pPr>
          </w:p>
        </w:tc>
        <w:tc>
          <w:tcPr>
            <w:tcW w:w="0" w:type="auto"/>
            <w:shd w:val="clear" w:color="auto" w:fill="auto"/>
            <w:vAlign w:val="center"/>
          </w:tcPr>
          <w:p w14:paraId="0BC98951" w14:textId="77777777" w:rsidR="009F0928" w:rsidRDefault="009F0928">
            <w:pPr>
              <w:rPr>
                <w:rFonts w:ascii="Times New Roman" w:hAnsi="Times New Roman"/>
                <w:sz w:val="20"/>
                <w:szCs w:val="20"/>
              </w:rPr>
            </w:pPr>
          </w:p>
        </w:tc>
      </w:tr>
      <w:tr w:rsidR="009F0928" w14:paraId="0BC98955" w14:textId="77777777">
        <w:trPr>
          <w:tblCellSpacing w:w="0" w:type="dxa"/>
        </w:trPr>
        <w:tc>
          <w:tcPr>
            <w:tcW w:w="0" w:type="auto"/>
            <w:shd w:val="clear" w:color="auto" w:fill="auto"/>
          </w:tcPr>
          <w:p w14:paraId="0BC98953" w14:textId="77777777" w:rsidR="009F0928" w:rsidRDefault="002112BD">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0BC98954" w14:textId="77777777" w:rsidR="009F0928" w:rsidRDefault="002112BD">
            <w:pPr>
              <w:spacing w:line="288" w:lineRule="auto"/>
              <w:jc w:val="both"/>
              <w:textAlignment w:val="top"/>
              <w:rPr>
                <w:rFonts w:ascii="Times New Roman" w:hAnsi="Times New Roman"/>
                <w:sz w:val="20"/>
                <w:szCs w:val="20"/>
              </w:rPr>
            </w:pPr>
            <w:r>
              <w:rPr>
                <w:rFonts w:ascii="Arial" w:eastAsia="宋体" w:hAnsi="Arial" w:cs="Arial"/>
                <w:sz w:val="20"/>
                <w:szCs w:val="20"/>
              </w:rPr>
              <w:t xml:space="preserve">Purchase obligation amounts include minimum purchase commitments for advertising, capital expenditures (computer equipment, software applications, engineering development services, construction contracts) and other goods and </w:t>
            </w:r>
            <w:r>
              <w:rPr>
                <w:rFonts w:ascii="Arial" w:eastAsia="宋体" w:hAnsi="Arial" w:cs="Arial"/>
                <w:sz w:val="20"/>
                <w:szCs w:val="20"/>
              </w:rPr>
              <w:t>services entered into in the ordinary course of business.</w:t>
            </w:r>
          </w:p>
        </w:tc>
      </w:tr>
    </w:tbl>
    <w:p w14:paraId="0BC98956" w14:textId="77777777" w:rsidR="009F0928" w:rsidRDefault="009F0928">
      <w:pPr>
        <w:spacing w:line="288" w:lineRule="auto"/>
        <w:ind w:firstLine="720"/>
        <w:jc w:val="both"/>
        <w:rPr>
          <w:rFonts w:ascii="Times New Roman" w:hAnsi="Times New Roman"/>
          <w:sz w:val="20"/>
          <w:szCs w:val="20"/>
        </w:rPr>
      </w:pPr>
    </w:p>
    <w:p w14:paraId="0BC9895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As we are unable to reasonably predict the timing of settlement of liabilities related to unrecognized tax benefits, net, the table does not include $285 million of such non-current liabilities included in other liabilities on our consolidated </w:t>
      </w:r>
    </w:p>
    <w:p w14:paraId="0BC98958" w14:textId="77777777" w:rsidR="009F0928" w:rsidRDefault="009F0928">
      <w:pPr>
        <w:rPr>
          <w:rFonts w:ascii="Times New Roman" w:hAnsi="Times New Roman"/>
          <w:sz w:val="20"/>
          <w:szCs w:val="20"/>
        </w:rPr>
      </w:pPr>
    </w:p>
    <w:p w14:paraId="0BC98959"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52</w:t>
      </w:r>
    </w:p>
    <w:p w14:paraId="0BC9895A" w14:textId="77777777" w:rsidR="009F0928" w:rsidRDefault="002112BD">
      <w:r>
        <w:rPr>
          <w:rFonts w:ascii="Times New Roman" w:hAnsi="Times New Roman"/>
          <w:sz w:val="18"/>
          <w:szCs w:val="18"/>
        </w:rPr>
        <w:pict w14:anchorId="0BC9B4F1">
          <v:rect id="_x0000_i1077" style="width:415.3pt;height:1.5pt" o:hralign="center" o:hrstd="t" o:hr="t" fillcolor="#a0a0a0" stroked="f"/>
        </w:pict>
      </w:r>
    </w:p>
    <w:p w14:paraId="0BC9895B" w14:textId="77777777" w:rsidR="009F0928" w:rsidRDefault="009F0928">
      <w:pPr>
        <w:spacing w:line="288" w:lineRule="auto"/>
        <w:rPr>
          <w:rFonts w:ascii="Times New Roman" w:hAnsi="Times New Roman"/>
          <w:sz w:val="20"/>
          <w:szCs w:val="20"/>
        </w:rPr>
      </w:pPr>
    </w:p>
    <w:p w14:paraId="0BC9895C" w14:textId="77777777" w:rsidR="009F0928" w:rsidRDefault="009F0928">
      <w:pPr>
        <w:rPr>
          <w:rFonts w:ascii="Times New Roman" w:hAnsi="Times New Roman"/>
          <w:sz w:val="20"/>
          <w:szCs w:val="20"/>
        </w:rPr>
      </w:pPr>
    </w:p>
    <w:p w14:paraId="0BC9895D"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bal</w:t>
      </w:r>
      <w:r>
        <w:rPr>
          <w:rFonts w:ascii="Arial" w:eastAsia="宋体" w:hAnsi="Arial" w:cs="Arial"/>
          <w:sz w:val="20"/>
          <w:szCs w:val="20"/>
        </w:rPr>
        <w:t>ance sheet as of December 31, 2019. The gross amount of unrecognized tax benefits expected to be reduced within the next twelve months is approximately $19 million. See “Note 15 – Income Taxes” to the consolidated financial statements included in this repo</w:t>
      </w:r>
      <w:r>
        <w:rPr>
          <w:rFonts w:ascii="Arial" w:eastAsia="宋体" w:hAnsi="Arial" w:cs="Arial"/>
          <w:sz w:val="20"/>
          <w:szCs w:val="20"/>
        </w:rPr>
        <w:t>rt for more information on unrecognized tax benefits.</w:t>
      </w:r>
    </w:p>
    <w:p w14:paraId="0BC9895E" w14:textId="77777777" w:rsidR="009F0928" w:rsidRDefault="009F0928">
      <w:pPr>
        <w:spacing w:line="288" w:lineRule="auto"/>
        <w:ind w:firstLine="600"/>
        <w:jc w:val="both"/>
        <w:rPr>
          <w:rFonts w:ascii="Times New Roman" w:hAnsi="Times New Roman"/>
          <w:sz w:val="20"/>
          <w:szCs w:val="20"/>
        </w:rPr>
      </w:pPr>
    </w:p>
    <w:p w14:paraId="0BC9895F" w14:textId="77777777" w:rsidR="009F0928" w:rsidRDefault="002112BD">
      <w:pPr>
        <w:spacing w:line="288" w:lineRule="auto"/>
        <w:jc w:val="both"/>
        <w:rPr>
          <w:rFonts w:ascii="Times New Roman" w:hAnsi="Times New Roman"/>
          <w:sz w:val="20"/>
          <w:szCs w:val="20"/>
        </w:rPr>
      </w:pPr>
      <w:r>
        <w:rPr>
          <w:rFonts w:ascii="Arial" w:eastAsia="宋体" w:hAnsi="Arial" w:cs="Arial"/>
          <w:i/>
          <w:iCs/>
          <w:sz w:val="20"/>
          <w:szCs w:val="20"/>
        </w:rPr>
        <w:t xml:space="preserve">Liquidity and Capital Resource Requirements </w:t>
      </w:r>
    </w:p>
    <w:p w14:paraId="0BC98960" w14:textId="77777777" w:rsidR="009F0928" w:rsidRDefault="009F0928">
      <w:pPr>
        <w:spacing w:line="288" w:lineRule="auto"/>
        <w:jc w:val="both"/>
        <w:rPr>
          <w:rFonts w:ascii="Times New Roman" w:hAnsi="Times New Roman"/>
          <w:sz w:val="20"/>
          <w:szCs w:val="20"/>
        </w:rPr>
      </w:pPr>
    </w:p>
    <w:p w14:paraId="0BC9896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As of December 31, 2019 and December 31, 2018, we had assets classified as cash and cash equivalents, as well as short-term and long-term non-equity invest</w:t>
      </w:r>
      <w:r>
        <w:rPr>
          <w:rFonts w:ascii="Arial" w:eastAsia="宋体" w:hAnsi="Arial" w:cs="Arial"/>
          <w:sz w:val="20"/>
          <w:szCs w:val="20"/>
        </w:rPr>
        <w:t>ments, in an aggregate amount of $3.8 billion and $8.6 billion, respectively. As of December 31, 2019, this amount included assets held in certain of our foreign operations totaling approximately $3.4 billion. As we repatriate these funds to the U.S., we w</w:t>
      </w:r>
      <w:r>
        <w:rPr>
          <w:rFonts w:ascii="Arial" w:eastAsia="宋体" w:hAnsi="Arial" w:cs="Arial"/>
          <w:sz w:val="20"/>
          <w:szCs w:val="20"/>
        </w:rPr>
        <w:t>ill be required to pay income taxes in certain U.S. states and applicable foreign withholding taxes on those amounts during the period when such repatriation occurs. We have accrued deferred taxes for the tax effect of repatriating the funds to the U.S.</w:t>
      </w:r>
    </w:p>
    <w:p w14:paraId="0BC98962" w14:textId="77777777" w:rsidR="009F0928" w:rsidRDefault="009F0928">
      <w:pPr>
        <w:spacing w:line="288" w:lineRule="auto"/>
        <w:ind w:firstLine="720"/>
        <w:jc w:val="both"/>
        <w:rPr>
          <w:rFonts w:ascii="Times New Roman" w:hAnsi="Times New Roman"/>
          <w:sz w:val="20"/>
          <w:szCs w:val="20"/>
        </w:rPr>
      </w:pPr>
    </w:p>
    <w:p w14:paraId="0BC9896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actively monitor all counterparties that hold our cash and cash equivalents and non-equity investments, focusing primarily on the safety of principal and secondarily on improving yield on these assets. We diversify our cash and cash equivalents and inve</w:t>
      </w:r>
      <w:r>
        <w:rPr>
          <w:rFonts w:ascii="Arial" w:eastAsia="宋体" w:hAnsi="Arial" w:cs="Arial"/>
          <w:sz w:val="20"/>
          <w:szCs w:val="20"/>
        </w:rPr>
        <w:t>stments among various counterparties in order to reduce our exposure should any one of these counterparties fail or encounter difficulties. To date, we have not experienced any material loss or lack of access to our invested cash, cash equivalents or short</w:t>
      </w:r>
      <w:r>
        <w:rPr>
          <w:rFonts w:ascii="Arial" w:eastAsia="宋体" w:hAnsi="Arial" w:cs="Arial"/>
          <w:sz w:val="20"/>
          <w:szCs w:val="20"/>
        </w:rPr>
        <w:t>-term investments; however, we can provide no assurances that access to our invested cash, cash equivalents or short-term investments will not be impacted by adverse conditions in the financial markets. At any point in time we have funds in our operating a</w:t>
      </w:r>
      <w:r>
        <w:rPr>
          <w:rFonts w:ascii="Arial" w:eastAsia="宋体" w:hAnsi="Arial" w:cs="Arial"/>
          <w:sz w:val="20"/>
          <w:szCs w:val="20"/>
        </w:rPr>
        <w:t>ccounts and customer accounts that are deposited and invested with third party financial institutions.</w:t>
      </w:r>
    </w:p>
    <w:p w14:paraId="0BC98964" w14:textId="77777777" w:rsidR="009F0928" w:rsidRDefault="009F0928">
      <w:pPr>
        <w:spacing w:line="288" w:lineRule="auto"/>
        <w:ind w:firstLine="720"/>
        <w:jc w:val="both"/>
        <w:rPr>
          <w:rFonts w:ascii="Times New Roman" w:hAnsi="Times New Roman"/>
          <w:sz w:val="20"/>
          <w:szCs w:val="20"/>
        </w:rPr>
      </w:pPr>
    </w:p>
    <w:p w14:paraId="0BC9896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believe that our existing cash, cash equivalents and short-term and long-term investments, together with cash expected to be generated from operation</w:t>
      </w:r>
      <w:r>
        <w:rPr>
          <w:rFonts w:ascii="Arial" w:eastAsia="宋体" w:hAnsi="Arial" w:cs="Arial"/>
          <w:sz w:val="20"/>
          <w:szCs w:val="20"/>
        </w:rPr>
        <w:t>s, borrowings available under our credit agreement and commercial paper program, and our access to capital markets, will be sufficient to fund our operating activities, anticipated capital expenditures, repayment of debt, stock repurchases and dividends fo</w:t>
      </w:r>
      <w:r>
        <w:rPr>
          <w:rFonts w:ascii="Arial" w:eastAsia="宋体" w:hAnsi="Arial" w:cs="Arial"/>
          <w:sz w:val="20"/>
          <w:szCs w:val="20"/>
        </w:rPr>
        <w:t>r the foreseeable future.</w:t>
      </w:r>
    </w:p>
    <w:p w14:paraId="0BC9896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w:t>
      </w:r>
    </w:p>
    <w:p w14:paraId="0BC98967" w14:textId="77777777" w:rsidR="009F0928" w:rsidRDefault="002112BD">
      <w:pPr>
        <w:spacing w:line="288" w:lineRule="auto"/>
        <w:jc w:val="both"/>
        <w:rPr>
          <w:rFonts w:ascii="Times New Roman" w:hAnsi="Times New Roman"/>
          <w:sz w:val="20"/>
          <w:szCs w:val="20"/>
        </w:rPr>
      </w:pPr>
      <w:r>
        <w:rPr>
          <w:rFonts w:ascii="Arial" w:eastAsia="宋体" w:hAnsi="Arial" w:cs="Arial"/>
          <w:i/>
          <w:iCs/>
          <w:sz w:val="20"/>
          <w:szCs w:val="20"/>
        </w:rPr>
        <w:t>Off-Balance Sheet Arrangements</w:t>
      </w:r>
    </w:p>
    <w:p w14:paraId="0BC98968" w14:textId="77777777" w:rsidR="009F0928" w:rsidRDefault="009F0928">
      <w:pPr>
        <w:spacing w:line="288" w:lineRule="auto"/>
        <w:jc w:val="both"/>
        <w:rPr>
          <w:rFonts w:ascii="Times New Roman" w:hAnsi="Times New Roman"/>
          <w:sz w:val="20"/>
          <w:szCs w:val="20"/>
        </w:rPr>
      </w:pPr>
    </w:p>
    <w:p w14:paraId="0BC9896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As of December 31, 2019, we had no off-balance sheet arrangements that have, or are reasonably likely to have, a current or future material effect on our consolidated financial condition, results </w:t>
      </w:r>
      <w:r>
        <w:rPr>
          <w:rFonts w:ascii="Arial" w:eastAsia="宋体" w:hAnsi="Arial" w:cs="Arial"/>
          <w:sz w:val="20"/>
          <w:szCs w:val="20"/>
        </w:rPr>
        <w:t xml:space="preserve">of operations, liquidity, capital expenditures or capital resources. </w:t>
      </w:r>
    </w:p>
    <w:p w14:paraId="0BC9896A" w14:textId="77777777" w:rsidR="009F0928" w:rsidRDefault="009F0928">
      <w:pPr>
        <w:spacing w:line="288" w:lineRule="auto"/>
        <w:ind w:firstLine="640"/>
        <w:jc w:val="both"/>
        <w:rPr>
          <w:rFonts w:ascii="Times New Roman" w:hAnsi="Times New Roman"/>
          <w:sz w:val="20"/>
          <w:szCs w:val="20"/>
        </w:rPr>
      </w:pPr>
    </w:p>
    <w:p w14:paraId="0BC9896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have a cash pooling arrangement with a financial institution for cash management purposes. This arrangement allows for cash withdrawals from the financial institution based upon our </w:t>
      </w:r>
      <w:r>
        <w:rPr>
          <w:rFonts w:ascii="Arial" w:eastAsia="宋体" w:hAnsi="Arial" w:cs="Arial"/>
          <w:sz w:val="20"/>
          <w:szCs w:val="20"/>
        </w:rPr>
        <w:t>aggregate operating cash balances held within the same financial institution (“Aggregate Cash Deposits”). This arrangement also allows us to withdraw amounts exceeding the Aggregate Cash Deposits up to an agreed-upon limit. The net balance of the withdrawa</w:t>
      </w:r>
      <w:r>
        <w:rPr>
          <w:rFonts w:ascii="Arial" w:eastAsia="宋体" w:hAnsi="Arial" w:cs="Arial"/>
          <w:sz w:val="20"/>
          <w:szCs w:val="20"/>
        </w:rPr>
        <w:t>ls and the Aggregate Cash Deposits are used by the financial institution as a basis for calculating our net interest expense or income under the arrangement. As of December 31, 2019, we had a total of $4.8 billion in aggregate cash deposits, partially offs</w:t>
      </w:r>
      <w:r>
        <w:rPr>
          <w:rFonts w:ascii="Arial" w:eastAsia="宋体" w:hAnsi="Arial" w:cs="Arial"/>
          <w:sz w:val="20"/>
          <w:szCs w:val="20"/>
        </w:rPr>
        <w:t>et by $4.7 billion in cash withdrawals, held within the financial institution under the cash pooling arrangement.</w:t>
      </w:r>
    </w:p>
    <w:p w14:paraId="0BC9896C" w14:textId="77777777" w:rsidR="009F0928" w:rsidRDefault="009F0928">
      <w:pPr>
        <w:spacing w:line="288" w:lineRule="auto"/>
        <w:ind w:firstLine="600"/>
        <w:jc w:val="both"/>
        <w:rPr>
          <w:rFonts w:ascii="Times New Roman" w:hAnsi="Times New Roman"/>
          <w:sz w:val="20"/>
          <w:szCs w:val="20"/>
        </w:rPr>
      </w:pPr>
    </w:p>
    <w:p w14:paraId="0BC9896D" w14:textId="77777777" w:rsidR="009F0928" w:rsidRDefault="002112BD">
      <w:pPr>
        <w:spacing w:line="288" w:lineRule="auto"/>
        <w:ind w:firstLine="120"/>
        <w:jc w:val="both"/>
        <w:rPr>
          <w:rFonts w:ascii="Times New Roman" w:hAnsi="Times New Roman"/>
          <w:sz w:val="20"/>
          <w:szCs w:val="20"/>
        </w:rPr>
      </w:pPr>
      <w:r>
        <w:rPr>
          <w:rFonts w:ascii="Arial" w:eastAsia="宋体" w:hAnsi="Arial" w:cs="Arial"/>
          <w:i/>
          <w:iCs/>
          <w:sz w:val="20"/>
          <w:szCs w:val="20"/>
        </w:rPr>
        <w:t>Indemnification Provisions</w:t>
      </w:r>
    </w:p>
    <w:p w14:paraId="0BC9896E" w14:textId="77777777" w:rsidR="009F0928" w:rsidRDefault="009F0928">
      <w:pPr>
        <w:spacing w:line="288" w:lineRule="auto"/>
        <w:jc w:val="both"/>
        <w:rPr>
          <w:rFonts w:ascii="Times New Roman" w:hAnsi="Times New Roman"/>
          <w:sz w:val="20"/>
          <w:szCs w:val="20"/>
        </w:rPr>
      </w:pPr>
    </w:p>
    <w:p w14:paraId="0BC9896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entered into a separation and distribution agreement and various other agreements with PayPal to govern the </w:t>
      </w:r>
      <w:r>
        <w:rPr>
          <w:rFonts w:ascii="Arial" w:eastAsia="宋体" w:hAnsi="Arial" w:cs="Arial"/>
          <w:sz w:val="20"/>
          <w:szCs w:val="20"/>
        </w:rPr>
        <w:t>separation and relationship of the two companies. These agreements provide for specific indemnity and liability obligations and could lead to disputes between us and PayPal, which may be significant. In addition, the indemnity rights we have against PayPal</w:t>
      </w:r>
      <w:r>
        <w:rPr>
          <w:rFonts w:ascii="Arial" w:eastAsia="宋体" w:hAnsi="Arial" w:cs="Arial"/>
          <w:sz w:val="20"/>
          <w:szCs w:val="20"/>
        </w:rPr>
        <w:t xml:space="preserve"> under the agreements may not be sufficient to protect us and our indemnity obligations to PayPal may be significant.</w:t>
      </w:r>
    </w:p>
    <w:p w14:paraId="0BC98970" w14:textId="77777777" w:rsidR="009F0928" w:rsidRDefault="009F0928">
      <w:pPr>
        <w:spacing w:line="288" w:lineRule="auto"/>
        <w:ind w:firstLine="720"/>
        <w:jc w:val="both"/>
        <w:rPr>
          <w:rFonts w:ascii="Times New Roman" w:hAnsi="Times New Roman"/>
          <w:sz w:val="20"/>
          <w:szCs w:val="20"/>
        </w:rPr>
      </w:pPr>
    </w:p>
    <w:p w14:paraId="0BC9897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addition, we have entered into indemnification agreements with each of our directors, executive officers and certain other officers. T</w:t>
      </w:r>
      <w:r>
        <w:rPr>
          <w:rFonts w:ascii="Arial" w:eastAsia="宋体" w:hAnsi="Arial" w:cs="Arial"/>
          <w:sz w:val="20"/>
          <w:szCs w:val="20"/>
        </w:rPr>
        <w:t xml:space="preserve">hese agreements require us to indemnify such individuals, to the fullest extent permitted by Delaware law, for certain liabilities to which they may become subject as a result of their affiliation with us. </w:t>
      </w:r>
    </w:p>
    <w:p w14:paraId="0BC98972" w14:textId="77777777" w:rsidR="009F0928" w:rsidRDefault="009F0928">
      <w:pPr>
        <w:spacing w:line="288" w:lineRule="auto"/>
        <w:ind w:firstLine="720"/>
        <w:jc w:val="both"/>
        <w:rPr>
          <w:rFonts w:ascii="Times New Roman" w:hAnsi="Times New Roman"/>
          <w:sz w:val="20"/>
          <w:szCs w:val="20"/>
        </w:rPr>
      </w:pPr>
    </w:p>
    <w:p w14:paraId="0BC9897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the ordinary course of business, we have incl</w:t>
      </w:r>
      <w:r>
        <w:rPr>
          <w:rFonts w:ascii="Arial" w:eastAsia="宋体" w:hAnsi="Arial" w:cs="Arial"/>
          <w:sz w:val="20"/>
          <w:szCs w:val="20"/>
        </w:rPr>
        <w:t>uded limited indemnification provisions in certain of our agreements with parties with which we have commercial relations, including our standard marketing, promotions and application-programming-interface license agreements. Under these contracts, we gene</w:t>
      </w:r>
      <w:r>
        <w:rPr>
          <w:rFonts w:ascii="Arial" w:eastAsia="宋体" w:hAnsi="Arial" w:cs="Arial"/>
          <w:sz w:val="20"/>
          <w:szCs w:val="20"/>
        </w:rPr>
        <w:t xml:space="preserve">rally indemnify, hold harmless and agree to reimburse the indemnified party for losses suffered or incurred by the indemnified party in connection with claims by a third party with respect to our domain names, trademarks, logos and other branding elements </w:t>
      </w:r>
      <w:r>
        <w:rPr>
          <w:rFonts w:ascii="Arial" w:eastAsia="宋体" w:hAnsi="Arial" w:cs="Arial"/>
          <w:sz w:val="20"/>
          <w:szCs w:val="20"/>
        </w:rPr>
        <w:t xml:space="preserve">to the </w:t>
      </w:r>
    </w:p>
    <w:p w14:paraId="0BC98974" w14:textId="77777777" w:rsidR="009F0928" w:rsidRDefault="009F0928">
      <w:pPr>
        <w:rPr>
          <w:rFonts w:ascii="Times New Roman" w:hAnsi="Times New Roman"/>
          <w:sz w:val="20"/>
          <w:szCs w:val="20"/>
        </w:rPr>
      </w:pPr>
    </w:p>
    <w:p w14:paraId="0BC98975"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53</w:t>
      </w:r>
    </w:p>
    <w:p w14:paraId="0BC98976" w14:textId="77777777" w:rsidR="009F0928" w:rsidRDefault="002112BD">
      <w:r>
        <w:rPr>
          <w:rFonts w:ascii="Times New Roman" w:hAnsi="Times New Roman"/>
          <w:sz w:val="18"/>
          <w:szCs w:val="18"/>
        </w:rPr>
        <w:pict w14:anchorId="0BC9B4F2">
          <v:rect id="_x0000_i1078" style="width:415.3pt;height:1.5pt" o:hralign="center" o:hrstd="t" o:hr="t" fillcolor="#a0a0a0" stroked="f"/>
        </w:pict>
      </w:r>
    </w:p>
    <w:p w14:paraId="0BC98977" w14:textId="77777777" w:rsidR="009F0928" w:rsidRDefault="009F0928">
      <w:pPr>
        <w:spacing w:line="288" w:lineRule="auto"/>
        <w:rPr>
          <w:rFonts w:ascii="Times New Roman" w:hAnsi="Times New Roman"/>
          <w:sz w:val="20"/>
          <w:szCs w:val="20"/>
        </w:rPr>
      </w:pPr>
    </w:p>
    <w:p w14:paraId="0BC98978" w14:textId="77777777" w:rsidR="009F0928" w:rsidRDefault="009F0928">
      <w:pPr>
        <w:rPr>
          <w:rFonts w:ascii="Times New Roman" w:hAnsi="Times New Roman"/>
          <w:sz w:val="20"/>
          <w:szCs w:val="20"/>
        </w:rPr>
      </w:pPr>
    </w:p>
    <w:p w14:paraId="0BC98979"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xml:space="preserve">extent that such marks are applicable to our performance under the subject agreement. In certain cases, we have agreed to provide indemnification for intellectual property infringement. It is not possible to determine the maximum potential </w:t>
      </w:r>
      <w:r>
        <w:rPr>
          <w:rFonts w:ascii="Arial" w:eastAsia="宋体" w:hAnsi="Arial" w:cs="Arial"/>
          <w:sz w:val="20"/>
          <w:szCs w:val="20"/>
        </w:rPr>
        <w:t>loss under these indemnification provisions due to our limited history of prior indemnification claims and the unique facts and circumstances involved in each particular provision. To date, losses recorded in our consolidated statement of income in connect</w:t>
      </w:r>
      <w:r>
        <w:rPr>
          <w:rFonts w:ascii="Arial" w:eastAsia="宋体" w:hAnsi="Arial" w:cs="Arial"/>
          <w:sz w:val="20"/>
          <w:szCs w:val="20"/>
        </w:rPr>
        <w:t>ion with our indemnification provisions have not been significant, either individually or collectively.</w:t>
      </w:r>
    </w:p>
    <w:p w14:paraId="0BC9897A" w14:textId="77777777" w:rsidR="009F0928" w:rsidRDefault="009F0928">
      <w:pPr>
        <w:spacing w:line="288" w:lineRule="auto"/>
        <w:jc w:val="both"/>
        <w:rPr>
          <w:rFonts w:ascii="Times New Roman" w:hAnsi="Times New Roman"/>
          <w:sz w:val="20"/>
          <w:szCs w:val="20"/>
        </w:rPr>
      </w:pPr>
    </w:p>
    <w:p w14:paraId="0BC9897B"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Critical Accounting Policies, Judgments and Estimates</w:t>
      </w:r>
    </w:p>
    <w:p w14:paraId="0BC9897C" w14:textId="77777777" w:rsidR="009F0928" w:rsidRDefault="009F0928">
      <w:pPr>
        <w:spacing w:line="288" w:lineRule="auto"/>
        <w:jc w:val="both"/>
        <w:rPr>
          <w:rFonts w:ascii="Times New Roman" w:hAnsi="Times New Roman"/>
          <w:sz w:val="20"/>
          <w:szCs w:val="20"/>
        </w:rPr>
      </w:pPr>
    </w:p>
    <w:p w14:paraId="0BC9897D" w14:textId="77777777" w:rsidR="009F0928" w:rsidRDefault="002112BD">
      <w:pPr>
        <w:spacing w:line="288" w:lineRule="auto"/>
        <w:jc w:val="both"/>
        <w:rPr>
          <w:rFonts w:ascii="Times New Roman" w:hAnsi="Times New Roman"/>
          <w:sz w:val="20"/>
          <w:szCs w:val="20"/>
        </w:rPr>
      </w:pPr>
      <w:r>
        <w:rPr>
          <w:rFonts w:ascii="Arial" w:eastAsia="宋体" w:hAnsi="Arial" w:cs="Arial"/>
          <w:i/>
          <w:iCs/>
          <w:sz w:val="20"/>
          <w:szCs w:val="20"/>
        </w:rPr>
        <w:t xml:space="preserve">General </w:t>
      </w:r>
    </w:p>
    <w:p w14:paraId="0BC9897E" w14:textId="77777777" w:rsidR="009F0928" w:rsidRDefault="009F0928">
      <w:pPr>
        <w:spacing w:line="288" w:lineRule="auto"/>
        <w:ind w:firstLine="720"/>
        <w:jc w:val="both"/>
        <w:rPr>
          <w:rFonts w:ascii="Times New Roman" w:hAnsi="Times New Roman"/>
          <w:sz w:val="20"/>
          <w:szCs w:val="20"/>
        </w:rPr>
      </w:pPr>
    </w:p>
    <w:p w14:paraId="0BC9897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preparation of our consolidated financial statements and related notes requires us</w:t>
      </w:r>
      <w:r>
        <w:rPr>
          <w:rFonts w:ascii="Arial" w:eastAsia="宋体" w:hAnsi="Arial" w:cs="Arial"/>
          <w:sz w:val="20"/>
          <w:szCs w:val="20"/>
        </w:rPr>
        <w:t xml:space="preserve"> to make judgments, estimates and assumptions that affect the reported amounts of assets, liabilities, revenue and expenses, and related disclosure of contingent assets and liabilities. We have based our estimates on historical experience and on various ot</w:t>
      </w:r>
      <w:r>
        <w:rPr>
          <w:rFonts w:ascii="Arial" w:eastAsia="宋体" w:hAnsi="Arial" w:cs="Arial"/>
          <w:sz w:val="20"/>
          <w:szCs w:val="20"/>
        </w:rPr>
        <w:t>her assumptions that are believed to be reasonable under the circumstances, the results of which form the basis for making judgments about the carrying values of assets and liabilities that are not readily apparent from other sources. Our senior management</w:t>
      </w:r>
      <w:r>
        <w:rPr>
          <w:rFonts w:ascii="Arial" w:eastAsia="宋体" w:hAnsi="Arial" w:cs="Arial"/>
          <w:sz w:val="20"/>
          <w:szCs w:val="20"/>
        </w:rPr>
        <w:t xml:space="preserve"> has discussed the development, selection and disclosure of these estimates with the Audit Committee of our Board of Directors. Actual results may differ from these estimates under different assumptions or conditions. </w:t>
      </w:r>
    </w:p>
    <w:p w14:paraId="0BC98980" w14:textId="77777777" w:rsidR="009F0928" w:rsidRDefault="009F0928">
      <w:pPr>
        <w:spacing w:line="288" w:lineRule="auto"/>
        <w:ind w:firstLine="720"/>
        <w:jc w:val="both"/>
        <w:rPr>
          <w:rFonts w:ascii="Times New Roman" w:hAnsi="Times New Roman"/>
          <w:sz w:val="20"/>
          <w:szCs w:val="20"/>
        </w:rPr>
      </w:pPr>
    </w:p>
    <w:p w14:paraId="0BC9898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An accounting policy is considered t</w:t>
      </w:r>
      <w:r>
        <w:rPr>
          <w:rFonts w:ascii="Arial" w:eastAsia="宋体" w:hAnsi="Arial" w:cs="Arial"/>
          <w:sz w:val="20"/>
          <w:szCs w:val="20"/>
        </w:rPr>
        <w:t>o be critical if it requires an accounting estimate to be made based on assumptions about matters that are highly uncertain at the time the estimate is made, and if different estimates that reasonably could have been used, or changes in the accounting esti</w:t>
      </w:r>
      <w:r>
        <w:rPr>
          <w:rFonts w:ascii="Arial" w:eastAsia="宋体" w:hAnsi="Arial" w:cs="Arial"/>
          <w:sz w:val="20"/>
          <w:szCs w:val="20"/>
        </w:rPr>
        <w:t>mates that are reasonably likely to occur periodically, could materially impact the consolidated financial statements. We believe the following critical accounting policies reflect the more significant estimates and assumptions used in the preparation of o</w:t>
      </w:r>
      <w:r>
        <w:rPr>
          <w:rFonts w:ascii="Arial" w:eastAsia="宋体" w:hAnsi="Arial" w:cs="Arial"/>
          <w:sz w:val="20"/>
          <w:szCs w:val="20"/>
        </w:rPr>
        <w:t>ur consolidated financial statements. The following descriptions of critical accounting policies, judgments and estimates should be read in conjunction with our consolidated financial statements and related notes and other disclosures included in this repo</w:t>
      </w:r>
      <w:r>
        <w:rPr>
          <w:rFonts w:ascii="Arial" w:eastAsia="宋体" w:hAnsi="Arial" w:cs="Arial"/>
          <w:sz w:val="20"/>
          <w:szCs w:val="20"/>
        </w:rPr>
        <w:t xml:space="preserve">rt. </w:t>
      </w:r>
    </w:p>
    <w:p w14:paraId="0BC98982" w14:textId="77777777" w:rsidR="009F0928" w:rsidRDefault="009F0928">
      <w:pPr>
        <w:spacing w:line="288" w:lineRule="auto"/>
        <w:jc w:val="both"/>
        <w:rPr>
          <w:rFonts w:ascii="Times New Roman" w:hAnsi="Times New Roman"/>
          <w:sz w:val="20"/>
          <w:szCs w:val="20"/>
        </w:rPr>
      </w:pPr>
    </w:p>
    <w:p w14:paraId="0BC98983" w14:textId="77777777" w:rsidR="009F0928" w:rsidRDefault="002112BD">
      <w:pPr>
        <w:spacing w:line="288" w:lineRule="auto"/>
        <w:jc w:val="both"/>
        <w:rPr>
          <w:rFonts w:ascii="Times New Roman" w:hAnsi="Times New Roman"/>
          <w:sz w:val="20"/>
          <w:szCs w:val="20"/>
        </w:rPr>
      </w:pPr>
      <w:r>
        <w:rPr>
          <w:rFonts w:ascii="Arial" w:eastAsia="宋体" w:hAnsi="Arial" w:cs="Arial"/>
          <w:i/>
          <w:iCs/>
          <w:sz w:val="20"/>
          <w:szCs w:val="20"/>
        </w:rPr>
        <w:t>Revenue Recognition</w:t>
      </w:r>
    </w:p>
    <w:p w14:paraId="0BC98984" w14:textId="77777777" w:rsidR="009F0928" w:rsidRDefault="009F0928">
      <w:pPr>
        <w:spacing w:line="288" w:lineRule="auto"/>
        <w:jc w:val="both"/>
        <w:rPr>
          <w:rFonts w:ascii="Times New Roman" w:hAnsi="Times New Roman"/>
          <w:sz w:val="20"/>
          <w:szCs w:val="20"/>
        </w:rPr>
      </w:pPr>
    </w:p>
    <w:p w14:paraId="0BC9898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may enter into certain revenue contracts that include promises to transfer multiple goods or services including discounts on future services. We also may enter into arrangements to purchase services from certain </w:t>
      </w:r>
      <w:r>
        <w:rPr>
          <w:rFonts w:ascii="Arial" w:eastAsia="宋体" w:hAnsi="Arial" w:cs="Arial"/>
          <w:sz w:val="20"/>
          <w:szCs w:val="20"/>
        </w:rPr>
        <w:t>customers. As a result, significant interpretation and judgment is sometimes required to determine the appropriate accounting for these transactions including: (1) whether services are considered distinct performance obligations that should be accounted fo</w:t>
      </w:r>
      <w:r>
        <w:rPr>
          <w:rFonts w:ascii="Arial" w:eastAsia="宋体" w:hAnsi="Arial" w:cs="Arial"/>
          <w:sz w:val="20"/>
          <w:szCs w:val="20"/>
        </w:rPr>
        <w:t>r separately or combined; (2) developing an estimate of the stand-alone selling price of each distinct performance obligation; (3) whether revenue should be reported gross (as eBay is acting as a principal), or net (as eBay is acting as an agent); (4) eval</w:t>
      </w:r>
      <w:r>
        <w:rPr>
          <w:rFonts w:ascii="Arial" w:eastAsia="宋体" w:hAnsi="Arial" w:cs="Arial"/>
          <w:sz w:val="20"/>
          <w:szCs w:val="20"/>
        </w:rPr>
        <w:t xml:space="preserve">uating whether a promotion or incentive is a payment to a customer; and (5) whether the arrangement would be characterized as revenue or reimbursement of costs incurred. Changes in judgments with respect to these assumptions and estimates could impact the </w:t>
      </w:r>
      <w:r>
        <w:rPr>
          <w:rFonts w:ascii="Arial" w:eastAsia="宋体" w:hAnsi="Arial" w:cs="Arial"/>
          <w:sz w:val="20"/>
          <w:szCs w:val="20"/>
        </w:rPr>
        <w:t>timing or amount of revenue recognition.</w:t>
      </w:r>
    </w:p>
    <w:p w14:paraId="0BC98986" w14:textId="77777777" w:rsidR="009F0928" w:rsidRDefault="009F0928">
      <w:pPr>
        <w:spacing w:line="288" w:lineRule="auto"/>
        <w:jc w:val="both"/>
        <w:rPr>
          <w:rFonts w:ascii="Times New Roman" w:hAnsi="Times New Roman"/>
          <w:sz w:val="20"/>
          <w:szCs w:val="20"/>
        </w:rPr>
      </w:pPr>
    </w:p>
    <w:p w14:paraId="0BC98987" w14:textId="77777777" w:rsidR="009F0928" w:rsidRDefault="002112BD">
      <w:pPr>
        <w:spacing w:line="288" w:lineRule="auto"/>
        <w:jc w:val="both"/>
        <w:rPr>
          <w:rFonts w:ascii="Times New Roman" w:hAnsi="Times New Roman"/>
          <w:sz w:val="20"/>
          <w:szCs w:val="20"/>
        </w:rPr>
      </w:pPr>
      <w:r>
        <w:rPr>
          <w:rFonts w:ascii="Arial" w:eastAsia="宋体" w:hAnsi="Arial" w:cs="Arial"/>
          <w:i/>
          <w:iCs/>
          <w:sz w:val="20"/>
          <w:szCs w:val="20"/>
        </w:rPr>
        <w:t>Income Taxes</w:t>
      </w:r>
    </w:p>
    <w:p w14:paraId="0BC98988" w14:textId="77777777" w:rsidR="009F0928" w:rsidRDefault="009F0928">
      <w:pPr>
        <w:spacing w:line="288" w:lineRule="auto"/>
        <w:ind w:firstLine="720"/>
        <w:jc w:val="both"/>
        <w:rPr>
          <w:rFonts w:ascii="Times New Roman" w:hAnsi="Times New Roman"/>
          <w:sz w:val="20"/>
          <w:szCs w:val="20"/>
        </w:rPr>
      </w:pPr>
    </w:p>
    <w:p w14:paraId="0BC9898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Our annual tax rate is based on our income, statutory tax rates and tax planning opportunities available to us in the various jurisdictions in which we operate. Tax laws are complex and subject to dif</w:t>
      </w:r>
      <w:r>
        <w:rPr>
          <w:rFonts w:ascii="Arial" w:eastAsia="宋体" w:hAnsi="Arial" w:cs="Arial"/>
          <w:sz w:val="20"/>
          <w:szCs w:val="20"/>
        </w:rPr>
        <w:t>ferent interpretations by the taxpayer and respective government taxing authorities. Significant judgment is required in determining our tax expense and in evaluating our tax positions, including evaluating uncertainties and the complexity of taxes on fore</w:t>
      </w:r>
      <w:r>
        <w:rPr>
          <w:rFonts w:ascii="Arial" w:eastAsia="宋体" w:hAnsi="Arial" w:cs="Arial"/>
          <w:sz w:val="20"/>
          <w:szCs w:val="20"/>
        </w:rPr>
        <w:t>ign earnings. We review our tax positions quarterly and adjust the balances as new information becomes available. Tax positions are evaluated for potential reserves for uncertainty based on the estimated probability of sustaining the position under examina</w:t>
      </w:r>
      <w:r>
        <w:rPr>
          <w:rFonts w:ascii="Arial" w:eastAsia="宋体" w:hAnsi="Arial" w:cs="Arial"/>
          <w:sz w:val="20"/>
          <w:szCs w:val="20"/>
        </w:rPr>
        <w:t>tion. Our income tax rate is affected by the tax rates that apply to our foreign earnings including U.S. minimum taxes on foreign earnings. The deferred tax benefit derived from the amortization of our intellectual property is based on the fair value, whic</w:t>
      </w:r>
      <w:r>
        <w:rPr>
          <w:rFonts w:ascii="Arial" w:eastAsia="宋体" w:hAnsi="Arial" w:cs="Arial"/>
          <w:sz w:val="20"/>
          <w:szCs w:val="20"/>
        </w:rPr>
        <w:t>h has been agreed with foreign tax authorities. The deferred tax benefit may from time to time change based on changes in tax rates. As a result of U.S. tax reform and the current U.S. taxation of deemed repatriated earnings, management has no specific pla</w:t>
      </w:r>
      <w:r>
        <w:rPr>
          <w:rFonts w:ascii="Arial" w:eastAsia="宋体" w:hAnsi="Arial" w:cs="Arial"/>
          <w:sz w:val="20"/>
          <w:szCs w:val="20"/>
        </w:rPr>
        <w:t xml:space="preserve">ns to indefinitely reinvest the undistributed earnings of our foreign subsidiaries at the balance sheet date. </w:t>
      </w:r>
    </w:p>
    <w:p w14:paraId="0BC9898A" w14:textId="77777777" w:rsidR="009F0928" w:rsidRDefault="009F0928">
      <w:pPr>
        <w:spacing w:line="288" w:lineRule="auto"/>
        <w:ind w:firstLine="720"/>
        <w:jc w:val="both"/>
        <w:rPr>
          <w:rFonts w:ascii="Times New Roman" w:hAnsi="Times New Roman"/>
          <w:sz w:val="20"/>
          <w:szCs w:val="20"/>
        </w:rPr>
      </w:pPr>
    </w:p>
    <w:p w14:paraId="0BC9898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Deferred tax assets represent amounts available to reduce income taxes payable on taxable income in future years. Such assets arise because of t</w:t>
      </w:r>
      <w:r>
        <w:rPr>
          <w:rFonts w:ascii="Arial" w:eastAsia="宋体" w:hAnsi="Arial" w:cs="Arial"/>
          <w:sz w:val="20"/>
          <w:szCs w:val="20"/>
        </w:rPr>
        <w:t>emporary differences between the financial reporting and tax bases of assets and liabilities, as well as from net operating loss and tax credit carryforwards. We evaluate the recoverability of these future tax deductions and credits by assessing the adequa</w:t>
      </w:r>
      <w:r>
        <w:rPr>
          <w:rFonts w:ascii="Arial" w:eastAsia="宋体" w:hAnsi="Arial" w:cs="Arial"/>
          <w:sz w:val="20"/>
          <w:szCs w:val="20"/>
        </w:rPr>
        <w:t xml:space="preserve">cy of future expected taxable income from all sources, </w:t>
      </w:r>
    </w:p>
    <w:p w14:paraId="0BC9898C" w14:textId="77777777" w:rsidR="009F0928" w:rsidRDefault="009F0928">
      <w:pPr>
        <w:rPr>
          <w:rFonts w:ascii="Times New Roman" w:hAnsi="Times New Roman"/>
          <w:sz w:val="20"/>
          <w:szCs w:val="20"/>
        </w:rPr>
      </w:pPr>
    </w:p>
    <w:p w14:paraId="0BC9898D"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54</w:t>
      </w:r>
    </w:p>
    <w:p w14:paraId="0BC9898E" w14:textId="77777777" w:rsidR="009F0928" w:rsidRDefault="002112BD">
      <w:r>
        <w:rPr>
          <w:rFonts w:ascii="Times New Roman" w:hAnsi="Times New Roman"/>
          <w:sz w:val="18"/>
          <w:szCs w:val="18"/>
        </w:rPr>
        <w:pict w14:anchorId="0BC9B4F3">
          <v:rect id="_x0000_i1079" style="width:415.3pt;height:1.5pt" o:hralign="center" o:hrstd="t" o:hr="t" fillcolor="#a0a0a0" stroked="f"/>
        </w:pict>
      </w:r>
    </w:p>
    <w:p w14:paraId="0BC9898F" w14:textId="77777777" w:rsidR="009F0928" w:rsidRDefault="009F0928">
      <w:pPr>
        <w:spacing w:line="288" w:lineRule="auto"/>
        <w:rPr>
          <w:rFonts w:ascii="Times New Roman" w:hAnsi="Times New Roman"/>
          <w:sz w:val="20"/>
          <w:szCs w:val="20"/>
        </w:rPr>
      </w:pPr>
    </w:p>
    <w:p w14:paraId="0BC98990" w14:textId="77777777" w:rsidR="009F0928" w:rsidRDefault="009F0928">
      <w:pPr>
        <w:rPr>
          <w:rFonts w:ascii="Times New Roman" w:hAnsi="Times New Roman"/>
          <w:sz w:val="20"/>
          <w:szCs w:val="20"/>
        </w:rPr>
      </w:pPr>
    </w:p>
    <w:p w14:paraId="0BC98991"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xml:space="preserve">including reversal of taxable temporary differences, forecasted operating earnings and available tax planning strategies. These sources of income rely heavily on estimates that are based on a </w:t>
      </w:r>
      <w:r>
        <w:rPr>
          <w:rFonts w:ascii="Arial" w:eastAsia="宋体" w:hAnsi="Arial" w:cs="Arial"/>
          <w:sz w:val="20"/>
          <w:szCs w:val="20"/>
        </w:rPr>
        <w:t>number of factors, including our historical experience and short-range and long-range business forecasts. As of December 31, 2019, we had a valuation allowance on certain net operating loss and tax credit carryforwards based on our assessment that it is mo</w:t>
      </w:r>
      <w:r>
        <w:rPr>
          <w:rFonts w:ascii="Arial" w:eastAsia="宋体" w:hAnsi="Arial" w:cs="Arial"/>
          <w:sz w:val="20"/>
          <w:szCs w:val="20"/>
        </w:rPr>
        <w:t xml:space="preserve">re likely than not that the deferred tax asset will not be realized. </w:t>
      </w:r>
    </w:p>
    <w:p w14:paraId="0BC98992" w14:textId="77777777" w:rsidR="009F0928" w:rsidRDefault="009F0928">
      <w:pPr>
        <w:spacing w:line="288" w:lineRule="auto"/>
        <w:ind w:firstLine="720"/>
        <w:jc w:val="both"/>
        <w:rPr>
          <w:rFonts w:ascii="Times New Roman" w:hAnsi="Times New Roman"/>
          <w:sz w:val="20"/>
          <w:szCs w:val="20"/>
        </w:rPr>
      </w:pPr>
    </w:p>
    <w:p w14:paraId="0BC9899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recognize and measure uncertain tax positions in accordance with generally accepted accounting principles in the U.S., or GAAP, pursuant to which we only recognize the tax benefit fr</w:t>
      </w:r>
      <w:r>
        <w:rPr>
          <w:rFonts w:ascii="Arial" w:eastAsia="宋体" w:hAnsi="Arial" w:cs="Arial"/>
          <w:sz w:val="20"/>
          <w:szCs w:val="20"/>
        </w:rPr>
        <w:t>om an uncertain tax position if it is more likely than not that the tax position will be sustained on examination by the taxing authorities, based on the technical merits of the position. The tax benefits recognized in the financial statements from such po</w:t>
      </w:r>
      <w:r>
        <w:rPr>
          <w:rFonts w:ascii="Arial" w:eastAsia="宋体" w:hAnsi="Arial" w:cs="Arial"/>
          <w:sz w:val="20"/>
          <w:szCs w:val="20"/>
        </w:rPr>
        <w:t>sitions are then measured based on the largest benefit that has a greater than 50 percent likelihood of being realized upon ultimate settlement. We report a liability for unrecognized tax benefits resulting from uncertain tax positions taken or expected to</w:t>
      </w:r>
      <w:r>
        <w:rPr>
          <w:rFonts w:ascii="Arial" w:eastAsia="宋体" w:hAnsi="Arial" w:cs="Arial"/>
          <w:sz w:val="20"/>
          <w:szCs w:val="20"/>
        </w:rPr>
        <w:t xml:space="preserve"> be taken in a tax return. GAAP further requires that a change in judgment related to the expected ultimate resolution of uncertain tax positions be recognized in earnings in the quarter in which such change occurs. We recognize interest and penalties, if </w:t>
      </w:r>
      <w:r>
        <w:rPr>
          <w:rFonts w:ascii="Arial" w:eastAsia="宋体" w:hAnsi="Arial" w:cs="Arial"/>
          <w:sz w:val="20"/>
          <w:szCs w:val="20"/>
        </w:rPr>
        <w:t xml:space="preserve">any, related to unrecognized tax benefits in income tax expense. </w:t>
      </w:r>
    </w:p>
    <w:p w14:paraId="0BC98994" w14:textId="77777777" w:rsidR="009F0928" w:rsidRDefault="009F0928">
      <w:pPr>
        <w:spacing w:line="288" w:lineRule="auto"/>
        <w:ind w:firstLine="720"/>
        <w:jc w:val="both"/>
        <w:rPr>
          <w:rFonts w:ascii="Times New Roman" w:hAnsi="Times New Roman"/>
          <w:sz w:val="20"/>
          <w:szCs w:val="20"/>
        </w:rPr>
      </w:pPr>
    </w:p>
    <w:p w14:paraId="0BC9899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file annual income tax returns in multiple taxing jurisdictions around the world. A number of years may elapse before an uncertain tax position is audited by the relevant tax authorities</w:t>
      </w:r>
      <w:r>
        <w:rPr>
          <w:rFonts w:ascii="Arial" w:eastAsia="宋体" w:hAnsi="Arial" w:cs="Arial"/>
          <w:sz w:val="20"/>
          <w:szCs w:val="20"/>
        </w:rPr>
        <w:t xml:space="preserve"> and finally resolved. While it is often difficult to predict the final outcome or the timing of resolution of any particular uncertain tax position, we believe that our reserves for income taxes reflect the most likely outcome. We adjust these reserves, a</w:t>
      </w:r>
      <w:r>
        <w:rPr>
          <w:rFonts w:ascii="Arial" w:eastAsia="宋体" w:hAnsi="Arial" w:cs="Arial"/>
          <w:sz w:val="20"/>
          <w:szCs w:val="20"/>
        </w:rPr>
        <w:t xml:space="preserve">s well as the related interest, where appropriate in light of changing facts and circumstances. Settlement of any particular position could require the use of cash. </w:t>
      </w:r>
    </w:p>
    <w:p w14:paraId="0BC98996" w14:textId="77777777" w:rsidR="009F0928" w:rsidRDefault="009F0928">
      <w:pPr>
        <w:spacing w:line="288" w:lineRule="auto"/>
        <w:ind w:firstLine="720"/>
        <w:jc w:val="both"/>
        <w:rPr>
          <w:rFonts w:ascii="Times New Roman" w:hAnsi="Times New Roman"/>
          <w:sz w:val="20"/>
          <w:szCs w:val="20"/>
        </w:rPr>
      </w:pPr>
    </w:p>
    <w:p w14:paraId="0BC9899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following table illustrates our effective tax rates for 2019, 2018 and 2017: </w:t>
      </w:r>
    </w:p>
    <w:tbl>
      <w:tblPr>
        <w:tblW w:w="5000" w:type="pct"/>
        <w:tblCellMar>
          <w:left w:w="0" w:type="dxa"/>
          <w:right w:w="0" w:type="dxa"/>
        </w:tblCellMar>
        <w:tblLook w:val="04A0" w:firstRow="1" w:lastRow="0" w:firstColumn="1" w:lastColumn="0" w:noHBand="0" w:noVBand="1"/>
      </w:tblPr>
      <w:tblGrid>
        <w:gridCol w:w="4744"/>
        <w:gridCol w:w="141"/>
        <w:gridCol w:w="758"/>
        <w:gridCol w:w="201"/>
        <w:gridCol w:w="131"/>
        <w:gridCol w:w="141"/>
        <w:gridCol w:w="758"/>
        <w:gridCol w:w="201"/>
        <w:gridCol w:w="131"/>
        <w:gridCol w:w="141"/>
        <w:gridCol w:w="758"/>
        <w:gridCol w:w="201"/>
      </w:tblGrid>
      <w:tr w:rsidR="009F0928" w14:paraId="0BC98999" w14:textId="77777777">
        <w:tc>
          <w:tcPr>
            <w:tcW w:w="0" w:type="auto"/>
            <w:gridSpan w:val="12"/>
            <w:shd w:val="clear" w:color="auto" w:fill="auto"/>
            <w:vAlign w:val="center"/>
          </w:tcPr>
          <w:p w14:paraId="0BC98998" w14:textId="77777777" w:rsidR="009F0928" w:rsidRDefault="009F0928">
            <w:pPr>
              <w:rPr>
                <w:rFonts w:ascii="Times New Roman" w:hAnsi="Times New Roman"/>
                <w:sz w:val="20"/>
                <w:szCs w:val="20"/>
              </w:rPr>
            </w:pPr>
          </w:p>
        </w:tc>
      </w:tr>
      <w:tr w:rsidR="009F0928" w14:paraId="0BC989A6" w14:textId="77777777">
        <w:tc>
          <w:tcPr>
            <w:tcW w:w="2950" w:type="pct"/>
            <w:shd w:val="clear" w:color="auto" w:fill="auto"/>
            <w:vAlign w:val="center"/>
          </w:tcPr>
          <w:p w14:paraId="0BC9899A" w14:textId="77777777" w:rsidR="009F0928" w:rsidRDefault="009F0928">
            <w:pPr>
              <w:rPr>
                <w:rFonts w:ascii="Times New Roman" w:hAnsi="Times New Roman"/>
                <w:sz w:val="20"/>
                <w:szCs w:val="20"/>
              </w:rPr>
            </w:pPr>
          </w:p>
        </w:tc>
        <w:tc>
          <w:tcPr>
            <w:tcW w:w="50" w:type="pct"/>
            <w:shd w:val="clear" w:color="auto" w:fill="auto"/>
            <w:vAlign w:val="center"/>
          </w:tcPr>
          <w:p w14:paraId="0BC9899B" w14:textId="77777777" w:rsidR="009F0928" w:rsidRDefault="009F0928">
            <w:pPr>
              <w:rPr>
                <w:rFonts w:ascii="Times New Roman" w:hAnsi="Times New Roman"/>
                <w:sz w:val="20"/>
                <w:szCs w:val="20"/>
              </w:rPr>
            </w:pPr>
          </w:p>
        </w:tc>
        <w:tc>
          <w:tcPr>
            <w:tcW w:w="550" w:type="pct"/>
            <w:shd w:val="clear" w:color="auto" w:fill="auto"/>
            <w:vAlign w:val="center"/>
          </w:tcPr>
          <w:p w14:paraId="0BC9899C" w14:textId="77777777" w:rsidR="009F0928" w:rsidRDefault="009F0928">
            <w:pPr>
              <w:rPr>
                <w:rFonts w:ascii="Times New Roman" w:hAnsi="Times New Roman"/>
                <w:sz w:val="20"/>
                <w:szCs w:val="20"/>
              </w:rPr>
            </w:pPr>
          </w:p>
        </w:tc>
        <w:tc>
          <w:tcPr>
            <w:tcW w:w="50" w:type="pct"/>
            <w:shd w:val="clear" w:color="auto" w:fill="auto"/>
            <w:vAlign w:val="center"/>
          </w:tcPr>
          <w:p w14:paraId="0BC9899D" w14:textId="77777777" w:rsidR="009F0928" w:rsidRDefault="009F0928">
            <w:pPr>
              <w:rPr>
                <w:rFonts w:ascii="Times New Roman" w:hAnsi="Times New Roman"/>
                <w:sz w:val="20"/>
                <w:szCs w:val="20"/>
              </w:rPr>
            </w:pPr>
          </w:p>
        </w:tc>
        <w:tc>
          <w:tcPr>
            <w:tcW w:w="50" w:type="pct"/>
            <w:shd w:val="clear" w:color="auto" w:fill="auto"/>
            <w:vAlign w:val="center"/>
          </w:tcPr>
          <w:p w14:paraId="0BC9899E" w14:textId="77777777" w:rsidR="009F0928" w:rsidRDefault="009F0928">
            <w:pPr>
              <w:rPr>
                <w:rFonts w:ascii="Times New Roman" w:hAnsi="Times New Roman"/>
                <w:sz w:val="20"/>
                <w:szCs w:val="20"/>
              </w:rPr>
            </w:pPr>
          </w:p>
        </w:tc>
        <w:tc>
          <w:tcPr>
            <w:tcW w:w="50" w:type="pct"/>
            <w:shd w:val="clear" w:color="auto" w:fill="auto"/>
            <w:vAlign w:val="center"/>
          </w:tcPr>
          <w:p w14:paraId="0BC9899F" w14:textId="77777777" w:rsidR="009F0928" w:rsidRDefault="009F0928">
            <w:pPr>
              <w:rPr>
                <w:rFonts w:ascii="Times New Roman" w:hAnsi="Times New Roman"/>
                <w:sz w:val="20"/>
                <w:szCs w:val="20"/>
              </w:rPr>
            </w:pPr>
          </w:p>
        </w:tc>
        <w:tc>
          <w:tcPr>
            <w:tcW w:w="550" w:type="pct"/>
            <w:shd w:val="clear" w:color="auto" w:fill="auto"/>
            <w:vAlign w:val="center"/>
          </w:tcPr>
          <w:p w14:paraId="0BC989A0" w14:textId="77777777" w:rsidR="009F0928" w:rsidRDefault="009F0928">
            <w:pPr>
              <w:rPr>
                <w:rFonts w:ascii="Times New Roman" w:hAnsi="Times New Roman"/>
                <w:sz w:val="20"/>
                <w:szCs w:val="20"/>
              </w:rPr>
            </w:pPr>
          </w:p>
        </w:tc>
        <w:tc>
          <w:tcPr>
            <w:tcW w:w="50" w:type="pct"/>
            <w:shd w:val="clear" w:color="auto" w:fill="auto"/>
            <w:vAlign w:val="center"/>
          </w:tcPr>
          <w:p w14:paraId="0BC989A1" w14:textId="77777777" w:rsidR="009F0928" w:rsidRDefault="009F0928">
            <w:pPr>
              <w:rPr>
                <w:rFonts w:ascii="Times New Roman" w:hAnsi="Times New Roman"/>
                <w:sz w:val="20"/>
                <w:szCs w:val="20"/>
              </w:rPr>
            </w:pPr>
          </w:p>
        </w:tc>
        <w:tc>
          <w:tcPr>
            <w:tcW w:w="50" w:type="pct"/>
            <w:shd w:val="clear" w:color="auto" w:fill="auto"/>
            <w:vAlign w:val="center"/>
          </w:tcPr>
          <w:p w14:paraId="0BC989A2" w14:textId="77777777" w:rsidR="009F0928" w:rsidRDefault="009F0928">
            <w:pPr>
              <w:rPr>
                <w:rFonts w:ascii="Times New Roman" w:hAnsi="Times New Roman"/>
                <w:sz w:val="20"/>
                <w:szCs w:val="20"/>
              </w:rPr>
            </w:pPr>
          </w:p>
        </w:tc>
        <w:tc>
          <w:tcPr>
            <w:tcW w:w="50" w:type="pct"/>
            <w:shd w:val="clear" w:color="auto" w:fill="auto"/>
            <w:vAlign w:val="center"/>
          </w:tcPr>
          <w:p w14:paraId="0BC989A3" w14:textId="77777777" w:rsidR="009F0928" w:rsidRDefault="009F0928">
            <w:pPr>
              <w:rPr>
                <w:rFonts w:ascii="Times New Roman" w:hAnsi="Times New Roman"/>
                <w:sz w:val="20"/>
                <w:szCs w:val="20"/>
              </w:rPr>
            </w:pPr>
          </w:p>
        </w:tc>
        <w:tc>
          <w:tcPr>
            <w:tcW w:w="550" w:type="pct"/>
            <w:shd w:val="clear" w:color="auto" w:fill="auto"/>
            <w:vAlign w:val="center"/>
          </w:tcPr>
          <w:p w14:paraId="0BC989A4" w14:textId="77777777" w:rsidR="009F0928" w:rsidRDefault="009F0928">
            <w:pPr>
              <w:rPr>
                <w:rFonts w:ascii="Times New Roman" w:hAnsi="Times New Roman"/>
                <w:sz w:val="20"/>
                <w:szCs w:val="20"/>
              </w:rPr>
            </w:pPr>
          </w:p>
        </w:tc>
        <w:tc>
          <w:tcPr>
            <w:tcW w:w="50" w:type="pct"/>
            <w:shd w:val="clear" w:color="auto" w:fill="auto"/>
            <w:vAlign w:val="center"/>
          </w:tcPr>
          <w:p w14:paraId="0BC989A5" w14:textId="77777777" w:rsidR="009F0928" w:rsidRDefault="009F0928">
            <w:pPr>
              <w:rPr>
                <w:rFonts w:ascii="Times New Roman" w:hAnsi="Times New Roman"/>
                <w:sz w:val="20"/>
                <w:szCs w:val="20"/>
              </w:rPr>
            </w:pPr>
          </w:p>
        </w:tc>
      </w:tr>
      <w:tr w:rsidR="009F0928" w14:paraId="0BC989A9" w14:textId="77777777">
        <w:tc>
          <w:tcPr>
            <w:tcW w:w="0" w:type="auto"/>
            <w:shd w:val="clear" w:color="auto" w:fill="auto"/>
            <w:tcMar>
              <w:top w:w="40" w:type="dxa"/>
              <w:left w:w="40" w:type="dxa"/>
              <w:bottom w:w="40" w:type="dxa"/>
              <w:right w:w="40" w:type="dxa"/>
            </w:tcMar>
            <w:vAlign w:val="bottom"/>
          </w:tcPr>
          <w:p w14:paraId="0BC989A7"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89A8"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w:t>
            </w:r>
          </w:p>
        </w:tc>
      </w:tr>
      <w:tr w:rsidR="009F0928" w14:paraId="0BC989B0" w14:textId="77777777">
        <w:tc>
          <w:tcPr>
            <w:tcW w:w="0" w:type="auto"/>
            <w:shd w:val="clear" w:color="auto" w:fill="auto"/>
            <w:tcMar>
              <w:top w:w="40" w:type="dxa"/>
              <w:left w:w="40" w:type="dxa"/>
              <w:bottom w:w="40" w:type="dxa"/>
              <w:right w:w="40" w:type="dxa"/>
            </w:tcMar>
            <w:vAlign w:val="bottom"/>
          </w:tcPr>
          <w:p w14:paraId="0BC989AA"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9AB"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89A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9A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0BC989AE"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9A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2017</w:t>
            </w:r>
          </w:p>
        </w:tc>
      </w:tr>
      <w:tr w:rsidR="009F0928" w14:paraId="0BC989B3" w14:textId="77777777">
        <w:tc>
          <w:tcPr>
            <w:tcW w:w="0" w:type="auto"/>
            <w:shd w:val="clear" w:color="auto" w:fill="auto"/>
            <w:tcMar>
              <w:top w:w="40" w:type="dxa"/>
              <w:left w:w="40" w:type="dxa"/>
              <w:bottom w:w="40" w:type="dxa"/>
              <w:right w:w="40" w:type="dxa"/>
            </w:tcMar>
            <w:vAlign w:val="bottom"/>
          </w:tcPr>
          <w:p w14:paraId="0BC989B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0BC989B2"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(In millions, except percentages)</w:t>
            </w:r>
          </w:p>
        </w:tc>
      </w:tr>
      <w:tr w:rsidR="009F0928" w14:paraId="0BC989C0" w14:textId="77777777">
        <w:tc>
          <w:tcPr>
            <w:tcW w:w="0" w:type="auto"/>
            <w:shd w:val="clear" w:color="auto" w:fill="E2E2E2"/>
            <w:tcMar>
              <w:top w:w="40" w:type="dxa"/>
              <w:left w:w="40" w:type="dxa"/>
              <w:bottom w:w="40" w:type="dxa"/>
              <w:right w:w="40" w:type="dxa"/>
            </w:tcMar>
            <w:vAlign w:val="bottom"/>
          </w:tcPr>
          <w:p w14:paraId="0BC989B4" w14:textId="77777777" w:rsidR="009F0928" w:rsidRDefault="002112BD">
            <w:pPr>
              <w:textAlignment w:val="bottom"/>
              <w:rPr>
                <w:rFonts w:ascii="Times New Roman" w:hAnsi="Times New Roman"/>
                <w:sz w:val="18"/>
                <w:szCs w:val="18"/>
              </w:rPr>
            </w:pPr>
            <w:r>
              <w:rPr>
                <w:rFonts w:ascii="Arial" w:eastAsia="宋体" w:hAnsi="Arial" w:cs="Arial"/>
                <w:sz w:val="18"/>
                <w:szCs w:val="18"/>
              </w:rPr>
              <w:t>Income tax provision (benefit)</w:t>
            </w:r>
          </w:p>
        </w:tc>
        <w:tc>
          <w:tcPr>
            <w:tcW w:w="0" w:type="auto"/>
            <w:shd w:val="clear" w:color="auto" w:fill="E2E2E2"/>
            <w:tcMar>
              <w:top w:w="40" w:type="dxa"/>
              <w:left w:w="40" w:type="dxa"/>
              <w:bottom w:w="40" w:type="dxa"/>
            </w:tcMar>
            <w:vAlign w:val="bottom"/>
          </w:tcPr>
          <w:p w14:paraId="0BC989B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89B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415</w:t>
            </w:r>
          </w:p>
        </w:tc>
        <w:tc>
          <w:tcPr>
            <w:tcW w:w="0" w:type="auto"/>
            <w:shd w:val="clear" w:color="auto" w:fill="E2E2E2"/>
            <w:vAlign w:val="bottom"/>
          </w:tcPr>
          <w:p w14:paraId="0BC989B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9B8"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tcMar>
            <w:vAlign w:val="bottom"/>
          </w:tcPr>
          <w:p w14:paraId="0BC989B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89B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190</w:t>
            </w:r>
          </w:p>
        </w:tc>
        <w:tc>
          <w:tcPr>
            <w:tcW w:w="0" w:type="auto"/>
            <w:shd w:val="clear" w:color="auto" w:fill="E2E2E2"/>
            <w:vAlign w:val="bottom"/>
          </w:tcPr>
          <w:p w14:paraId="0BC989B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9BC"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tcMar>
            <w:vAlign w:val="bottom"/>
          </w:tcPr>
          <w:p w14:paraId="0BC989B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89B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3,288</w:t>
            </w:r>
          </w:p>
        </w:tc>
        <w:tc>
          <w:tcPr>
            <w:tcW w:w="0" w:type="auto"/>
            <w:shd w:val="clear" w:color="auto" w:fill="E2E2E2"/>
            <w:vAlign w:val="bottom"/>
          </w:tcPr>
          <w:p w14:paraId="0BC989BF" w14:textId="77777777" w:rsidR="009F0928" w:rsidRDefault="009F0928">
            <w:pPr>
              <w:textAlignment w:val="bottom"/>
              <w:rPr>
                <w:rFonts w:ascii="Times New Roman" w:hAnsi="Times New Roman"/>
                <w:sz w:val="20"/>
                <w:szCs w:val="20"/>
              </w:rPr>
            </w:pPr>
          </w:p>
        </w:tc>
      </w:tr>
      <w:tr w:rsidR="009F0928" w14:paraId="0BC989CA" w14:textId="77777777">
        <w:tc>
          <w:tcPr>
            <w:tcW w:w="0" w:type="auto"/>
            <w:shd w:val="clear" w:color="auto" w:fill="auto"/>
            <w:tcMar>
              <w:top w:w="40" w:type="dxa"/>
              <w:left w:w="40" w:type="dxa"/>
              <w:bottom w:w="40" w:type="dxa"/>
              <w:right w:w="40" w:type="dxa"/>
            </w:tcMar>
            <w:vAlign w:val="bottom"/>
          </w:tcPr>
          <w:p w14:paraId="0BC989C1" w14:textId="77777777" w:rsidR="009F0928" w:rsidRDefault="002112BD">
            <w:pPr>
              <w:textAlignment w:val="bottom"/>
              <w:rPr>
                <w:rFonts w:ascii="Times New Roman" w:hAnsi="Times New Roman"/>
                <w:sz w:val="18"/>
                <w:szCs w:val="18"/>
              </w:rPr>
            </w:pPr>
            <w:r>
              <w:rPr>
                <w:rFonts w:ascii="Arial" w:eastAsia="宋体" w:hAnsi="Arial" w:cs="Arial"/>
                <w:i/>
                <w:iCs/>
                <w:sz w:val="18"/>
                <w:szCs w:val="18"/>
              </w:rPr>
              <w:t>Effective tax rate</w:t>
            </w:r>
          </w:p>
        </w:tc>
        <w:tc>
          <w:tcPr>
            <w:tcW w:w="0" w:type="auto"/>
            <w:gridSpan w:val="2"/>
            <w:shd w:val="clear" w:color="auto" w:fill="auto"/>
            <w:tcMar>
              <w:top w:w="40" w:type="dxa"/>
              <w:left w:w="40" w:type="dxa"/>
              <w:bottom w:w="40" w:type="dxa"/>
            </w:tcMar>
            <w:vAlign w:val="bottom"/>
          </w:tcPr>
          <w:p w14:paraId="0BC989C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18.8</w:t>
            </w:r>
          </w:p>
        </w:tc>
        <w:tc>
          <w:tcPr>
            <w:tcW w:w="0" w:type="auto"/>
            <w:shd w:val="clear" w:color="auto" w:fill="auto"/>
            <w:tcMar>
              <w:top w:w="40" w:type="dxa"/>
              <w:bottom w:w="40" w:type="dxa"/>
              <w:right w:w="40" w:type="dxa"/>
            </w:tcMar>
            <w:vAlign w:val="bottom"/>
          </w:tcPr>
          <w:p w14:paraId="0BC989C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89C4"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89C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7.0</w:t>
            </w:r>
          </w:p>
        </w:tc>
        <w:tc>
          <w:tcPr>
            <w:tcW w:w="0" w:type="auto"/>
            <w:shd w:val="clear" w:color="auto" w:fill="auto"/>
            <w:tcMar>
              <w:top w:w="40" w:type="dxa"/>
              <w:bottom w:w="40" w:type="dxa"/>
              <w:right w:w="40" w:type="dxa"/>
            </w:tcMar>
            <w:vAlign w:val="bottom"/>
          </w:tcPr>
          <w:p w14:paraId="0BC989C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89C7"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89C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144.5</w:t>
            </w:r>
          </w:p>
        </w:tc>
        <w:tc>
          <w:tcPr>
            <w:tcW w:w="0" w:type="auto"/>
            <w:shd w:val="clear" w:color="auto" w:fill="auto"/>
            <w:tcMar>
              <w:top w:w="40" w:type="dxa"/>
              <w:bottom w:w="40" w:type="dxa"/>
              <w:right w:w="40" w:type="dxa"/>
            </w:tcMar>
            <w:vAlign w:val="bottom"/>
          </w:tcPr>
          <w:p w14:paraId="0BC989C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bl>
    <w:p w14:paraId="0BC989CB" w14:textId="77777777" w:rsidR="009F0928" w:rsidRDefault="009F0928">
      <w:pPr>
        <w:spacing w:line="288" w:lineRule="auto"/>
        <w:ind w:firstLine="720"/>
        <w:jc w:val="both"/>
        <w:rPr>
          <w:rFonts w:ascii="Times New Roman" w:hAnsi="Times New Roman"/>
          <w:sz w:val="20"/>
          <w:szCs w:val="20"/>
        </w:rPr>
      </w:pPr>
    </w:p>
    <w:p w14:paraId="0BC989CC"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Our future effective tax rates could be adversely affected by earnings being lower than anticipated in countries where we have lower statutory rates and higher than anticipated in countries where we have higher statutory rates, by changes in the valuation </w:t>
      </w:r>
      <w:r>
        <w:rPr>
          <w:rFonts w:ascii="Arial" w:eastAsia="宋体" w:hAnsi="Arial" w:cs="Arial"/>
          <w:sz w:val="20"/>
          <w:szCs w:val="20"/>
        </w:rPr>
        <w:t>of our deferred tax assets or liabilities, or by changes or interpretations in tax laws, regulations or accounting principles. In addition, we are subject to the continuous examination of our income tax returns by the Internal Revenue Service, as well as v</w:t>
      </w:r>
      <w:r>
        <w:rPr>
          <w:rFonts w:ascii="Arial" w:eastAsia="宋体" w:hAnsi="Arial" w:cs="Arial"/>
          <w:sz w:val="20"/>
          <w:szCs w:val="20"/>
        </w:rPr>
        <w:t xml:space="preserve">arious state and foreign tax authorities. We regularly assess the likelihood of adverse outcomes resulting from these examinations to determine the adequacy of our provision for income taxes. </w:t>
      </w:r>
    </w:p>
    <w:p w14:paraId="0BC989CD" w14:textId="77777777" w:rsidR="009F0928" w:rsidRDefault="009F0928">
      <w:pPr>
        <w:spacing w:line="288" w:lineRule="auto"/>
        <w:ind w:firstLine="720"/>
        <w:jc w:val="both"/>
        <w:rPr>
          <w:rFonts w:ascii="Times New Roman" w:hAnsi="Times New Roman"/>
          <w:sz w:val="20"/>
          <w:szCs w:val="20"/>
        </w:rPr>
      </w:pPr>
    </w:p>
    <w:p w14:paraId="0BC989C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Based on our results for the year ended December 31, 2019, a one-percentage point change in our provision for income taxes as a percentage of income before taxes would have resulted in an increase or decrease in the provision of approximately $22 million, </w:t>
      </w:r>
      <w:r>
        <w:rPr>
          <w:rFonts w:ascii="Arial" w:eastAsia="宋体" w:hAnsi="Arial" w:cs="Arial"/>
          <w:sz w:val="20"/>
          <w:szCs w:val="20"/>
        </w:rPr>
        <w:t xml:space="preserve">resulting in an approximate $0.03 change in diluted earnings per share. </w:t>
      </w:r>
    </w:p>
    <w:p w14:paraId="0BC989CF" w14:textId="77777777" w:rsidR="009F0928" w:rsidRDefault="009F0928">
      <w:pPr>
        <w:spacing w:line="288" w:lineRule="auto"/>
        <w:jc w:val="both"/>
        <w:rPr>
          <w:rFonts w:ascii="Times New Roman" w:hAnsi="Times New Roman"/>
          <w:sz w:val="20"/>
          <w:szCs w:val="20"/>
        </w:rPr>
      </w:pPr>
    </w:p>
    <w:p w14:paraId="0BC989D0" w14:textId="77777777" w:rsidR="009F0928" w:rsidRDefault="002112BD">
      <w:pPr>
        <w:spacing w:line="288" w:lineRule="auto"/>
        <w:jc w:val="both"/>
        <w:rPr>
          <w:rFonts w:ascii="Times New Roman" w:hAnsi="Times New Roman"/>
          <w:sz w:val="20"/>
          <w:szCs w:val="20"/>
        </w:rPr>
      </w:pPr>
      <w:r>
        <w:rPr>
          <w:rFonts w:ascii="Arial" w:eastAsia="宋体" w:hAnsi="Arial" w:cs="Arial"/>
          <w:i/>
          <w:iCs/>
          <w:sz w:val="20"/>
          <w:szCs w:val="20"/>
        </w:rPr>
        <w:t xml:space="preserve">Goodwill and Intangible Assets </w:t>
      </w:r>
    </w:p>
    <w:p w14:paraId="0BC989D1" w14:textId="77777777" w:rsidR="009F0928" w:rsidRDefault="009F0928">
      <w:pPr>
        <w:spacing w:line="288" w:lineRule="auto"/>
        <w:jc w:val="both"/>
        <w:rPr>
          <w:rFonts w:ascii="Times New Roman" w:hAnsi="Times New Roman"/>
          <w:sz w:val="20"/>
          <w:szCs w:val="20"/>
        </w:rPr>
      </w:pPr>
    </w:p>
    <w:p w14:paraId="0BC989D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purchase price of an acquired company is allocated between intangible assets and the net tangible assets of the acquired business with the residu</w:t>
      </w:r>
      <w:r>
        <w:rPr>
          <w:rFonts w:ascii="Arial" w:eastAsia="宋体" w:hAnsi="Arial" w:cs="Arial"/>
          <w:sz w:val="20"/>
          <w:szCs w:val="20"/>
        </w:rPr>
        <w:t>al of the purchase price recorded as goodwill. The determination of the value of the intangible assets acquired involves certain judgments and estimates. These judgments can include, but are not limited to, the cash flows that an asset is expected to gener</w:t>
      </w:r>
      <w:r>
        <w:rPr>
          <w:rFonts w:ascii="Arial" w:eastAsia="宋体" w:hAnsi="Arial" w:cs="Arial"/>
          <w:sz w:val="20"/>
          <w:szCs w:val="20"/>
        </w:rPr>
        <w:t xml:space="preserve">ate in the future and the appropriate weighted average cost of capital. </w:t>
      </w:r>
    </w:p>
    <w:p w14:paraId="0BC989D3" w14:textId="77777777" w:rsidR="009F0928" w:rsidRDefault="009F0928">
      <w:pPr>
        <w:spacing w:line="288" w:lineRule="auto"/>
        <w:ind w:firstLine="720"/>
        <w:jc w:val="both"/>
        <w:rPr>
          <w:rFonts w:ascii="Times New Roman" w:hAnsi="Times New Roman"/>
          <w:sz w:val="20"/>
          <w:szCs w:val="20"/>
        </w:rPr>
      </w:pPr>
    </w:p>
    <w:p w14:paraId="0BC989D4"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As of December 31, 2019, our goodwill totaled $5.2 billion and our identifiable intangible assets, net totaled $67 million. We assess the impairment of goodwill of our reporting unit</w:t>
      </w:r>
      <w:r>
        <w:rPr>
          <w:rFonts w:ascii="Arial" w:eastAsia="宋体" w:hAnsi="Arial" w:cs="Arial"/>
          <w:sz w:val="20"/>
          <w:szCs w:val="20"/>
        </w:rPr>
        <w:t>s annually, or more often if events or changes in circumstances indicate that the carrying value may not be recoverable. Goodwill is tested for impairment at the reporting unit level by first performing a qualitative assessment to determine whether it is m</w:t>
      </w:r>
      <w:r>
        <w:rPr>
          <w:rFonts w:ascii="Arial" w:eastAsia="宋体" w:hAnsi="Arial" w:cs="Arial"/>
          <w:sz w:val="20"/>
          <w:szCs w:val="20"/>
        </w:rPr>
        <w:t>ore likely than not that the fair value of the reporting unit is less than its carrying value. If the reporting unit does not pass the qualitative assessment, then the reporting unit’s carrying value is compared to its fair value. The fair values of the re</w:t>
      </w:r>
      <w:r>
        <w:rPr>
          <w:rFonts w:ascii="Arial" w:eastAsia="宋体" w:hAnsi="Arial" w:cs="Arial"/>
          <w:sz w:val="20"/>
          <w:szCs w:val="20"/>
        </w:rPr>
        <w:t xml:space="preserve">porting units are estimated using market and discounted cash flow approaches. Goodwill is considered impaired if the carrying value of the reporting unit exceeds its fair value. The discounted cash flow approach uses expected future operating results. The </w:t>
      </w:r>
      <w:r>
        <w:rPr>
          <w:rFonts w:ascii="Arial" w:eastAsia="宋体" w:hAnsi="Arial" w:cs="Arial"/>
          <w:sz w:val="20"/>
          <w:szCs w:val="20"/>
        </w:rPr>
        <w:t xml:space="preserve">market </w:t>
      </w:r>
    </w:p>
    <w:p w14:paraId="0BC989D5" w14:textId="77777777" w:rsidR="009F0928" w:rsidRDefault="009F0928">
      <w:pPr>
        <w:rPr>
          <w:rFonts w:ascii="Times New Roman" w:hAnsi="Times New Roman"/>
          <w:sz w:val="20"/>
          <w:szCs w:val="20"/>
        </w:rPr>
      </w:pPr>
    </w:p>
    <w:p w14:paraId="0BC989D6"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55</w:t>
      </w:r>
    </w:p>
    <w:p w14:paraId="0BC989D7" w14:textId="77777777" w:rsidR="009F0928" w:rsidRDefault="002112BD">
      <w:r>
        <w:rPr>
          <w:rFonts w:ascii="Times New Roman" w:hAnsi="Times New Roman"/>
          <w:sz w:val="18"/>
          <w:szCs w:val="18"/>
        </w:rPr>
        <w:pict w14:anchorId="0BC9B4F4">
          <v:rect id="_x0000_i1080" style="width:415.3pt;height:1.5pt" o:hralign="center" o:hrstd="t" o:hr="t" fillcolor="#a0a0a0" stroked="f"/>
        </w:pict>
      </w:r>
    </w:p>
    <w:p w14:paraId="0BC989D8" w14:textId="77777777" w:rsidR="009F0928" w:rsidRDefault="009F0928">
      <w:pPr>
        <w:spacing w:line="288" w:lineRule="auto"/>
        <w:rPr>
          <w:rFonts w:ascii="Times New Roman" w:hAnsi="Times New Roman"/>
          <w:sz w:val="20"/>
          <w:szCs w:val="20"/>
        </w:rPr>
      </w:pPr>
    </w:p>
    <w:p w14:paraId="0BC989D9" w14:textId="77777777" w:rsidR="009F0928" w:rsidRDefault="009F0928">
      <w:pPr>
        <w:rPr>
          <w:rFonts w:ascii="Times New Roman" w:hAnsi="Times New Roman"/>
          <w:sz w:val="20"/>
          <w:szCs w:val="20"/>
        </w:rPr>
      </w:pPr>
    </w:p>
    <w:p w14:paraId="0BC989DA"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xml:space="preserve">approach uses comparable company information to determine revenue and earnings multiples to value our reporting units. Failure to achieve these expected results or market multiples may cause a future impairment of goodwill at the reporting </w:t>
      </w:r>
      <w:r>
        <w:rPr>
          <w:rFonts w:ascii="Arial" w:eastAsia="宋体" w:hAnsi="Arial" w:cs="Arial"/>
          <w:sz w:val="20"/>
          <w:szCs w:val="20"/>
        </w:rPr>
        <w:t>unit. We conducted our annual impairment test of goodwill as of August 31, 2019 and 2018. As of December 31, 2019, we determined that no impairment of the carrying value of goodwill for any reporting units was required. See “Note 4 – Goodwill and Intangibl</w:t>
      </w:r>
      <w:r>
        <w:rPr>
          <w:rFonts w:ascii="Arial" w:eastAsia="宋体" w:hAnsi="Arial" w:cs="Arial"/>
          <w:sz w:val="20"/>
          <w:szCs w:val="20"/>
        </w:rPr>
        <w:t xml:space="preserve">e Assets” to the consolidated financial statements included in this report. </w:t>
      </w:r>
    </w:p>
    <w:p w14:paraId="0BC989DB" w14:textId="77777777" w:rsidR="009F0928" w:rsidRDefault="009F0928">
      <w:pPr>
        <w:spacing w:line="288" w:lineRule="auto"/>
        <w:jc w:val="both"/>
        <w:rPr>
          <w:rFonts w:ascii="Times New Roman" w:hAnsi="Times New Roman"/>
          <w:sz w:val="20"/>
          <w:szCs w:val="20"/>
        </w:rPr>
      </w:pPr>
    </w:p>
    <w:p w14:paraId="0BC989DC" w14:textId="77777777" w:rsidR="009F0928" w:rsidRDefault="002112BD">
      <w:pPr>
        <w:spacing w:line="288" w:lineRule="auto"/>
        <w:jc w:val="both"/>
        <w:rPr>
          <w:rFonts w:ascii="Times New Roman" w:hAnsi="Times New Roman"/>
          <w:sz w:val="20"/>
          <w:szCs w:val="20"/>
        </w:rPr>
      </w:pPr>
      <w:r>
        <w:rPr>
          <w:rFonts w:ascii="Arial" w:eastAsia="宋体" w:hAnsi="Arial" w:cs="Arial"/>
          <w:i/>
          <w:iCs/>
          <w:sz w:val="20"/>
          <w:szCs w:val="20"/>
        </w:rPr>
        <w:t xml:space="preserve">Legal Contingencies </w:t>
      </w:r>
    </w:p>
    <w:p w14:paraId="0BC989DD" w14:textId="77777777" w:rsidR="009F0928" w:rsidRDefault="009F0928">
      <w:pPr>
        <w:spacing w:line="288" w:lineRule="auto"/>
        <w:ind w:firstLine="720"/>
        <w:jc w:val="both"/>
        <w:rPr>
          <w:rFonts w:ascii="Times New Roman" w:hAnsi="Times New Roman"/>
          <w:sz w:val="20"/>
          <w:szCs w:val="20"/>
        </w:rPr>
      </w:pPr>
    </w:p>
    <w:p w14:paraId="0BC989D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connection with certain pending litigation and other claims, we have estimated the range of probable loss, net of expected recoveries, and provided for s</w:t>
      </w:r>
      <w:r>
        <w:rPr>
          <w:rFonts w:ascii="Arial" w:eastAsia="宋体" w:hAnsi="Arial" w:cs="Arial"/>
          <w:sz w:val="20"/>
          <w:szCs w:val="20"/>
        </w:rPr>
        <w:t xml:space="preserve">uch losses through charges to our consolidated statement of income. These estimates have been based on our assessment of the facts and circumstances at each balance sheet date and are subject to change based upon new information and future events. </w:t>
      </w:r>
    </w:p>
    <w:p w14:paraId="0BC989DF" w14:textId="77777777" w:rsidR="009F0928" w:rsidRDefault="009F0928">
      <w:pPr>
        <w:spacing w:line="288" w:lineRule="auto"/>
        <w:ind w:firstLine="720"/>
        <w:jc w:val="both"/>
        <w:rPr>
          <w:rFonts w:ascii="Times New Roman" w:hAnsi="Times New Roman"/>
          <w:sz w:val="20"/>
          <w:szCs w:val="20"/>
        </w:rPr>
      </w:pPr>
    </w:p>
    <w:p w14:paraId="0BC989E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From t</w:t>
      </w:r>
      <w:r>
        <w:rPr>
          <w:rFonts w:ascii="Arial" w:eastAsia="宋体" w:hAnsi="Arial" w:cs="Arial"/>
          <w:sz w:val="20"/>
          <w:szCs w:val="20"/>
        </w:rPr>
        <w:t>ime to time, we are involved in disputes and regulatory inquiries that arise in the ordinary course of business. We are currently involved in legal proceedings, some of which are discussed in “Item 1A: Risk Factors,” “Item 3: Legal Proceedings” and “Note 1</w:t>
      </w:r>
      <w:r>
        <w:rPr>
          <w:rFonts w:ascii="Arial" w:eastAsia="宋体" w:hAnsi="Arial" w:cs="Arial"/>
          <w:sz w:val="20"/>
          <w:szCs w:val="20"/>
        </w:rPr>
        <w:t>2 – Commitments and Contingencies” to the consolidated financial statements included in this report. We believe that we have meritorious defenses to the claims against us, and we intend to defend ourselves vigorously. However, even if successful, our defen</w:t>
      </w:r>
      <w:r>
        <w:rPr>
          <w:rFonts w:ascii="Arial" w:eastAsia="宋体" w:hAnsi="Arial" w:cs="Arial"/>
          <w:sz w:val="20"/>
          <w:szCs w:val="20"/>
        </w:rPr>
        <w:t>se against certain actions will be costly and could require significant amounts of management’s time and result in the diversion of significant operational resources. If the plaintiffs were to prevail on certain claims, we might be forced to pay significan</w:t>
      </w:r>
      <w:r>
        <w:rPr>
          <w:rFonts w:ascii="Arial" w:eastAsia="宋体" w:hAnsi="Arial" w:cs="Arial"/>
          <w:sz w:val="20"/>
          <w:szCs w:val="20"/>
        </w:rPr>
        <w:t>t damages and licensing fees, modify our business practices or even be prohibited from conducting a significant part of our business. Any such results could materially harm our business and could result in a material adverse impact on the financial positio</w:t>
      </w:r>
      <w:r>
        <w:rPr>
          <w:rFonts w:ascii="Arial" w:eastAsia="宋体" w:hAnsi="Arial" w:cs="Arial"/>
          <w:sz w:val="20"/>
          <w:szCs w:val="20"/>
        </w:rPr>
        <w:t xml:space="preserve">n, results of operations or cash flows. </w:t>
      </w:r>
    </w:p>
    <w:p w14:paraId="0BC989E1" w14:textId="77777777" w:rsidR="009F0928" w:rsidRDefault="009F0928">
      <w:pPr>
        <w:spacing w:line="288" w:lineRule="auto"/>
        <w:ind w:firstLine="720"/>
        <w:jc w:val="both"/>
        <w:rPr>
          <w:rFonts w:ascii="Times New Roman" w:hAnsi="Times New Roman"/>
          <w:sz w:val="20"/>
          <w:szCs w:val="20"/>
        </w:rPr>
      </w:pPr>
    </w:p>
    <w:p w14:paraId="0BC989E2"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i/>
          <w:iCs/>
          <w:sz w:val="20"/>
          <w:szCs w:val="20"/>
        </w:rPr>
        <w:t>Recent Accounting Pronouncements</w:t>
      </w:r>
    </w:p>
    <w:p w14:paraId="0BC989E3" w14:textId="77777777" w:rsidR="009F0928" w:rsidRDefault="009F0928">
      <w:pPr>
        <w:spacing w:line="288" w:lineRule="auto"/>
        <w:rPr>
          <w:rFonts w:ascii="Times New Roman" w:hAnsi="Times New Roman"/>
          <w:sz w:val="20"/>
          <w:szCs w:val="20"/>
        </w:rPr>
      </w:pPr>
    </w:p>
    <w:p w14:paraId="0BC989E4" w14:textId="77777777" w:rsidR="009F0928" w:rsidRDefault="002112BD">
      <w:pPr>
        <w:spacing w:line="288" w:lineRule="auto"/>
        <w:ind w:firstLine="720"/>
        <w:rPr>
          <w:rFonts w:ascii="Times New Roman" w:hAnsi="Times New Roman"/>
          <w:sz w:val="20"/>
          <w:szCs w:val="20"/>
        </w:rPr>
      </w:pPr>
      <w:r>
        <w:rPr>
          <w:rFonts w:ascii="Arial" w:eastAsia="宋体" w:hAnsi="Arial" w:cs="Arial"/>
          <w:sz w:val="20"/>
          <w:szCs w:val="20"/>
        </w:rPr>
        <w:t xml:space="preserve">See "Note 1 – The Company and Summary of Significant Accounting Policies" to the consolidated financial statements included in this report, regarding the impact of certain </w:t>
      </w:r>
      <w:r>
        <w:rPr>
          <w:rFonts w:ascii="Arial" w:eastAsia="宋体" w:hAnsi="Arial" w:cs="Arial"/>
          <w:sz w:val="20"/>
          <w:szCs w:val="20"/>
        </w:rPr>
        <w:t>recent accounting pronouncements on our consolidated financial statements.</w:t>
      </w:r>
    </w:p>
    <w:p w14:paraId="0BC989E5" w14:textId="77777777" w:rsidR="009F0928" w:rsidRDefault="009F0928">
      <w:pPr>
        <w:spacing w:line="288" w:lineRule="auto"/>
        <w:jc w:val="both"/>
        <w:rPr>
          <w:rFonts w:ascii="Times New Roman" w:hAnsi="Times New Roman"/>
          <w:sz w:val="20"/>
          <w:szCs w:val="20"/>
        </w:rPr>
      </w:pPr>
    </w:p>
    <w:p w14:paraId="0BC989E6" w14:textId="77777777" w:rsidR="009F0928" w:rsidRDefault="009F0928">
      <w:pPr>
        <w:rPr>
          <w:rFonts w:ascii="Times New Roman" w:hAnsi="Times New Roman"/>
          <w:sz w:val="20"/>
          <w:szCs w:val="20"/>
        </w:rPr>
      </w:pPr>
    </w:p>
    <w:p w14:paraId="0BC989E7"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56</w:t>
      </w:r>
    </w:p>
    <w:p w14:paraId="0BC989E8" w14:textId="77777777" w:rsidR="009F0928" w:rsidRDefault="002112BD">
      <w:r>
        <w:rPr>
          <w:rFonts w:ascii="Times New Roman" w:hAnsi="Times New Roman"/>
          <w:sz w:val="18"/>
          <w:szCs w:val="18"/>
        </w:rPr>
        <w:pict w14:anchorId="0BC9B4F5">
          <v:rect id="_x0000_i1081" style="width:415.3pt;height:1.5pt" o:hralign="center" o:hrstd="t" o:hr="t" fillcolor="#a0a0a0" stroked="f"/>
        </w:pict>
      </w:r>
    </w:p>
    <w:p w14:paraId="0BC989E9" w14:textId="77777777" w:rsidR="009F0928" w:rsidRDefault="009F0928">
      <w:pPr>
        <w:spacing w:line="288" w:lineRule="auto"/>
        <w:rPr>
          <w:rFonts w:ascii="Times New Roman" w:hAnsi="Times New Roman"/>
          <w:sz w:val="20"/>
          <w:szCs w:val="20"/>
        </w:rPr>
      </w:pPr>
    </w:p>
    <w:p w14:paraId="0BC989EA" w14:textId="77777777" w:rsidR="009F0928" w:rsidRDefault="009F0928">
      <w:pPr>
        <w:rPr>
          <w:rFonts w:ascii="Times New Roman" w:hAnsi="Times New Roman"/>
          <w:sz w:val="20"/>
          <w:szCs w:val="20"/>
        </w:rPr>
      </w:pPr>
    </w:p>
    <w:p w14:paraId="0BC989EB"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ITEM 7A:</w:t>
      </w:r>
      <w:r>
        <w:rPr>
          <w:rFonts w:ascii="Arial" w:eastAsia="宋体" w:hAnsi="Arial" w:cs="Arial"/>
          <w:b/>
          <w:bCs/>
          <w:i/>
          <w:iCs/>
          <w:sz w:val="20"/>
          <w:szCs w:val="20"/>
        </w:rPr>
        <w:t xml:space="preserve"> QUANTITATIVE AND QUALITATIVE DISCLOSURES ABOUT MARKET RISK</w:t>
      </w:r>
    </w:p>
    <w:p w14:paraId="0BC989EC" w14:textId="77777777" w:rsidR="009F0928" w:rsidRDefault="009F0928">
      <w:pPr>
        <w:spacing w:line="288" w:lineRule="auto"/>
        <w:jc w:val="both"/>
        <w:rPr>
          <w:rFonts w:ascii="Times New Roman" w:hAnsi="Times New Roman"/>
          <w:sz w:val="20"/>
          <w:szCs w:val="20"/>
        </w:rPr>
      </w:pPr>
    </w:p>
    <w:p w14:paraId="0BC989ED"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Interest Rate Risk</w:t>
      </w:r>
    </w:p>
    <w:p w14:paraId="0BC989EE" w14:textId="77777777" w:rsidR="009F0928" w:rsidRDefault="009F0928">
      <w:pPr>
        <w:spacing w:line="288" w:lineRule="auto"/>
        <w:ind w:firstLine="720"/>
        <w:jc w:val="both"/>
        <w:rPr>
          <w:rFonts w:ascii="Times New Roman" w:hAnsi="Times New Roman"/>
          <w:sz w:val="20"/>
          <w:szCs w:val="20"/>
        </w:rPr>
      </w:pPr>
    </w:p>
    <w:p w14:paraId="0BC989E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are exposed to interest rate risk relating to our investments and </w:t>
      </w:r>
      <w:r>
        <w:rPr>
          <w:rFonts w:ascii="Arial" w:eastAsia="宋体" w:hAnsi="Arial" w:cs="Arial"/>
          <w:sz w:val="20"/>
          <w:szCs w:val="20"/>
        </w:rPr>
        <w:t xml:space="preserve">outstanding debt. In addition, adverse economic conditions and events (including volatility or distress in the equity and/or debt or credit markets) may impact regional and global financial markets. These events and conditions, including uncertainties and </w:t>
      </w:r>
      <w:r>
        <w:rPr>
          <w:rFonts w:ascii="Arial" w:eastAsia="宋体" w:hAnsi="Arial" w:cs="Arial"/>
          <w:sz w:val="20"/>
          <w:szCs w:val="20"/>
        </w:rPr>
        <w:t>instability in economic and market conditions caused by the United Kingdom’s vote to exit the European Union and any outcomes resulting from that vote, could cause us to write down our assets or investments. We seek to reduce earnings volatility that may r</w:t>
      </w:r>
      <w:r>
        <w:rPr>
          <w:rFonts w:ascii="Arial" w:eastAsia="宋体" w:hAnsi="Arial" w:cs="Arial"/>
          <w:sz w:val="20"/>
          <w:szCs w:val="20"/>
        </w:rPr>
        <w:t>esult from adverse economic conditions and events or changes in interest rates.</w:t>
      </w:r>
    </w:p>
    <w:p w14:paraId="0BC989F0" w14:textId="77777777" w:rsidR="009F0928" w:rsidRDefault="009F0928">
      <w:pPr>
        <w:spacing w:line="288" w:lineRule="auto"/>
        <w:ind w:firstLine="600"/>
        <w:jc w:val="both"/>
        <w:rPr>
          <w:rFonts w:ascii="Times New Roman" w:hAnsi="Times New Roman"/>
          <w:sz w:val="20"/>
          <w:szCs w:val="20"/>
        </w:rPr>
      </w:pPr>
    </w:p>
    <w:p w14:paraId="0BC989F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primary objective of our investments is to preserve principal while at the same time improving yields without significantly increasing risk. To achieve this objective, we </w:t>
      </w:r>
      <w:r>
        <w:rPr>
          <w:rFonts w:ascii="Arial" w:eastAsia="宋体" w:hAnsi="Arial" w:cs="Arial"/>
          <w:sz w:val="20"/>
          <w:szCs w:val="20"/>
        </w:rPr>
        <w:t>maintain our cash equivalents and short-term investments in a variety of asset types, including bank deposits, government bonds and corporate debt securities. As of December 31, 2019, approximately 24% of our total cash and investments was held in cash and</w:t>
      </w:r>
      <w:r>
        <w:rPr>
          <w:rFonts w:ascii="Arial" w:eastAsia="宋体" w:hAnsi="Arial" w:cs="Arial"/>
          <w:sz w:val="20"/>
          <w:szCs w:val="20"/>
        </w:rPr>
        <w:t xml:space="preserve"> cash equivalents. As such, changes in interest rates will impact interest income. As discussed below, the fair market values of our fixed rate securities may be adversely affected due to a rise in interest rates, and we may suffer losses in principal if w</w:t>
      </w:r>
      <w:r>
        <w:rPr>
          <w:rFonts w:ascii="Arial" w:eastAsia="宋体" w:hAnsi="Arial" w:cs="Arial"/>
          <w:sz w:val="20"/>
          <w:szCs w:val="20"/>
        </w:rPr>
        <w:t xml:space="preserve">e are forced to sell securities that have declined in market value due to changes in interest rates. </w:t>
      </w:r>
    </w:p>
    <w:p w14:paraId="0BC989F2" w14:textId="77777777" w:rsidR="009F0928" w:rsidRDefault="002112BD">
      <w:pPr>
        <w:spacing w:line="288" w:lineRule="auto"/>
        <w:jc w:val="both"/>
        <w:rPr>
          <w:rFonts w:ascii="Times New Roman" w:hAnsi="Times New Roman"/>
          <w:sz w:val="14"/>
          <w:szCs w:val="14"/>
        </w:rPr>
      </w:pPr>
      <w:r>
        <w:rPr>
          <w:rFonts w:ascii="Arial" w:eastAsia="宋体" w:hAnsi="Arial" w:cs="Arial"/>
          <w:sz w:val="14"/>
          <w:szCs w:val="14"/>
        </w:rPr>
        <w:t> </w:t>
      </w:r>
    </w:p>
    <w:p w14:paraId="0BC989F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As of December 31, 2019, the balance of our corporate debt and government bond securities was $2.8 billion, which represented approximately 67% of our t</w:t>
      </w:r>
      <w:r>
        <w:rPr>
          <w:rFonts w:ascii="Arial" w:eastAsia="宋体" w:hAnsi="Arial" w:cs="Arial"/>
          <w:sz w:val="20"/>
          <w:szCs w:val="20"/>
        </w:rPr>
        <w:t>otal cash and investments. Investments in both fixed-rate and floating-rate interest-earning instruments carry varying degrees of interest rate risk. The fair market value of our fixed-rate investment securities may be adversely impacted due to a rise in i</w:t>
      </w:r>
      <w:r>
        <w:rPr>
          <w:rFonts w:ascii="Arial" w:eastAsia="宋体" w:hAnsi="Arial" w:cs="Arial"/>
          <w:sz w:val="20"/>
          <w:szCs w:val="20"/>
        </w:rPr>
        <w:t>nterest rates. In general, fixed-rate securities with longer maturities are subject to greater interest rate risk than those with shorter maturities. While floating rate securities generally are subject to less interest rate risk than fixed-rate securities</w:t>
      </w:r>
      <w:r>
        <w:rPr>
          <w:rFonts w:ascii="Arial" w:eastAsia="宋体" w:hAnsi="Arial" w:cs="Arial"/>
          <w:sz w:val="20"/>
          <w:szCs w:val="20"/>
        </w:rPr>
        <w:t>, floating-rate securities may produce less income than expected if interest rates decrease and may also suffer a decline in market value if interest rates increase. Due in part to these factors, our investment income may fall short of expectations or we m</w:t>
      </w:r>
      <w:r>
        <w:rPr>
          <w:rFonts w:ascii="Arial" w:eastAsia="宋体" w:hAnsi="Arial" w:cs="Arial"/>
          <w:sz w:val="20"/>
          <w:szCs w:val="20"/>
        </w:rPr>
        <w:t xml:space="preserve">ay suffer losses in principal if we sell securities that have declined in market value due to changes in interest rates. A hypothetical 100 basis point increase in interest rates would have resulted in a decrease in the fair value of our investments of $8 </w:t>
      </w:r>
      <w:r>
        <w:rPr>
          <w:rFonts w:ascii="Arial" w:eastAsia="宋体" w:hAnsi="Arial" w:cs="Arial"/>
          <w:sz w:val="20"/>
          <w:szCs w:val="20"/>
        </w:rPr>
        <w:t>million and $44 million as of December 31, 2019 and 2018, respectively.</w:t>
      </w:r>
    </w:p>
    <w:p w14:paraId="0BC989F4" w14:textId="77777777" w:rsidR="009F0928" w:rsidRDefault="009F0928">
      <w:pPr>
        <w:spacing w:line="288" w:lineRule="auto"/>
        <w:ind w:firstLine="720"/>
        <w:jc w:val="both"/>
        <w:rPr>
          <w:rFonts w:ascii="Times New Roman" w:hAnsi="Times New Roman"/>
          <w:sz w:val="20"/>
          <w:szCs w:val="20"/>
        </w:rPr>
      </w:pPr>
    </w:p>
    <w:p w14:paraId="0BC989F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As of December 31, 2019, we had an aggregate principal amount of $7.8 billion of outstanding senior notes, of which 95% bore interest at fixed rates. In 2014, we entered into $2.4 bil</w:t>
      </w:r>
      <w:r>
        <w:rPr>
          <w:rFonts w:ascii="Arial" w:eastAsia="宋体" w:hAnsi="Arial" w:cs="Arial"/>
          <w:sz w:val="20"/>
          <w:szCs w:val="20"/>
        </w:rPr>
        <w:t>lion of interest rate swap agreements that had an economic effect of modifying the fixed interest obligations associated with $1.15 billion of our 2.200% senior notes due July 2019, $750 million of our 2.875% senior notes due July 2021, and $500 million of</w:t>
      </w:r>
      <w:r>
        <w:rPr>
          <w:rFonts w:ascii="Arial" w:eastAsia="宋体" w:hAnsi="Arial" w:cs="Arial"/>
          <w:sz w:val="20"/>
          <w:szCs w:val="20"/>
        </w:rPr>
        <w:t xml:space="preserve"> our 3.450% senior notes due July 2024 so that the interest payable on those notes effectively became variable based on LIBOR plus a spread. In July 2019, $1.15 billion of the $2.4 billion aggregate notional amount matured. In addition, during the third qu</w:t>
      </w:r>
      <w:r>
        <w:rPr>
          <w:rFonts w:ascii="Arial" w:eastAsia="宋体" w:hAnsi="Arial" w:cs="Arial"/>
          <w:sz w:val="20"/>
          <w:szCs w:val="20"/>
        </w:rPr>
        <w:t>arter of 2019, we terminated the interest rate swaps related to $750 million of our 2.875% senior notes due July 2021 and $500 million of our 3.450% senior notes due July 2024, which were designated as fair value hedges. As a result of the early terminatio</w:t>
      </w:r>
      <w:r>
        <w:rPr>
          <w:rFonts w:ascii="Arial" w:eastAsia="宋体" w:hAnsi="Arial" w:cs="Arial"/>
          <w:sz w:val="20"/>
          <w:szCs w:val="20"/>
        </w:rPr>
        <w:t>n hedge, accounting was discontinued prospectively and the gain on termination was recorded as an increase to the long-term debt balance and is being recognized over the remaining life of the underlying debt as a reduction to interest expense. The gain rec</w:t>
      </w:r>
      <w:r>
        <w:rPr>
          <w:rFonts w:ascii="Arial" w:eastAsia="宋体" w:hAnsi="Arial" w:cs="Arial"/>
          <w:sz w:val="20"/>
          <w:szCs w:val="20"/>
        </w:rPr>
        <w:t>ognized during the year ended December 31, 2019 was immaterial</w:t>
      </w:r>
      <w:r>
        <w:rPr>
          <w:rFonts w:ascii="Times New Roman" w:eastAsia="宋体" w:hAnsi="Times New Roman"/>
          <w:sz w:val="20"/>
          <w:szCs w:val="20"/>
        </w:rPr>
        <w:t>.</w:t>
      </w:r>
    </w:p>
    <w:p w14:paraId="0BC989F6" w14:textId="77777777" w:rsidR="009F0928" w:rsidRDefault="009F0928">
      <w:pPr>
        <w:spacing w:line="288" w:lineRule="auto"/>
        <w:ind w:firstLine="720"/>
        <w:jc w:val="both"/>
        <w:rPr>
          <w:rFonts w:ascii="Times New Roman" w:hAnsi="Times New Roman"/>
          <w:sz w:val="20"/>
          <w:szCs w:val="20"/>
        </w:rPr>
      </w:pPr>
    </w:p>
    <w:p w14:paraId="0BC989F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Further changes in interest rates will impact interest expense on any borrowings under our revolving credit facility, which bear interest at floating rates, and the interest rate on any comme</w:t>
      </w:r>
      <w:r>
        <w:rPr>
          <w:rFonts w:ascii="Arial" w:eastAsia="宋体" w:hAnsi="Arial" w:cs="Arial"/>
          <w:sz w:val="20"/>
          <w:szCs w:val="20"/>
        </w:rPr>
        <w:t>rcial paper borrowings we make and any debt securities we may issue in the future and, accordingly, will impact interest expense. For additional details related to our debt, see “Note 10 – Debt” to the consolidated financial statements included in this rep</w:t>
      </w:r>
      <w:r>
        <w:rPr>
          <w:rFonts w:ascii="Arial" w:eastAsia="宋体" w:hAnsi="Arial" w:cs="Arial"/>
          <w:sz w:val="20"/>
          <w:szCs w:val="20"/>
        </w:rPr>
        <w:t xml:space="preserve">ort. </w:t>
      </w:r>
    </w:p>
    <w:p w14:paraId="0BC989F8"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w:t>
      </w:r>
    </w:p>
    <w:p w14:paraId="0BC989F9"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Equity Price Risk</w:t>
      </w:r>
    </w:p>
    <w:p w14:paraId="0BC989FA" w14:textId="77777777" w:rsidR="009F0928" w:rsidRDefault="009F0928">
      <w:pPr>
        <w:spacing w:line="288" w:lineRule="auto"/>
        <w:jc w:val="both"/>
        <w:rPr>
          <w:rFonts w:ascii="Times New Roman" w:hAnsi="Times New Roman"/>
          <w:sz w:val="20"/>
          <w:szCs w:val="20"/>
        </w:rPr>
      </w:pPr>
    </w:p>
    <w:p w14:paraId="0BC989F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i/>
          <w:iCs/>
          <w:sz w:val="20"/>
          <w:szCs w:val="20"/>
        </w:rPr>
        <w:t>Equity Investments</w:t>
      </w:r>
    </w:p>
    <w:p w14:paraId="0BC989FC" w14:textId="77777777" w:rsidR="009F0928" w:rsidRDefault="009F0928">
      <w:pPr>
        <w:spacing w:line="288" w:lineRule="auto"/>
        <w:jc w:val="both"/>
        <w:rPr>
          <w:rFonts w:ascii="Times New Roman" w:hAnsi="Times New Roman"/>
          <w:sz w:val="20"/>
          <w:szCs w:val="20"/>
        </w:rPr>
      </w:pPr>
    </w:p>
    <w:p w14:paraId="0BC989FD" w14:textId="77777777" w:rsidR="009F0928" w:rsidRDefault="002112BD">
      <w:pPr>
        <w:spacing w:line="288" w:lineRule="auto"/>
        <w:ind w:firstLine="720"/>
        <w:rPr>
          <w:rFonts w:ascii="Times New Roman" w:hAnsi="Times New Roman"/>
          <w:sz w:val="20"/>
          <w:szCs w:val="20"/>
        </w:rPr>
      </w:pPr>
      <w:r>
        <w:rPr>
          <w:rFonts w:ascii="Arial" w:eastAsia="宋体" w:hAnsi="Arial" w:cs="Arial"/>
          <w:sz w:val="20"/>
          <w:szCs w:val="20"/>
        </w:rPr>
        <w:t>Our equity investments are primarily investments in privately-held companies. Our consolidated results of operations include, as a component of interest and other, net, our share of the net income or loss of the equity investments accounted for under the e</w:t>
      </w:r>
      <w:r>
        <w:rPr>
          <w:rFonts w:ascii="Arial" w:eastAsia="宋体" w:hAnsi="Arial" w:cs="Arial"/>
          <w:sz w:val="20"/>
          <w:szCs w:val="20"/>
        </w:rPr>
        <w:t xml:space="preserve">quity method of accounting. Equity investments without readily determinable fair values are accounted for at cost, less impairment and adjusted for subsequent observable price changes obtained from orderly transactions for identical or similar investments </w:t>
      </w:r>
      <w:r>
        <w:rPr>
          <w:rFonts w:ascii="Arial" w:eastAsia="宋体" w:hAnsi="Arial" w:cs="Arial"/>
          <w:sz w:val="20"/>
          <w:szCs w:val="20"/>
        </w:rPr>
        <w:t xml:space="preserve">issued by the same investee. Such changes in the basis of the equity investment are recognized in interest and other, net. As of December 31, 2019, our equity </w:t>
      </w:r>
    </w:p>
    <w:p w14:paraId="0BC989FE" w14:textId="77777777" w:rsidR="009F0928" w:rsidRDefault="009F0928">
      <w:pPr>
        <w:rPr>
          <w:rFonts w:ascii="Times New Roman" w:hAnsi="Times New Roman"/>
          <w:sz w:val="20"/>
          <w:szCs w:val="20"/>
        </w:rPr>
      </w:pPr>
    </w:p>
    <w:p w14:paraId="0BC989FF"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57</w:t>
      </w:r>
    </w:p>
    <w:p w14:paraId="0BC98A00" w14:textId="77777777" w:rsidR="009F0928" w:rsidRDefault="002112BD">
      <w:r>
        <w:rPr>
          <w:rFonts w:ascii="Times New Roman" w:hAnsi="Times New Roman"/>
          <w:sz w:val="18"/>
          <w:szCs w:val="18"/>
        </w:rPr>
        <w:pict w14:anchorId="0BC9B4F6">
          <v:rect id="_x0000_i1082" style="width:415.3pt;height:1.5pt" o:hralign="center" o:hrstd="t" o:hr="t" fillcolor="#a0a0a0" stroked="f"/>
        </w:pict>
      </w:r>
    </w:p>
    <w:p w14:paraId="0BC98A01" w14:textId="77777777" w:rsidR="009F0928" w:rsidRDefault="009F0928">
      <w:pPr>
        <w:spacing w:line="288" w:lineRule="auto"/>
        <w:rPr>
          <w:rFonts w:ascii="Times New Roman" w:hAnsi="Times New Roman"/>
          <w:sz w:val="20"/>
          <w:szCs w:val="20"/>
        </w:rPr>
      </w:pPr>
    </w:p>
    <w:p w14:paraId="0BC98A02" w14:textId="77777777" w:rsidR="009F0928" w:rsidRDefault="009F0928">
      <w:pPr>
        <w:rPr>
          <w:rFonts w:ascii="Times New Roman" w:hAnsi="Times New Roman"/>
          <w:sz w:val="20"/>
          <w:szCs w:val="20"/>
        </w:rPr>
      </w:pPr>
    </w:p>
    <w:p w14:paraId="0BC98A03" w14:textId="77777777" w:rsidR="009F0928" w:rsidRDefault="002112BD">
      <w:pPr>
        <w:spacing w:line="288" w:lineRule="auto"/>
        <w:rPr>
          <w:rFonts w:ascii="Times New Roman" w:hAnsi="Times New Roman"/>
          <w:sz w:val="20"/>
          <w:szCs w:val="20"/>
        </w:rPr>
      </w:pPr>
      <w:r>
        <w:rPr>
          <w:rFonts w:ascii="Arial" w:eastAsia="宋体" w:hAnsi="Arial" w:cs="Arial"/>
          <w:sz w:val="20"/>
          <w:szCs w:val="20"/>
        </w:rPr>
        <w:t>investments totaled $355 million, which represented approximately 9% of our total cash a</w:t>
      </w:r>
      <w:r>
        <w:rPr>
          <w:rFonts w:ascii="Arial" w:eastAsia="宋体" w:hAnsi="Arial" w:cs="Arial"/>
          <w:sz w:val="20"/>
          <w:szCs w:val="20"/>
        </w:rPr>
        <w:t xml:space="preserve">nd investments, and were primarily related to equity investments without readily determinable fair values. </w:t>
      </w:r>
    </w:p>
    <w:p w14:paraId="0BC98A04" w14:textId="77777777" w:rsidR="009F0928" w:rsidRDefault="009F0928">
      <w:pPr>
        <w:spacing w:line="288" w:lineRule="auto"/>
        <w:ind w:firstLine="720"/>
        <w:jc w:val="both"/>
        <w:rPr>
          <w:rFonts w:ascii="Times New Roman" w:hAnsi="Times New Roman"/>
          <w:sz w:val="20"/>
          <w:szCs w:val="20"/>
        </w:rPr>
      </w:pPr>
    </w:p>
    <w:p w14:paraId="0BC98A0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i/>
          <w:iCs/>
          <w:sz w:val="20"/>
          <w:szCs w:val="20"/>
        </w:rPr>
        <w:t>Warrant</w:t>
      </w:r>
    </w:p>
    <w:p w14:paraId="0BC98A06" w14:textId="77777777" w:rsidR="009F0928" w:rsidRDefault="009F0928">
      <w:pPr>
        <w:spacing w:line="288" w:lineRule="auto"/>
        <w:ind w:firstLine="720"/>
        <w:jc w:val="both"/>
        <w:rPr>
          <w:rFonts w:ascii="Times New Roman" w:hAnsi="Times New Roman"/>
          <w:sz w:val="20"/>
          <w:szCs w:val="20"/>
        </w:rPr>
      </w:pPr>
    </w:p>
    <w:p w14:paraId="0BC98A0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entered into a warrant agreement in conjunction with a commercial agreement with Adyen that, subject to meeting certain conditions, ent</w:t>
      </w:r>
      <w:r>
        <w:rPr>
          <w:rFonts w:ascii="Arial" w:eastAsia="宋体" w:hAnsi="Arial" w:cs="Arial"/>
          <w:sz w:val="20"/>
          <w:szCs w:val="20"/>
        </w:rPr>
        <w:t>itles us to acquire a fixed number of shares up to 5% of Adyen’s fully diluted issued and outstanding share capital at a specific date. The warrant is accounted for as a derivative instrument under ASC Topic 815, Derivatives and Hedging. Changes in Adyen’s</w:t>
      </w:r>
      <w:r>
        <w:rPr>
          <w:rFonts w:ascii="Arial" w:eastAsia="宋体" w:hAnsi="Arial" w:cs="Arial"/>
          <w:sz w:val="20"/>
          <w:szCs w:val="20"/>
        </w:rPr>
        <w:t xml:space="preserve"> common stock price and equity volatility may have a significant impact on the value of the warrant. As of December 31, 2019, a one dollar change in Adyen’s common stock, holding other factors constant, would increase or decrease the fair value of the warr</w:t>
      </w:r>
      <w:r>
        <w:rPr>
          <w:rFonts w:ascii="Arial" w:eastAsia="宋体" w:hAnsi="Arial" w:cs="Arial"/>
          <w:sz w:val="20"/>
          <w:szCs w:val="20"/>
        </w:rPr>
        <w:t>ant by approximately $1 million. For additional details related to the warrant, please see “Note 7 – Derivative Instruments” to our consolidated financial statements included in this report.</w:t>
      </w:r>
    </w:p>
    <w:p w14:paraId="0BC98A08" w14:textId="77777777" w:rsidR="009F0928" w:rsidRDefault="009F0928">
      <w:pPr>
        <w:spacing w:line="288" w:lineRule="auto"/>
        <w:ind w:firstLine="640"/>
        <w:jc w:val="both"/>
        <w:rPr>
          <w:rFonts w:ascii="Times New Roman" w:hAnsi="Times New Roman"/>
          <w:sz w:val="20"/>
          <w:szCs w:val="20"/>
        </w:rPr>
      </w:pPr>
    </w:p>
    <w:p w14:paraId="0BC98A09"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Foreign Currency Risk</w:t>
      </w:r>
    </w:p>
    <w:p w14:paraId="0BC98A0A" w14:textId="77777777" w:rsidR="009F0928" w:rsidRDefault="009F0928">
      <w:pPr>
        <w:spacing w:line="288" w:lineRule="auto"/>
        <w:jc w:val="both"/>
        <w:rPr>
          <w:rFonts w:ascii="Times New Roman" w:hAnsi="Times New Roman"/>
          <w:sz w:val="20"/>
          <w:szCs w:val="20"/>
        </w:rPr>
      </w:pPr>
    </w:p>
    <w:p w14:paraId="0BC98A0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Our commerce platforms operate globally, </w:t>
      </w:r>
      <w:r>
        <w:rPr>
          <w:rFonts w:ascii="Arial" w:eastAsia="宋体" w:hAnsi="Arial" w:cs="Arial"/>
          <w:sz w:val="20"/>
          <w:szCs w:val="20"/>
        </w:rPr>
        <w:t>resulting in certain revenues and costs that are denominated in foreign currencies, primarily the euro, British pound, Korean won and Australian dollar, subjecting us to foreign currency risk, which may adversely impact our financial results. We transact b</w:t>
      </w:r>
      <w:r>
        <w:rPr>
          <w:rFonts w:ascii="Arial" w:eastAsia="宋体" w:hAnsi="Arial" w:cs="Arial"/>
          <w:sz w:val="20"/>
          <w:szCs w:val="20"/>
        </w:rPr>
        <w:t>usiness in various foreign currencies and have significant international revenues as well as costs. In addition, we charge our international subsidiaries for their use of intellectual property and technology and for certain corporate services we provide. O</w:t>
      </w:r>
      <w:r>
        <w:rPr>
          <w:rFonts w:ascii="Arial" w:eastAsia="宋体" w:hAnsi="Arial" w:cs="Arial"/>
          <w:sz w:val="20"/>
          <w:szCs w:val="20"/>
        </w:rPr>
        <w:t>ur cash flow, results of operations and certain of our intercompany balances that are exposed to foreign exchange rate fluctuations may differ materially from expectations and we may record significant gains or losses due to foreign currency fluctuations a</w:t>
      </w:r>
      <w:r>
        <w:rPr>
          <w:rFonts w:ascii="Arial" w:eastAsia="宋体" w:hAnsi="Arial" w:cs="Arial"/>
          <w:sz w:val="20"/>
          <w:szCs w:val="20"/>
        </w:rPr>
        <w:t>nd related hedging activities.</w:t>
      </w:r>
    </w:p>
    <w:p w14:paraId="0BC98A0C" w14:textId="77777777" w:rsidR="009F0928" w:rsidRDefault="009F0928">
      <w:pPr>
        <w:spacing w:line="288" w:lineRule="auto"/>
        <w:jc w:val="both"/>
        <w:rPr>
          <w:rFonts w:ascii="Times New Roman" w:hAnsi="Times New Roman"/>
          <w:sz w:val="20"/>
          <w:szCs w:val="20"/>
        </w:rPr>
      </w:pPr>
    </w:p>
    <w:p w14:paraId="0BC98A0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have a foreign exchange exposure management program designed to identify material foreign currency exposures, manage these exposures and reduce the potential effects of currency fluctuations on our reported consolidated c</w:t>
      </w:r>
      <w:r>
        <w:rPr>
          <w:rFonts w:ascii="Arial" w:eastAsia="宋体" w:hAnsi="Arial" w:cs="Arial"/>
          <w:sz w:val="20"/>
          <w:szCs w:val="20"/>
        </w:rPr>
        <w:t>ash flows and results of operations through the purchase of foreign currency exchange contracts. The effectiveness of the program and resulting usage of foreign exchange derivative contracts is at times limited by our ability to achieve cash flow hedge acc</w:t>
      </w:r>
      <w:r>
        <w:rPr>
          <w:rFonts w:ascii="Arial" w:eastAsia="宋体" w:hAnsi="Arial" w:cs="Arial"/>
          <w:sz w:val="20"/>
          <w:szCs w:val="20"/>
        </w:rPr>
        <w:t xml:space="preserve">ounting. For additional details related to our derivative instruments, please see “Note 7 – Derivative Instruments” to our consolidated financial statements included in this report. </w:t>
      </w:r>
    </w:p>
    <w:p w14:paraId="0BC98A0E" w14:textId="77777777" w:rsidR="009F0928" w:rsidRDefault="009F0928">
      <w:pPr>
        <w:spacing w:line="288" w:lineRule="auto"/>
        <w:ind w:firstLine="720"/>
        <w:jc w:val="both"/>
        <w:rPr>
          <w:rFonts w:ascii="Times New Roman" w:hAnsi="Times New Roman"/>
          <w:sz w:val="20"/>
          <w:szCs w:val="20"/>
        </w:rPr>
      </w:pPr>
    </w:p>
    <w:p w14:paraId="0BC98A0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use foreign exchange derivative contracts to help protect our forecas</w:t>
      </w:r>
      <w:r>
        <w:rPr>
          <w:rFonts w:ascii="Arial" w:eastAsia="宋体" w:hAnsi="Arial" w:cs="Arial"/>
          <w:sz w:val="20"/>
          <w:szCs w:val="20"/>
        </w:rPr>
        <w:t>ted U.S. dollar-equivalent earnings from adverse changes in foreign currency exchange rates. These hedging contracts reduce, but do not entirely eliminate, the impact of adverse currency exchange rate movements. Most of these contracts are designated as ca</w:t>
      </w:r>
      <w:r>
        <w:rPr>
          <w:rFonts w:ascii="Arial" w:eastAsia="宋体" w:hAnsi="Arial" w:cs="Arial"/>
          <w:sz w:val="20"/>
          <w:szCs w:val="20"/>
        </w:rPr>
        <w:t>sh flow hedges for accounting purposes. For qualifying cash flow hedges, the derivative’s gain or loss is initially reported as a component of accumulated other comprehensive income (“AOCI”) and subsequently reclassified into earnings in the same period th</w:t>
      </w:r>
      <w:r>
        <w:rPr>
          <w:rFonts w:ascii="Arial" w:eastAsia="宋体" w:hAnsi="Arial" w:cs="Arial"/>
          <w:sz w:val="20"/>
          <w:szCs w:val="20"/>
        </w:rPr>
        <w:t xml:space="preserve">e forecasted transaction affects earnings. For contracts not designated as cash flow hedges for accounting purposes, the derivative’s gain or loss is recognized immediately in earnings in our consolidated statement of income. However, only certain revenue </w:t>
      </w:r>
      <w:r>
        <w:rPr>
          <w:rFonts w:ascii="Arial" w:eastAsia="宋体" w:hAnsi="Arial" w:cs="Arial"/>
          <w:sz w:val="20"/>
          <w:szCs w:val="20"/>
        </w:rPr>
        <w:t xml:space="preserve">and costs are eligible for cash flow hedge accounting. </w:t>
      </w:r>
    </w:p>
    <w:p w14:paraId="0BC98A10" w14:textId="77777777" w:rsidR="009F0928" w:rsidRDefault="009F0928">
      <w:pPr>
        <w:spacing w:line="288" w:lineRule="auto"/>
        <w:jc w:val="both"/>
        <w:rPr>
          <w:rFonts w:ascii="Times New Roman" w:hAnsi="Times New Roman"/>
          <w:sz w:val="20"/>
          <w:szCs w:val="20"/>
        </w:rPr>
      </w:pPr>
    </w:p>
    <w:p w14:paraId="0BC98A1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following table illustrates the fair values of outstanding foreign exchange contracts designated as cash flow hedges and net investment hedges, and the before-tax effect on fair values of a </w:t>
      </w:r>
      <w:r>
        <w:rPr>
          <w:rFonts w:ascii="Arial" w:eastAsia="宋体" w:hAnsi="Arial" w:cs="Arial"/>
          <w:sz w:val="20"/>
          <w:szCs w:val="20"/>
        </w:rPr>
        <w:t>hypothetical adverse change in the foreign exchange rates that existed as of December 31, 2019. The sensitivity for foreign currency contracts is based on a 20% adverse change in foreign exchange rates, against relevant functional currencies.</w:t>
      </w:r>
    </w:p>
    <w:tbl>
      <w:tblPr>
        <w:tblW w:w="5000" w:type="pct"/>
        <w:tblCellMar>
          <w:left w:w="0" w:type="dxa"/>
          <w:right w:w="0" w:type="dxa"/>
        </w:tblCellMar>
        <w:tblLook w:val="04A0" w:firstRow="1" w:lastRow="0" w:firstColumn="1" w:lastColumn="0" w:noHBand="0" w:noVBand="1"/>
      </w:tblPr>
      <w:tblGrid>
        <w:gridCol w:w="5881"/>
        <w:gridCol w:w="142"/>
        <w:gridCol w:w="1077"/>
        <w:gridCol w:w="100"/>
        <w:gridCol w:w="130"/>
        <w:gridCol w:w="142"/>
        <w:gridCol w:w="734"/>
        <w:gridCol w:w="100"/>
      </w:tblGrid>
      <w:tr w:rsidR="009F0928" w14:paraId="0BC98A13" w14:textId="77777777">
        <w:tc>
          <w:tcPr>
            <w:tcW w:w="0" w:type="auto"/>
            <w:gridSpan w:val="8"/>
            <w:shd w:val="clear" w:color="auto" w:fill="auto"/>
            <w:vAlign w:val="center"/>
          </w:tcPr>
          <w:p w14:paraId="0BC98A12" w14:textId="77777777" w:rsidR="009F0928" w:rsidRDefault="009F0928">
            <w:pPr>
              <w:rPr>
                <w:rFonts w:ascii="Times New Roman" w:hAnsi="Times New Roman"/>
                <w:sz w:val="20"/>
                <w:szCs w:val="20"/>
              </w:rPr>
            </w:pPr>
          </w:p>
        </w:tc>
      </w:tr>
      <w:tr w:rsidR="009F0928" w14:paraId="0BC98A1C" w14:textId="77777777">
        <w:tc>
          <w:tcPr>
            <w:tcW w:w="3700" w:type="pct"/>
            <w:shd w:val="clear" w:color="auto" w:fill="auto"/>
            <w:vAlign w:val="center"/>
          </w:tcPr>
          <w:p w14:paraId="0BC98A14" w14:textId="77777777" w:rsidR="009F0928" w:rsidRDefault="009F0928">
            <w:pPr>
              <w:rPr>
                <w:rFonts w:ascii="Times New Roman" w:hAnsi="Times New Roman"/>
                <w:sz w:val="20"/>
                <w:szCs w:val="20"/>
              </w:rPr>
            </w:pPr>
          </w:p>
        </w:tc>
        <w:tc>
          <w:tcPr>
            <w:tcW w:w="50" w:type="pct"/>
            <w:shd w:val="clear" w:color="auto" w:fill="auto"/>
            <w:vAlign w:val="center"/>
          </w:tcPr>
          <w:p w14:paraId="0BC98A15" w14:textId="77777777" w:rsidR="009F0928" w:rsidRDefault="009F0928">
            <w:pPr>
              <w:rPr>
                <w:rFonts w:ascii="Times New Roman" w:hAnsi="Times New Roman"/>
                <w:sz w:val="20"/>
                <w:szCs w:val="20"/>
              </w:rPr>
            </w:pPr>
          </w:p>
        </w:tc>
        <w:tc>
          <w:tcPr>
            <w:tcW w:w="550" w:type="pct"/>
            <w:shd w:val="clear" w:color="auto" w:fill="auto"/>
            <w:vAlign w:val="center"/>
          </w:tcPr>
          <w:p w14:paraId="0BC98A16" w14:textId="77777777" w:rsidR="009F0928" w:rsidRDefault="009F0928">
            <w:pPr>
              <w:rPr>
                <w:rFonts w:ascii="Times New Roman" w:hAnsi="Times New Roman"/>
                <w:sz w:val="20"/>
                <w:szCs w:val="20"/>
              </w:rPr>
            </w:pPr>
          </w:p>
        </w:tc>
        <w:tc>
          <w:tcPr>
            <w:tcW w:w="50" w:type="pct"/>
            <w:shd w:val="clear" w:color="auto" w:fill="auto"/>
            <w:vAlign w:val="center"/>
          </w:tcPr>
          <w:p w14:paraId="0BC98A17" w14:textId="77777777" w:rsidR="009F0928" w:rsidRDefault="009F0928">
            <w:pPr>
              <w:rPr>
                <w:rFonts w:ascii="Times New Roman" w:hAnsi="Times New Roman"/>
                <w:sz w:val="20"/>
                <w:szCs w:val="20"/>
              </w:rPr>
            </w:pPr>
          </w:p>
        </w:tc>
        <w:tc>
          <w:tcPr>
            <w:tcW w:w="50" w:type="pct"/>
            <w:shd w:val="clear" w:color="auto" w:fill="auto"/>
            <w:vAlign w:val="center"/>
          </w:tcPr>
          <w:p w14:paraId="0BC98A18" w14:textId="77777777" w:rsidR="009F0928" w:rsidRDefault="009F0928">
            <w:pPr>
              <w:rPr>
                <w:rFonts w:ascii="Times New Roman" w:hAnsi="Times New Roman"/>
                <w:sz w:val="20"/>
                <w:szCs w:val="20"/>
              </w:rPr>
            </w:pPr>
          </w:p>
        </w:tc>
        <w:tc>
          <w:tcPr>
            <w:tcW w:w="50" w:type="pct"/>
            <w:shd w:val="clear" w:color="auto" w:fill="auto"/>
            <w:vAlign w:val="center"/>
          </w:tcPr>
          <w:p w14:paraId="0BC98A19" w14:textId="77777777" w:rsidR="009F0928" w:rsidRDefault="009F0928">
            <w:pPr>
              <w:rPr>
                <w:rFonts w:ascii="Times New Roman" w:hAnsi="Times New Roman"/>
                <w:sz w:val="20"/>
                <w:szCs w:val="20"/>
              </w:rPr>
            </w:pPr>
          </w:p>
        </w:tc>
        <w:tc>
          <w:tcPr>
            <w:tcW w:w="500" w:type="pct"/>
            <w:shd w:val="clear" w:color="auto" w:fill="auto"/>
            <w:vAlign w:val="center"/>
          </w:tcPr>
          <w:p w14:paraId="0BC98A1A" w14:textId="77777777" w:rsidR="009F0928" w:rsidRDefault="009F0928">
            <w:pPr>
              <w:rPr>
                <w:rFonts w:ascii="Times New Roman" w:hAnsi="Times New Roman"/>
                <w:sz w:val="20"/>
                <w:szCs w:val="20"/>
              </w:rPr>
            </w:pPr>
          </w:p>
        </w:tc>
        <w:tc>
          <w:tcPr>
            <w:tcW w:w="50" w:type="pct"/>
            <w:shd w:val="clear" w:color="auto" w:fill="auto"/>
            <w:vAlign w:val="center"/>
          </w:tcPr>
          <w:p w14:paraId="0BC98A1B" w14:textId="77777777" w:rsidR="009F0928" w:rsidRDefault="009F0928">
            <w:pPr>
              <w:rPr>
                <w:rFonts w:ascii="Times New Roman" w:hAnsi="Times New Roman"/>
                <w:sz w:val="20"/>
                <w:szCs w:val="20"/>
              </w:rPr>
            </w:pPr>
          </w:p>
        </w:tc>
      </w:tr>
      <w:tr w:rsidR="009F0928" w14:paraId="0BC98A21" w14:textId="77777777">
        <w:tc>
          <w:tcPr>
            <w:tcW w:w="0" w:type="auto"/>
            <w:shd w:val="clear" w:color="auto" w:fill="auto"/>
            <w:tcMar>
              <w:top w:w="40" w:type="dxa"/>
              <w:left w:w="40" w:type="dxa"/>
              <w:bottom w:w="40" w:type="dxa"/>
              <w:right w:w="40" w:type="dxa"/>
            </w:tcMar>
            <w:vAlign w:val="bottom"/>
          </w:tcPr>
          <w:p w14:paraId="0BC98A1D"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A1E"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Fair Value Asset/(Liability)</w:t>
            </w:r>
          </w:p>
        </w:tc>
        <w:tc>
          <w:tcPr>
            <w:tcW w:w="0" w:type="auto"/>
            <w:shd w:val="clear" w:color="auto" w:fill="auto"/>
            <w:tcMar>
              <w:top w:w="40" w:type="dxa"/>
              <w:left w:w="40" w:type="dxa"/>
              <w:bottom w:w="40" w:type="dxa"/>
              <w:right w:w="40" w:type="dxa"/>
            </w:tcMar>
            <w:vAlign w:val="bottom"/>
          </w:tcPr>
          <w:p w14:paraId="0BC98A1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A2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Fair Value Sensitivity</w:t>
            </w:r>
          </w:p>
        </w:tc>
      </w:tr>
      <w:tr w:rsidR="009F0928" w14:paraId="0BC98A24" w14:textId="77777777">
        <w:tc>
          <w:tcPr>
            <w:tcW w:w="0" w:type="auto"/>
            <w:shd w:val="clear" w:color="auto" w:fill="auto"/>
            <w:tcMar>
              <w:top w:w="40" w:type="dxa"/>
              <w:left w:w="40" w:type="dxa"/>
              <w:bottom w:w="40" w:type="dxa"/>
              <w:right w:w="40" w:type="dxa"/>
            </w:tcMar>
            <w:vAlign w:val="bottom"/>
          </w:tcPr>
          <w:p w14:paraId="0BC98A2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tcBorders>
            <w:shd w:val="clear" w:color="auto" w:fill="auto"/>
            <w:tcMar>
              <w:top w:w="40" w:type="dxa"/>
              <w:left w:w="40" w:type="dxa"/>
              <w:bottom w:w="40" w:type="dxa"/>
            </w:tcMar>
            <w:vAlign w:val="bottom"/>
          </w:tcPr>
          <w:p w14:paraId="0BC98A2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(In millions)</w:t>
            </w:r>
          </w:p>
        </w:tc>
      </w:tr>
      <w:tr w:rsidR="009F0928" w14:paraId="0BC98A2D" w14:textId="77777777">
        <w:tc>
          <w:tcPr>
            <w:tcW w:w="0" w:type="auto"/>
            <w:shd w:val="clear" w:color="auto" w:fill="E2E2E2"/>
            <w:tcMar>
              <w:top w:w="40" w:type="dxa"/>
              <w:left w:w="40" w:type="dxa"/>
              <w:bottom w:w="40" w:type="dxa"/>
              <w:right w:w="40" w:type="dxa"/>
            </w:tcMar>
            <w:vAlign w:val="bottom"/>
          </w:tcPr>
          <w:p w14:paraId="0BC98A25" w14:textId="77777777" w:rsidR="009F0928" w:rsidRDefault="002112BD">
            <w:pPr>
              <w:textAlignment w:val="bottom"/>
              <w:rPr>
                <w:rFonts w:ascii="Times New Roman" w:hAnsi="Times New Roman"/>
                <w:sz w:val="18"/>
                <w:szCs w:val="18"/>
              </w:rPr>
            </w:pPr>
            <w:r>
              <w:rPr>
                <w:rFonts w:ascii="Arial" w:eastAsia="宋体" w:hAnsi="Arial" w:cs="Arial"/>
                <w:sz w:val="18"/>
                <w:szCs w:val="18"/>
              </w:rPr>
              <w:t>Foreign exchange contracts - Cash flow hedges</w:t>
            </w:r>
          </w:p>
        </w:tc>
        <w:tc>
          <w:tcPr>
            <w:tcW w:w="0" w:type="auto"/>
            <w:shd w:val="clear" w:color="auto" w:fill="E2E2E2"/>
            <w:tcMar>
              <w:top w:w="40" w:type="dxa"/>
              <w:left w:w="40" w:type="dxa"/>
              <w:bottom w:w="40" w:type="dxa"/>
            </w:tcMar>
            <w:vAlign w:val="bottom"/>
          </w:tcPr>
          <w:p w14:paraId="0BC98A2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8A2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49</w:t>
            </w:r>
          </w:p>
        </w:tc>
        <w:tc>
          <w:tcPr>
            <w:tcW w:w="0" w:type="auto"/>
            <w:shd w:val="clear" w:color="auto" w:fill="E2E2E2"/>
            <w:vAlign w:val="bottom"/>
          </w:tcPr>
          <w:p w14:paraId="0BC98A2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A2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A2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8A2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(88</w:t>
            </w:r>
          </w:p>
        </w:tc>
        <w:tc>
          <w:tcPr>
            <w:tcW w:w="0" w:type="auto"/>
            <w:shd w:val="clear" w:color="auto" w:fill="E2E2E2"/>
            <w:tcMar>
              <w:top w:w="40" w:type="dxa"/>
              <w:bottom w:w="40" w:type="dxa"/>
              <w:right w:w="40" w:type="dxa"/>
            </w:tcMar>
            <w:vAlign w:val="bottom"/>
          </w:tcPr>
          <w:p w14:paraId="0BC98A2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8A36" w14:textId="77777777">
        <w:tc>
          <w:tcPr>
            <w:tcW w:w="0" w:type="auto"/>
            <w:shd w:val="clear" w:color="auto" w:fill="auto"/>
            <w:tcMar>
              <w:top w:w="40" w:type="dxa"/>
              <w:left w:w="40" w:type="dxa"/>
              <w:bottom w:w="40" w:type="dxa"/>
              <w:right w:w="40" w:type="dxa"/>
            </w:tcMar>
            <w:vAlign w:val="bottom"/>
          </w:tcPr>
          <w:p w14:paraId="0BC98A2E" w14:textId="77777777" w:rsidR="009F0928" w:rsidRDefault="002112BD">
            <w:pPr>
              <w:textAlignment w:val="bottom"/>
              <w:rPr>
                <w:rFonts w:ascii="Times New Roman" w:hAnsi="Times New Roman"/>
                <w:sz w:val="18"/>
                <w:szCs w:val="18"/>
              </w:rPr>
            </w:pPr>
            <w:r>
              <w:rPr>
                <w:rFonts w:ascii="Arial" w:eastAsia="宋体" w:hAnsi="Arial" w:cs="Arial"/>
                <w:sz w:val="18"/>
                <w:szCs w:val="18"/>
              </w:rPr>
              <w:t>Foreign exchange contracts - Net investment hedges</w:t>
            </w:r>
          </w:p>
        </w:tc>
        <w:tc>
          <w:tcPr>
            <w:tcW w:w="0" w:type="auto"/>
            <w:shd w:val="clear" w:color="auto" w:fill="auto"/>
            <w:tcMar>
              <w:top w:w="40" w:type="dxa"/>
              <w:left w:w="40" w:type="dxa"/>
              <w:bottom w:w="40" w:type="dxa"/>
            </w:tcMar>
            <w:vAlign w:val="bottom"/>
          </w:tcPr>
          <w:p w14:paraId="0BC98A2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8A3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w:t>
            </w:r>
          </w:p>
        </w:tc>
        <w:tc>
          <w:tcPr>
            <w:tcW w:w="0" w:type="auto"/>
            <w:shd w:val="clear" w:color="auto" w:fill="auto"/>
            <w:tcMar>
              <w:top w:w="40" w:type="dxa"/>
              <w:bottom w:w="40" w:type="dxa"/>
              <w:right w:w="40" w:type="dxa"/>
            </w:tcMar>
            <w:vAlign w:val="bottom"/>
          </w:tcPr>
          <w:p w14:paraId="0BC98A3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8A3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A3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8A3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(40</w:t>
            </w:r>
          </w:p>
        </w:tc>
        <w:tc>
          <w:tcPr>
            <w:tcW w:w="0" w:type="auto"/>
            <w:shd w:val="clear" w:color="auto" w:fill="auto"/>
            <w:tcMar>
              <w:top w:w="40" w:type="dxa"/>
              <w:bottom w:w="40" w:type="dxa"/>
              <w:right w:w="40" w:type="dxa"/>
            </w:tcMar>
            <w:vAlign w:val="bottom"/>
          </w:tcPr>
          <w:p w14:paraId="0BC98A3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bl>
    <w:p w14:paraId="0BC98A37" w14:textId="77777777" w:rsidR="009F0928" w:rsidRDefault="009F0928">
      <w:pPr>
        <w:spacing w:line="288" w:lineRule="auto"/>
        <w:ind w:firstLine="720"/>
        <w:jc w:val="both"/>
        <w:rPr>
          <w:rFonts w:ascii="Times New Roman" w:hAnsi="Times New Roman"/>
          <w:sz w:val="20"/>
          <w:szCs w:val="20"/>
        </w:rPr>
      </w:pPr>
    </w:p>
    <w:p w14:paraId="0BC98A3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Since our risk management programs are </w:t>
      </w:r>
      <w:r>
        <w:rPr>
          <w:rFonts w:ascii="Arial" w:eastAsia="宋体" w:hAnsi="Arial" w:cs="Arial"/>
          <w:sz w:val="20"/>
          <w:szCs w:val="20"/>
        </w:rPr>
        <w:t>highly effective, the potential loss in value described above would be largely offset by changes in the value of the underlying exposure.</w:t>
      </w:r>
    </w:p>
    <w:p w14:paraId="0BC98A39" w14:textId="77777777" w:rsidR="009F0928" w:rsidRDefault="009F0928">
      <w:pPr>
        <w:spacing w:line="288" w:lineRule="auto"/>
        <w:ind w:firstLine="720"/>
        <w:jc w:val="both"/>
        <w:rPr>
          <w:rFonts w:ascii="Times New Roman" w:hAnsi="Times New Roman"/>
          <w:sz w:val="20"/>
          <w:szCs w:val="20"/>
        </w:rPr>
      </w:pPr>
    </w:p>
    <w:p w14:paraId="0BC98A3A"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also use foreign exchange contracts to offset the foreign exchange risk on our assets and liabilities denominated </w:t>
      </w:r>
      <w:r>
        <w:rPr>
          <w:rFonts w:ascii="Arial" w:eastAsia="宋体" w:hAnsi="Arial" w:cs="Arial"/>
          <w:sz w:val="20"/>
          <w:szCs w:val="20"/>
        </w:rPr>
        <w:t xml:space="preserve">in currencies other than the functional currency of our subsidiaries. These contracts reduce, but do not entirely eliminate, the impact of currency exchange rate movements on our assets and liabilities. The foreign currency </w:t>
      </w:r>
    </w:p>
    <w:p w14:paraId="0BC98A3B" w14:textId="77777777" w:rsidR="009F0928" w:rsidRDefault="009F0928">
      <w:pPr>
        <w:rPr>
          <w:rFonts w:ascii="Times New Roman" w:hAnsi="Times New Roman"/>
          <w:sz w:val="20"/>
          <w:szCs w:val="20"/>
        </w:rPr>
      </w:pPr>
    </w:p>
    <w:p w14:paraId="0BC98A3C"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58</w:t>
      </w:r>
    </w:p>
    <w:p w14:paraId="0BC98A3D" w14:textId="77777777" w:rsidR="009F0928" w:rsidRDefault="002112BD">
      <w:r>
        <w:rPr>
          <w:rFonts w:ascii="Times New Roman" w:hAnsi="Times New Roman"/>
          <w:sz w:val="18"/>
          <w:szCs w:val="18"/>
        </w:rPr>
        <w:pict w14:anchorId="0BC9B4F7">
          <v:rect id="_x0000_i1083" style="width:415.3pt;height:1.5pt" o:hralign="center" o:hrstd="t" o:hr="t" fillcolor="#a0a0a0" stroked="f"/>
        </w:pict>
      </w:r>
    </w:p>
    <w:p w14:paraId="0BC98A3E" w14:textId="77777777" w:rsidR="009F0928" w:rsidRDefault="009F0928">
      <w:pPr>
        <w:spacing w:line="288" w:lineRule="auto"/>
        <w:rPr>
          <w:rFonts w:ascii="Times New Roman" w:hAnsi="Times New Roman"/>
          <w:sz w:val="20"/>
          <w:szCs w:val="20"/>
        </w:rPr>
      </w:pPr>
    </w:p>
    <w:p w14:paraId="0BC98A3F" w14:textId="77777777" w:rsidR="009F0928" w:rsidRDefault="009F0928">
      <w:pPr>
        <w:rPr>
          <w:rFonts w:ascii="Times New Roman" w:hAnsi="Times New Roman"/>
          <w:sz w:val="20"/>
          <w:szCs w:val="20"/>
        </w:rPr>
      </w:pPr>
    </w:p>
    <w:p w14:paraId="0BC98A40"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xml:space="preserve">gains and losses on </w:t>
      </w:r>
      <w:r>
        <w:rPr>
          <w:rFonts w:ascii="Arial" w:eastAsia="宋体" w:hAnsi="Arial" w:cs="Arial"/>
          <w:sz w:val="20"/>
          <w:szCs w:val="20"/>
        </w:rPr>
        <w:t>the assets and liabilities are recorded in interest and other, net, which are offset by the gains and losses on the foreign exchange contracts.</w:t>
      </w:r>
    </w:p>
    <w:p w14:paraId="0BC98A41" w14:textId="77777777" w:rsidR="009F0928" w:rsidRDefault="009F0928">
      <w:pPr>
        <w:spacing w:line="288" w:lineRule="auto"/>
        <w:jc w:val="both"/>
        <w:rPr>
          <w:rFonts w:ascii="Times New Roman" w:hAnsi="Times New Roman"/>
          <w:sz w:val="20"/>
          <w:szCs w:val="20"/>
        </w:rPr>
      </w:pPr>
    </w:p>
    <w:p w14:paraId="0BC98A4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considered the historical trends in currency exchange rates and determined that it was reasonably possible t</w:t>
      </w:r>
      <w:r>
        <w:rPr>
          <w:rFonts w:ascii="Arial" w:eastAsia="宋体" w:hAnsi="Arial" w:cs="Arial"/>
          <w:sz w:val="20"/>
          <w:szCs w:val="20"/>
        </w:rPr>
        <w:t>hat adverse changes in exchange rates of 20% for all currencies could be experienced in the near term. These changes would have resulted in an adverse impact on income before income taxes of approximately $18 million as of December 31, 2019 taking into con</w:t>
      </w:r>
      <w:r>
        <w:rPr>
          <w:rFonts w:ascii="Arial" w:eastAsia="宋体" w:hAnsi="Arial" w:cs="Arial"/>
          <w:sz w:val="20"/>
          <w:szCs w:val="20"/>
        </w:rPr>
        <w:t>sideration the offsetting effect of foreign exchange forwards in place as of December 31, 2019.</w:t>
      </w:r>
    </w:p>
    <w:p w14:paraId="0BC98A43" w14:textId="77777777" w:rsidR="009F0928" w:rsidRDefault="009F0928">
      <w:pPr>
        <w:spacing w:line="288" w:lineRule="auto"/>
        <w:ind w:firstLine="720"/>
        <w:jc w:val="both"/>
        <w:rPr>
          <w:rFonts w:ascii="Times New Roman" w:hAnsi="Times New Roman"/>
          <w:sz w:val="20"/>
          <w:szCs w:val="20"/>
        </w:rPr>
      </w:pPr>
    </w:p>
    <w:p w14:paraId="0BC98A44" w14:textId="77777777" w:rsidR="009F0928" w:rsidRDefault="002112BD">
      <w:pPr>
        <w:spacing w:line="288" w:lineRule="auto"/>
        <w:ind w:hanging="1920"/>
        <w:jc w:val="both"/>
        <w:rPr>
          <w:rFonts w:ascii="Times New Roman" w:hAnsi="Times New Roman"/>
          <w:sz w:val="20"/>
          <w:szCs w:val="20"/>
        </w:rPr>
      </w:pPr>
      <w:r>
        <w:rPr>
          <w:rFonts w:ascii="Arial" w:eastAsia="宋体" w:hAnsi="Arial" w:cs="Arial"/>
          <w:b/>
          <w:bCs/>
          <w:sz w:val="20"/>
          <w:szCs w:val="20"/>
        </w:rPr>
        <w:t xml:space="preserve">ITEM 8: </w:t>
      </w:r>
      <w:r>
        <w:rPr>
          <w:rFonts w:ascii="Arial" w:eastAsia="宋体" w:hAnsi="Arial" w:cs="Arial"/>
          <w:b/>
          <w:bCs/>
          <w:i/>
          <w:iCs/>
          <w:sz w:val="20"/>
          <w:szCs w:val="20"/>
        </w:rPr>
        <w:t>FINANCIAL STATEMENTS AND SUPPLEMENTARY DATA</w:t>
      </w:r>
    </w:p>
    <w:p w14:paraId="0BC98A45" w14:textId="77777777" w:rsidR="009F0928" w:rsidRDefault="009F0928">
      <w:pPr>
        <w:spacing w:line="288" w:lineRule="auto"/>
        <w:ind w:firstLine="720"/>
        <w:jc w:val="both"/>
        <w:rPr>
          <w:rFonts w:ascii="Times New Roman" w:hAnsi="Times New Roman"/>
          <w:sz w:val="20"/>
          <w:szCs w:val="20"/>
        </w:rPr>
      </w:pPr>
    </w:p>
    <w:p w14:paraId="0BC98A4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consolidated financial statements and accompanying notes listed in Part IV, Item 15(a)(1) of this Annu</w:t>
      </w:r>
      <w:r>
        <w:rPr>
          <w:rFonts w:ascii="Arial" w:eastAsia="宋体" w:hAnsi="Arial" w:cs="Arial"/>
          <w:sz w:val="20"/>
          <w:szCs w:val="20"/>
        </w:rPr>
        <w:t xml:space="preserve">al Report on Form 10-K are included elsewhere in this Annual Report on Form 10-K. </w:t>
      </w:r>
    </w:p>
    <w:p w14:paraId="0BC98A47" w14:textId="77777777" w:rsidR="009F0928" w:rsidRDefault="009F0928">
      <w:pPr>
        <w:spacing w:line="288" w:lineRule="auto"/>
        <w:ind w:firstLine="640"/>
        <w:jc w:val="both"/>
        <w:rPr>
          <w:rFonts w:ascii="Times New Roman" w:hAnsi="Times New Roman"/>
          <w:sz w:val="20"/>
          <w:szCs w:val="20"/>
        </w:rPr>
      </w:pPr>
    </w:p>
    <w:p w14:paraId="0BC98A48" w14:textId="77777777" w:rsidR="009F0928" w:rsidRDefault="002112BD">
      <w:pPr>
        <w:spacing w:line="288" w:lineRule="auto"/>
        <w:ind w:hanging="1080"/>
        <w:jc w:val="both"/>
        <w:rPr>
          <w:rFonts w:ascii="Times New Roman" w:hAnsi="Times New Roman"/>
          <w:sz w:val="20"/>
          <w:szCs w:val="20"/>
        </w:rPr>
      </w:pPr>
      <w:r>
        <w:rPr>
          <w:rFonts w:ascii="Arial" w:eastAsia="宋体" w:hAnsi="Arial" w:cs="Arial"/>
          <w:b/>
          <w:bCs/>
          <w:sz w:val="20"/>
          <w:szCs w:val="20"/>
        </w:rPr>
        <w:t xml:space="preserve">ITEM 9: </w:t>
      </w:r>
      <w:r>
        <w:rPr>
          <w:rFonts w:ascii="Arial" w:eastAsia="宋体" w:hAnsi="Arial" w:cs="Arial"/>
          <w:b/>
          <w:bCs/>
          <w:i/>
          <w:iCs/>
          <w:sz w:val="20"/>
          <w:szCs w:val="20"/>
        </w:rPr>
        <w:t>CHANGES IN AND DISAGREEMENTS WITH ACCOUNTANTS ON ACCOUNTING AND FINANCIAL DISCLOSURE</w:t>
      </w:r>
    </w:p>
    <w:p w14:paraId="0BC98A49" w14:textId="77777777" w:rsidR="009F0928" w:rsidRDefault="009F0928">
      <w:pPr>
        <w:spacing w:line="288" w:lineRule="auto"/>
        <w:ind w:firstLine="720"/>
        <w:jc w:val="both"/>
        <w:rPr>
          <w:rFonts w:ascii="Times New Roman" w:hAnsi="Times New Roman"/>
          <w:sz w:val="20"/>
          <w:szCs w:val="20"/>
        </w:rPr>
      </w:pPr>
    </w:p>
    <w:p w14:paraId="0BC98A4A"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None. </w:t>
      </w:r>
    </w:p>
    <w:p w14:paraId="0BC98A4B" w14:textId="77777777" w:rsidR="009F0928" w:rsidRDefault="009F0928">
      <w:pPr>
        <w:spacing w:line="288" w:lineRule="auto"/>
        <w:jc w:val="both"/>
        <w:rPr>
          <w:rFonts w:ascii="Times New Roman" w:hAnsi="Times New Roman"/>
          <w:sz w:val="20"/>
          <w:szCs w:val="20"/>
        </w:rPr>
      </w:pPr>
    </w:p>
    <w:p w14:paraId="0BC98A4C" w14:textId="77777777" w:rsidR="009F0928" w:rsidRDefault="002112BD">
      <w:pPr>
        <w:spacing w:line="288" w:lineRule="auto"/>
        <w:ind w:hanging="1920"/>
        <w:jc w:val="both"/>
        <w:rPr>
          <w:rFonts w:ascii="Times New Roman" w:hAnsi="Times New Roman"/>
          <w:sz w:val="20"/>
          <w:szCs w:val="20"/>
        </w:rPr>
      </w:pPr>
      <w:r>
        <w:rPr>
          <w:rFonts w:ascii="Arial" w:eastAsia="宋体" w:hAnsi="Arial" w:cs="Arial"/>
          <w:b/>
          <w:bCs/>
          <w:sz w:val="20"/>
          <w:szCs w:val="20"/>
        </w:rPr>
        <w:t xml:space="preserve">ITEM 9A: </w:t>
      </w:r>
      <w:r>
        <w:rPr>
          <w:rFonts w:ascii="Arial" w:eastAsia="宋体" w:hAnsi="Arial" w:cs="Arial"/>
          <w:b/>
          <w:bCs/>
          <w:i/>
          <w:iCs/>
          <w:sz w:val="20"/>
          <w:szCs w:val="20"/>
        </w:rPr>
        <w:t>CONTROLS AND PROCEDURES</w:t>
      </w:r>
    </w:p>
    <w:p w14:paraId="0BC98A4D" w14:textId="77777777" w:rsidR="009F0928" w:rsidRDefault="009F0928">
      <w:pPr>
        <w:spacing w:line="288" w:lineRule="auto"/>
        <w:ind w:hanging="1920"/>
        <w:jc w:val="both"/>
        <w:rPr>
          <w:rFonts w:ascii="Times New Roman" w:hAnsi="Times New Roman"/>
          <w:sz w:val="20"/>
          <w:szCs w:val="20"/>
        </w:rPr>
      </w:pPr>
    </w:p>
    <w:p w14:paraId="0BC98A4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i/>
          <w:iCs/>
          <w:sz w:val="20"/>
          <w:szCs w:val="20"/>
        </w:rPr>
        <w:t>Evaluation of disclosure controls an</w:t>
      </w:r>
      <w:r>
        <w:rPr>
          <w:rFonts w:ascii="Arial" w:eastAsia="宋体" w:hAnsi="Arial" w:cs="Arial"/>
          <w:i/>
          <w:iCs/>
          <w:sz w:val="20"/>
          <w:szCs w:val="20"/>
        </w:rPr>
        <w:t>d procedures:</w:t>
      </w:r>
      <w:r>
        <w:rPr>
          <w:rFonts w:ascii="Arial" w:eastAsia="宋体" w:hAnsi="Arial" w:cs="Arial"/>
          <w:sz w:val="20"/>
          <w:szCs w:val="20"/>
        </w:rPr>
        <w:t> Based on the evaluation of our disclosure controls and procedures (as defined in the Rules 13a-15(e) and 15d-15(e) under the Securities Exchange Act of 1934, as amended, or the Exchange Act) required by Exchange Act Rules 13a-15(b) or 15d-15(b), our princ</w:t>
      </w:r>
      <w:r>
        <w:rPr>
          <w:rFonts w:ascii="Arial" w:eastAsia="宋体" w:hAnsi="Arial" w:cs="Arial"/>
          <w:sz w:val="20"/>
          <w:szCs w:val="20"/>
        </w:rPr>
        <w:t xml:space="preserve">ipal executive officer and our principal financial officer have concluded that our disclosure controls and procedures were effective as of December 31, 2019. </w:t>
      </w:r>
    </w:p>
    <w:p w14:paraId="0BC98A4F" w14:textId="77777777" w:rsidR="009F0928" w:rsidRDefault="009F0928">
      <w:pPr>
        <w:spacing w:line="288" w:lineRule="auto"/>
        <w:ind w:firstLine="720"/>
        <w:jc w:val="both"/>
        <w:rPr>
          <w:rFonts w:ascii="Times New Roman" w:hAnsi="Times New Roman"/>
          <w:sz w:val="20"/>
          <w:szCs w:val="20"/>
        </w:rPr>
      </w:pPr>
    </w:p>
    <w:p w14:paraId="0BC98A5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i/>
          <w:iCs/>
          <w:sz w:val="20"/>
          <w:szCs w:val="20"/>
        </w:rPr>
        <w:t>Changes in internal controls:</w:t>
      </w:r>
      <w:r>
        <w:rPr>
          <w:rFonts w:ascii="Arial" w:eastAsia="宋体" w:hAnsi="Arial" w:cs="Arial"/>
          <w:sz w:val="20"/>
          <w:szCs w:val="20"/>
        </w:rPr>
        <w:t> There were no changes in our internal control over financial repor</w:t>
      </w:r>
      <w:r>
        <w:rPr>
          <w:rFonts w:ascii="Arial" w:eastAsia="宋体" w:hAnsi="Arial" w:cs="Arial"/>
          <w:sz w:val="20"/>
          <w:szCs w:val="20"/>
        </w:rPr>
        <w:t>ting as defined in Exchange Act Rule 13a-15(f) that occurred during our most recently completed fiscal quarter that have materially affected, or are reasonably likely to materially affect, our internal control over financial reporting.</w:t>
      </w:r>
    </w:p>
    <w:p w14:paraId="0BC98A51" w14:textId="77777777" w:rsidR="009F0928" w:rsidRDefault="009F0928">
      <w:pPr>
        <w:spacing w:line="288" w:lineRule="auto"/>
        <w:ind w:firstLine="720"/>
        <w:jc w:val="both"/>
        <w:rPr>
          <w:rFonts w:ascii="Times New Roman" w:hAnsi="Times New Roman"/>
          <w:sz w:val="20"/>
          <w:szCs w:val="20"/>
        </w:rPr>
      </w:pPr>
    </w:p>
    <w:p w14:paraId="0BC98A5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i/>
          <w:iCs/>
          <w:sz w:val="20"/>
          <w:szCs w:val="20"/>
        </w:rPr>
        <w:t>Management’s annual report on internal control over financial reporting:</w:t>
      </w:r>
      <w:r>
        <w:rPr>
          <w:rFonts w:ascii="Arial" w:eastAsia="宋体" w:hAnsi="Arial" w:cs="Arial"/>
          <w:sz w:val="20"/>
          <w:szCs w:val="20"/>
        </w:rPr>
        <w:t> Our management is responsible for establishing and maintaining adequate internal control over financial reporting. Our management, including our principal executive officer and princi</w:t>
      </w:r>
      <w:r>
        <w:rPr>
          <w:rFonts w:ascii="Arial" w:eastAsia="宋体" w:hAnsi="Arial" w:cs="Arial"/>
          <w:sz w:val="20"/>
          <w:szCs w:val="20"/>
        </w:rPr>
        <w:t xml:space="preserve">pal financial officer, conducted an evaluation of the effectiveness of our internal control over financial reporting based on the framework in </w:t>
      </w:r>
      <w:r>
        <w:rPr>
          <w:rFonts w:ascii="Arial" w:eastAsia="宋体" w:hAnsi="Arial" w:cs="Arial"/>
          <w:i/>
          <w:iCs/>
          <w:sz w:val="20"/>
          <w:szCs w:val="20"/>
        </w:rPr>
        <w:t>Internal Control - Integrated Framework (2013)</w:t>
      </w:r>
      <w:r>
        <w:rPr>
          <w:rFonts w:ascii="Arial" w:eastAsia="宋体" w:hAnsi="Arial" w:cs="Arial"/>
          <w:sz w:val="20"/>
          <w:szCs w:val="20"/>
        </w:rPr>
        <w:t xml:space="preserve"> issued by the Committee of Sponsoring Organizations of the Treadwa</w:t>
      </w:r>
      <w:r>
        <w:rPr>
          <w:rFonts w:ascii="Arial" w:eastAsia="宋体" w:hAnsi="Arial" w:cs="Arial"/>
          <w:sz w:val="20"/>
          <w:szCs w:val="20"/>
        </w:rPr>
        <w:t xml:space="preserve">y Commission. Based on its evaluation under the framework in </w:t>
      </w:r>
      <w:r>
        <w:rPr>
          <w:rFonts w:ascii="Arial" w:eastAsia="宋体" w:hAnsi="Arial" w:cs="Arial"/>
          <w:i/>
          <w:iCs/>
          <w:sz w:val="20"/>
          <w:szCs w:val="20"/>
        </w:rPr>
        <w:t>Internal Control - Integrated Framework</w:t>
      </w:r>
      <w:r>
        <w:rPr>
          <w:rFonts w:ascii="Arial" w:eastAsia="宋体" w:hAnsi="Arial" w:cs="Arial"/>
          <w:sz w:val="20"/>
          <w:szCs w:val="20"/>
        </w:rPr>
        <w:t>, our management concluded that our internal control over financial reporting was effective as of December 31, 2019.</w:t>
      </w:r>
    </w:p>
    <w:p w14:paraId="0BC98A53" w14:textId="77777777" w:rsidR="009F0928" w:rsidRDefault="009F0928">
      <w:pPr>
        <w:spacing w:line="288" w:lineRule="auto"/>
        <w:ind w:firstLine="720"/>
        <w:jc w:val="both"/>
        <w:rPr>
          <w:rFonts w:ascii="Times New Roman" w:hAnsi="Times New Roman"/>
          <w:sz w:val="20"/>
          <w:szCs w:val="20"/>
        </w:rPr>
      </w:pPr>
    </w:p>
    <w:p w14:paraId="0BC98A54"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effectiveness of our internal cont</w:t>
      </w:r>
      <w:r>
        <w:rPr>
          <w:rFonts w:ascii="Arial" w:eastAsia="宋体" w:hAnsi="Arial" w:cs="Arial"/>
          <w:sz w:val="20"/>
          <w:szCs w:val="20"/>
        </w:rPr>
        <w:t>rol over financial reporting as of December 31, 2019 has been audited by PricewaterhouseCoopers LLP, an independent registered public accounting firm, as stated in their report which appears in Item 15(a) of this Annual Report on Form 10-K.</w:t>
      </w:r>
    </w:p>
    <w:p w14:paraId="0BC98A55" w14:textId="77777777" w:rsidR="009F0928" w:rsidRDefault="009F0928">
      <w:pPr>
        <w:spacing w:line="288" w:lineRule="auto"/>
        <w:jc w:val="both"/>
        <w:rPr>
          <w:rFonts w:ascii="Times New Roman" w:hAnsi="Times New Roman"/>
          <w:sz w:val="20"/>
          <w:szCs w:val="20"/>
        </w:rPr>
      </w:pPr>
    </w:p>
    <w:p w14:paraId="0BC98A56" w14:textId="77777777" w:rsidR="009F0928" w:rsidRDefault="002112BD">
      <w:pPr>
        <w:spacing w:line="288" w:lineRule="auto"/>
        <w:ind w:hanging="1920"/>
        <w:rPr>
          <w:rFonts w:ascii="Times New Roman" w:hAnsi="Times New Roman"/>
          <w:sz w:val="20"/>
          <w:szCs w:val="20"/>
        </w:rPr>
      </w:pPr>
      <w:r>
        <w:rPr>
          <w:rFonts w:ascii="Arial" w:eastAsia="宋体" w:hAnsi="Arial" w:cs="Arial"/>
          <w:b/>
          <w:bCs/>
          <w:sz w:val="20"/>
          <w:szCs w:val="20"/>
        </w:rPr>
        <w:t xml:space="preserve">ITEM 9B: </w:t>
      </w:r>
      <w:r>
        <w:rPr>
          <w:rFonts w:ascii="Arial" w:eastAsia="宋体" w:hAnsi="Arial" w:cs="Arial"/>
          <w:b/>
          <w:bCs/>
          <w:i/>
          <w:iCs/>
          <w:sz w:val="20"/>
          <w:szCs w:val="20"/>
        </w:rPr>
        <w:t>OTHER</w:t>
      </w:r>
      <w:r>
        <w:rPr>
          <w:rFonts w:ascii="Arial" w:eastAsia="宋体" w:hAnsi="Arial" w:cs="Arial"/>
          <w:b/>
          <w:bCs/>
          <w:i/>
          <w:iCs/>
          <w:sz w:val="20"/>
          <w:szCs w:val="20"/>
        </w:rPr>
        <w:t xml:space="preserve"> INFORMATION</w:t>
      </w:r>
    </w:p>
    <w:p w14:paraId="0BC98A57" w14:textId="77777777" w:rsidR="009F0928" w:rsidRDefault="009F0928">
      <w:pPr>
        <w:spacing w:line="288" w:lineRule="auto"/>
        <w:ind w:firstLine="720"/>
        <w:rPr>
          <w:rFonts w:ascii="Times New Roman" w:hAnsi="Times New Roman"/>
          <w:sz w:val="20"/>
          <w:szCs w:val="20"/>
        </w:rPr>
      </w:pPr>
    </w:p>
    <w:p w14:paraId="0BC98A58" w14:textId="77777777" w:rsidR="009F0928" w:rsidRDefault="002112BD">
      <w:pPr>
        <w:spacing w:line="288" w:lineRule="auto"/>
        <w:ind w:firstLine="720"/>
        <w:rPr>
          <w:rFonts w:ascii="Times New Roman" w:hAnsi="Times New Roman"/>
          <w:sz w:val="20"/>
          <w:szCs w:val="20"/>
        </w:rPr>
      </w:pPr>
      <w:r>
        <w:rPr>
          <w:rFonts w:ascii="Arial" w:eastAsia="宋体" w:hAnsi="Arial" w:cs="Arial"/>
          <w:sz w:val="20"/>
          <w:szCs w:val="20"/>
        </w:rPr>
        <w:t xml:space="preserve">Not applicable. </w:t>
      </w:r>
    </w:p>
    <w:p w14:paraId="0BC98A59" w14:textId="77777777" w:rsidR="009F0928" w:rsidRDefault="009F0928">
      <w:pPr>
        <w:spacing w:line="288" w:lineRule="auto"/>
        <w:rPr>
          <w:rFonts w:ascii="Times New Roman" w:hAnsi="Times New Roman"/>
          <w:sz w:val="20"/>
          <w:szCs w:val="20"/>
        </w:rPr>
      </w:pPr>
    </w:p>
    <w:p w14:paraId="0BC98A5A" w14:textId="77777777" w:rsidR="009F0928" w:rsidRDefault="009F0928">
      <w:pPr>
        <w:rPr>
          <w:rFonts w:ascii="Times New Roman" w:hAnsi="Times New Roman"/>
          <w:sz w:val="20"/>
          <w:szCs w:val="20"/>
        </w:rPr>
      </w:pPr>
    </w:p>
    <w:p w14:paraId="0BC98A5B"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59</w:t>
      </w:r>
    </w:p>
    <w:p w14:paraId="0BC98A5C" w14:textId="77777777" w:rsidR="009F0928" w:rsidRDefault="002112BD">
      <w:r>
        <w:rPr>
          <w:rFonts w:ascii="Times New Roman" w:hAnsi="Times New Roman"/>
          <w:sz w:val="18"/>
          <w:szCs w:val="18"/>
        </w:rPr>
        <w:pict w14:anchorId="0BC9B4F8">
          <v:rect id="_x0000_i1084" style="width:415.3pt;height:1.5pt" o:hralign="center" o:hrstd="t" o:hr="t" fillcolor="#a0a0a0" stroked="f"/>
        </w:pict>
      </w:r>
    </w:p>
    <w:p w14:paraId="0BC98A5D" w14:textId="77777777" w:rsidR="009F0928" w:rsidRDefault="009F0928">
      <w:pPr>
        <w:spacing w:line="288" w:lineRule="auto"/>
        <w:rPr>
          <w:rFonts w:ascii="Times New Roman" w:hAnsi="Times New Roman"/>
          <w:sz w:val="20"/>
          <w:szCs w:val="20"/>
        </w:rPr>
      </w:pPr>
    </w:p>
    <w:p w14:paraId="0BC98A5E" w14:textId="77777777" w:rsidR="009F0928" w:rsidRDefault="009F0928">
      <w:pPr>
        <w:rPr>
          <w:rFonts w:ascii="Times New Roman" w:hAnsi="Times New Roman"/>
          <w:sz w:val="20"/>
          <w:szCs w:val="20"/>
        </w:rPr>
      </w:pPr>
    </w:p>
    <w:p w14:paraId="0BC98A5F"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PART III </w:t>
      </w:r>
    </w:p>
    <w:p w14:paraId="0BC98A60" w14:textId="77777777" w:rsidR="009F0928" w:rsidRDefault="009F0928">
      <w:pPr>
        <w:spacing w:line="288" w:lineRule="auto"/>
        <w:rPr>
          <w:rFonts w:ascii="Times New Roman" w:hAnsi="Times New Roman"/>
          <w:sz w:val="20"/>
          <w:szCs w:val="20"/>
        </w:rPr>
      </w:pPr>
    </w:p>
    <w:p w14:paraId="0BC98A61" w14:textId="77777777" w:rsidR="009F0928" w:rsidRDefault="002112BD">
      <w:pPr>
        <w:spacing w:line="288" w:lineRule="auto"/>
        <w:ind w:hanging="1920"/>
        <w:rPr>
          <w:rFonts w:ascii="Times New Roman" w:hAnsi="Times New Roman"/>
          <w:sz w:val="20"/>
          <w:szCs w:val="20"/>
        </w:rPr>
      </w:pPr>
      <w:r>
        <w:rPr>
          <w:rFonts w:ascii="Arial" w:eastAsia="宋体" w:hAnsi="Arial" w:cs="Arial"/>
          <w:b/>
          <w:bCs/>
          <w:sz w:val="20"/>
          <w:szCs w:val="20"/>
        </w:rPr>
        <w:t xml:space="preserve">ITEM 10: </w:t>
      </w:r>
      <w:r>
        <w:rPr>
          <w:rFonts w:ascii="Arial" w:eastAsia="宋体" w:hAnsi="Arial" w:cs="Arial"/>
          <w:b/>
          <w:bCs/>
          <w:i/>
          <w:iCs/>
          <w:sz w:val="20"/>
          <w:szCs w:val="20"/>
        </w:rPr>
        <w:t>DIRECTORS, EXECUTIVE OFFICERS AND CORPORATE GOVERNANCE</w:t>
      </w:r>
    </w:p>
    <w:p w14:paraId="0BC98A62" w14:textId="77777777" w:rsidR="009F0928" w:rsidRDefault="009F0928">
      <w:pPr>
        <w:spacing w:line="288" w:lineRule="auto"/>
        <w:ind w:firstLine="720"/>
        <w:rPr>
          <w:rFonts w:ascii="Times New Roman" w:hAnsi="Times New Roman"/>
          <w:sz w:val="20"/>
          <w:szCs w:val="20"/>
        </w:rPr>
      </w:pPr>
    </w:p>
    <w:p w14:paraId="0BC98A63"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Incorporated by reference from our Proxy Statement for our 2020 Annual Meeting of Stockholders to be filed with the SEC within 120 days afte</w:t>
      </w:r>
      <w:r>
        <w:rPr>
          <w:rFonts w:ascii="Arial" w:eastAsia="宋体" w:hAnsi="Arial" w:cs="Arial"/>
          <w:sz w:val="20"/>
          <w:szCs w:val="20"/>
        </w:rPr>
        <w:t xml:space="preserve">r the end of the year ended December 31, 2019. </w:t>
      </w:r>
    </w:p>
    <w:p w14:paraId="0BC98A64" w14:textId="77777777" w:rsidR="009F0928" w:rsidRDefault="009F0928">
      <w:pPr>
        <w:spacing w:line="288" w:lineRule="auto"/>
        <w:ind w:firstLine="600"/>
        <w:rPr>
          <w:rFonts w:ascii="Times New Roman" w:hAnsi="Times New Roman"/>
          <w:sz w:val="20"/>
          <w:szCs w:val="20"/>
        </w:rPr>
      </w:pPr>
    </w:p>
    <w:p w14:paraId="0BC98A65" w14:textId="77777777" w:rsidR="009F0928" w:rsidRDefault="002112BD">
      <w:pPr>
        <w:spacing w:line="288" w:lineRule="auto"/>
        <w:ind w:firstLine="600"/>
        <w:rPr>
          <w:rFonts w:ascii="Times New Roman" w:hAnsi="Times New Roman"/>
          <w:sz w:val="20"/>
          <w:szCs w:val="20"/>
        </w:rPr>
      </w:pPr>
      <w:r>
        <w:rPr>
          <w:rFonts w:ascii="Arial" w:eastAsia="宋体" w:hAnsi="Arial" w:cs="Arial"/>
          <w:b/>
          <w:bCs/>
          <w:i/>
          <w:iCs/>
          <w:sz w:val="20"/>
          <w:szCs w:val="20"/>
        </w:rPr>
        <w:t xml:space="preserve">Code of Ethics, Governance Guidelines and Committee Charters </w:t>
      </w:r>
    </w:p>
    <w:p w14:paraId="0BC98A66" w14:textId="77777777" w:rsidR="009F0928" w:rsidRDefault="009F0928">
      <w:pPr>
        <w:spacing w:line="288" w:lineRule="auto"/>
        <w:ind w:firstLine="600"/>
        <w:rPr>
          <w:rFonts w:ascii="Times New Roman" w:hAnsi="Times New Roman"/>
          <w:sz w:val="20"/>
          <w:szCs w:val="20"/>
        </w:rPr>
      </w:pPr>
    </w:p>
    <w:p w14:paraId="0BC98A67"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We have adopted a </w:t>
      </w:r>
      <w:r>
        <w:rPr>
          <w:rFonts w:ascii="Arial" w:eastAsia="宋体" w:hAnsi="Arial" w:cs="Arial"/>
          <w:i/>
          <w:iCs/>
          <w:sz w:val="20"/>
          <w:szCs w:val="20"/>
        </w:rPr>
        <w:t xml:space="preserve">Code of Business Conduct and Ethics </w:t>
      </w:r>
      <w:r>
        <w:rPr>
          <w:rFonts w:ascii="Arial" w:eastAsia="宋体" w:hAnsi="Arial" w:cs="Arial"/>
          <w:sz w:val="20"/>
          <w:szCs w:val="20"/>
        </w:rPr>
        <w:t xml:space="preserve">that applies to all eBay employees and directors. The </w:t>
      </w:r>
      <w:r>
        <w:rPr>
          <w:rFonts w:ascii="Arial" w:eastAsia="宋体" w:hAnsi="Arial" w:cs="Arial"/>
          <w:i/>
          <w:iCs/>
          <w:sz w:val="20"/>
          <w:szCs w:val="20"/>
        </w:rPr>
        <w:t xml:space="preserve">Code of Business Conduct and Ethics </w:t>
      </w:r>
      <w:r>
        <w:rPr>
          <w:rFonts w:ascii="Arial" w:eastAsia="宋体" w:hAnsi="Arial" w:cs="Arial"/>
          <w:sz w:val="20"/>
          <w:szCs w:val="20"/>
        </w:rPr>
        <w:t xml:space="preserve">is posted on our website at </w:t>
      </w:r>
      <w:r>
        <w:rPr>
          <w:rFonts w:ascii="Arial" w:eastAsia="宋体" w:hAnsi="Arial" w:cs="Arial"/>
          <w:i/>
          <w:iCs/>
          <w:sz w:val="20"/>
          <w:szCs w:val="20"/>
        </w:rPr>
        <w:t xml:space="preserve">https://investors.ebayinc.com/corporate-governance/governance-documents/. </w:t>
      </w:r>
      <w:r>
        <w:rPr>
          <w:rFonts w:ascii="Arial" w:eastAsia="宋体" w:hAnsi="Arial" w:cs="Arial"/>
          <w:sz w:val="20"/>
          <w:szCs w:val="20"/>
        </w:rPr>
        <w:t xml:space="preserve">We will post any amendments to or waivers from the </w:t>
      </w:r>
      <w:r>
        <w:rPr>
          <w:rFonts w:ascii="Arial" w:eastAsia="宋体" w:hAnsi="Arial" w:cs="Arial"/>
          <w:i/>
          <w:iCs/>
          <w:sz w:val="20"/>
          <w:szCs w:val="20"/>
        </w:rPr>
        <w:t>Code of Busin</w:t>
      </w:r>
      <w:r>
        <w:rPr>
          <w:rFonts w:ascii="Arial" w:eastAsia="宋体" w:hAnsi="Arial" w:cs="Arial"/>
          <w:i/>
          <w:iCs/>
          <w:sz w:val="20"/>
          <w:szCs w:val="20"/>
        </w:rPr>
        <w:t xml:space="preserve">ess Conduct and Ethics </w:t>
      </w:r>
      <w:r>
        <w:rPr>
          <w:rFonts w:ascii="Arial" w:eastAsia="宋体" w:hAnsi="Arial" w:cs="Arial"/>
          <w:sz w:val="20"/>
          <w:szCs w:val="20"/>
        </w:rPr>
        <w:t xml:space="preserve">at that location. </w:t>
      </w:r>
    </w:p>
    <w:p w14:paraId="0BC98A68" w14:textId="77777777" w:rsidR="009F0928" w:rsidRDefault="009F0928">
      <w:pPr>
        <w:spacing w:line="288" w:lineRule="auto"/>
        <w:ind w:firstLine="600"/>
        <w:jc w:val="both"/>
        <w:rPr>
          <w:rFonts w:ascii="Times New Roman" w:hAnsi="Times New Roman"/>
          <w:sz w:val="20"/>
          <w:szCs w:val="20"/>
        </w:rPr>
      </w:pPr>
    </w:p>
    <w:p w14:paraId="0BC98A69"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We have also adopted </w:t>
      </w:r>
      <w:r>
        <w:rPr>
          <w:rFonts w:ascii="Arial" w:eastAsia="宋体" w:hAnsi="Arial" w:cs="Arial"/>
          <w:i/>
          <w:iCs/>
          <w:sz w:val="20"/>
          <w:szCs w:val="20"/>
        </w:rPr>
        <w:t xml:space="preserve">Governance Guidelines for the Board of Directors </w:t>
      </w:r>
      <w:r>
        <w:rPr>
          <w:rFonts w:ascii="Arial" w:eastAsia="宋体" w:hAnsi="Arial" w:cs="Arial"/>
          <w:sz w:val="20"/>
          <w:szCs w:val="20"/>
        </w:rPr>
        <w:t>and a written committee charter for each of our Audit Committee, Compensation Committee and Corporate Governance and Nominating Committee. Each</w:t>
      </w:r>
      <w:r>
        <w:rPr>
          <w:rFonts w:ascii="Arial" w:eastAsia="宋体" w:hAnsi="Arial" w:cs="Arial"/>
          <w:sz w:val="20"/>
          <w:szCs w:val="20"/>
        </w:rPr>
        <w:t xml:space="preserve"> of these documents is available on our website at </w:t>
      </w:r>
      <w:r>
        <w:rPr>
          <w:rFonts w:ascii="Arial" w:eastAsia="宋体" w:hAnsi="Arial" w:cs="Arial"/>
          <w:i/>
          <w:iCs/>
          <w:sz w:val="20"/>
          <w:szCs w:val="20"/>
        </w:rPr>
        <w:t>https://investors.ebayinc.com/corporate-governance/governance-documents/.</w:t>
      </w:r>
      <w:r>
        <w:rPr>
          <w:rFonts w:ascii="Arial" w:eastAsia="宋体" w:hAnsi="Arial" w:cs="Arial"/>
          <w:sz w:val="20"/>
          <w:szCs w:val="20"/>
        </w:rPr>
        <w:t xml:space="preserve"> </w:t>
      </w:r>
    </w:p>
    <w:p w14:paraId="0BC98A6A" w14:textId="77777777" w:rsidR="009F0928" w:rsidRDefault="009F0928">
      <w:pPr>
        <w:spacing w:line="288" w:lineRule="auto"/>
        <w:rPr>
          <w:rFonts w:ascii="Times New Roman" w:hAnsi="Times New Roman"/>
          <w:sz w:val="20"/>
          <w:szCs w:val="20"/>
        </w:rPr>
      </w:pPr>
    </w:p>
    <w:p w14:paraId="0BC98A6B" w14:textId="77777777" w:rsidR="009F0928" w:rsidRDefault="002112BD">
      <w:pPr>
        <w:spacing w:line="288" w:lineRule="auto"/>
        <w:ind w:hanging="1920"/>
        <w:jc w:val="both"/>
        <w:rPr>
          <w:rFonts w:ascii="Times New Roman" w:hAnsi="Times New Roman"/>
          <w:sz w:val="20"/>
          <w:szCs w:val="20"/>
        </w:rPr>
      </w:pPr>
      <w:r>
        <w:rPr>
          <w:rFonts w:ascii="Arial" w:eastAsia="宋体" w:hAnsi="Arial" w:cs="Arial"/>
          <w:b/>
          <w:bCs/>
          <w:sz w:val="20"/>
          <w:szCs w:val="20"/>
        </w:rPr>
        <w:t xml:space="preserve">ITEM 11: </w:t>
      </w:r>
      <w:r>
        <w:rPr>
          <w:rFonts w:ascii="Arial" w:eastAsia="宋体" w:hAnsi="Arial" w:cs="Arial"/>
          <w:b/>
          <w:bCs/>
          <w:i/>
          <w:iCs/>
          <w:sz w:val="20"/>
          <w:szCs w:val="20"/>
        </w:rPr>
        <w:t>EXECUTIVE COMPENSATION</w:t>
      </w:r>
    </w:p>
    <w:p w14:paraId="0BC98A6C" w14:textId="77777777" w:rsidR="009F0928" w:rsidRDefault="009F0928">
      <w:pPr>
        <w:spacing w:line="288" w:lineRule="auto"/>
        <w:ind w:firstLine="720"/>
        <w:jc w:val="both"/>
        <w:rPr>
          <w:rFonts w:ascii="Times New Roman" w:hAnsi="Times New Roman"/>
          <w:sz w:val="20"/>
          <w:szCs w:val="20"/>
        </w:rPr>
      </w:pPr>
    </w:p>
    <w:p w14:paraId="0BC98A6D"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Incorporated by reference from our Proxy Statement for our 2020 Annual Meeting of Stockholders to be filed with the SEC within 120 days after the end of the year ended December 31, 2019. </w:t>
      </w:r>
    </w:p>
    <w:p w14:paraId="0BC98A6E" w14:textId="77777777" w:rsidR="009F0928" w:rsidRDefault="009F0928">
      <w:pPr>
        <w:spacing w:line="288" w:lineRule="auto"/>
        <w:jc w:val="both"/>
        <w:rPr>
          <w:rFonts w:ascii="Times New Roman" w:hAnsi="Times New Roman"/>
          <w:sz w:val="20"/>
          <w:szCs w:val="20"/>
        </w:rPr>
      </w:pPr>
    </w:p>
    <w:p w14:paraId="0BC98A6F" w14:textId="77777777" w:rsidR="009F0928" w:rsidRDefault="002112BD">
      <w:pPr>
        <w:spacing w:line="288" w:lineRule="auto"/>
        <w:ind w:hanging="1200"/>
        <w:jc w:val="both"/>
        <w:rPr>
          <w:rFonts w:ascii="Times New Roman" w:hAnsi="Times New Roman"/>
          <w:sz w:val="20"/>
          <w:szCs w:val="20"/>
        </w:rPr>
      </w:pPr>
      <w:r>
        <w:rPr>
          <w:rFonts w:ascii="Arial" w:eastAsia="宋体" w:hAnsi="Arial" w:cs="Arial"/>
          <w:b/>
          <w:bCs/>
          <w:sz w:val="20"/>
          <w:szCs w:val="20"/>
        </w:rPr>
        <w:t xml:space="preserve">ITEM 12: </w:t>
      </w:r>
      <w:r>
        <w:rPr>
          <w:rFonts w:ascii="Arial" w:eastAsia="宋体" w:hAnsi="Arial" w:cs="Arial"/>
          <w:b/>
          <w:bCs/>
          <w:i/>
          <w:iCs/>
          <w:sz w:val="20"/>
          <w:szCs w:val="20"/>
        </w:rPr>
        <w:t>SECURITY OWNERSHIP OF CERTAIN BENEFICIAL OWNERS AND MANAGE</w:t>
      </w:r>
      <w:r>
        <w:rPr>
          <w:rFonts w:ascii="Arial" w:eastAsia="宋体" w:hAnsi="Arial" w:cs="Arial"/>
          <w:b/>
          <w:bCs/>
          <w:i/>
          <w:iCs/>
          <w:sz w:val="20"/>
          <w:szCs w:val="20"/>
        </w:rPr>
        <w:t>MENT AND RELATED STOCKHOLDER MATTERS</w:t>
      </w:r>
    </w:p>
    <w:p w14:paraId="0BC98A70" w14:textId="77777777" w:rsidR="009F0928" w:rsidRDefault="009F0928">
      <w:pPr>
        <w:spacing w:line="288" w:lineRule="auto"/>
        <w:ind w:firstLine="720"/>
        <w:jc w:val="both"/>
        <w:rPr>
          <w:rFonts w:ascii="Times New Roman" w:hAnsi="Times New Roman"/>
          <w:sz w:val="20"/>
          <w:szCs w:val="20"/>
        </w:rPr>
      </w:pPr>
    </w:p>
    <w:p w14:paraId="0BC98A71"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Incorporated by reference from our Proxy Statement for our 2020 Annual Meeting of Stockholders to be filed with the SEC within 120 days after the end of the year ended December 31, 2019. </w:t>
      </w:r>
    </w:p>
    <w:p w14:paraId="0BC98A72" w14:textId="77777777" w:rsidR="009F0928" w:rsidRDefault="009F0928">
      <w:pPr>
        <w:spacing w:line="288" w:lineRule="auto"/>
        <w:jc w:val="both"/>
        <w:rPr>
          <w:rFonts w:ascii="Times New Roman" w:hAnsi="Times New Roman"/>
          <w:sz w:val="20"/>
          <w:szCs w:val="20"/>
        </w:rPr>
      </w:pPr>
    </w:p>
    <w:p w14:paraId="0BC98A73" w14:textId="77777777" w:rsidR="009F0928" w:rsidRDefault="002112BD">
      <w:pPr>
        <w:spacing w:line="288" w:lineRule="auto"/>
        <w:ind w:hanging="1920"/>
        <w:jc w:val="both"/>
        <w:rPr>
          <w:rFonts w:ascii="Times New Roman" w:hAnsi="Times New Roman"/>
          <w:sz w:val="20"/>
          <w:szCs w:val="20"/>
        </w:rPr>
      </w:pPr>
      <w:r>
        <w:rPr>
          <w:rFonts w:ascii="Arial" w:eastAsia="宋体" w:hAnsi="Arial" w:cs="Arial"/>
          <w:b/>
          <w:bCs/>
          <w:sz w:val="20"/>
          <w:szCs w:val="20"/>
        </w:rPr>
        <w:t xml:space="preserve">ITEM 13: </w:t>
      </w:r>
      <w:r>
        <w:rPr>
          <w:rFonts w:ascii="Arial" w:eastAsia="宋体" w:hAnsi="Arial" w:cs="Arial"/>
          <w:b/>
          <w:bCs/>
          <w:i/>
          <w:iCs/>
          <w:sz w:val="20"/>
          <w:szCs w:val="20"/>
        </w:rPr>
        <w:t>CERTAIN RELATIONSHIP</w:t>
      </w:r>
      <w:r>
        <w:rPr>
          <w:rFonts w:ascii="Arial" w:eastAsia="宋体" w:hAnsi="Arial" w:cs="Arial"/>
          <w:b/>
          <w:bCs/>
          <w:i/>
          <w:iCs/>
          <w:sz w:val="20"/>
          <w:szCs w:val="20"/>
        </w:rPr>
        <w:t>S AND RELATED TRANSACTIONS, AND DIRECTOR INDEPENDENCE</w:t>
      </w:r>
    </w:p>
    <w:p w14:paraId="0BC98A74" w14:textId="77777777" w:rsidR="009F0928" w:rsidRDefault="009F0928">
      <w:pPr>
        <w:spacing w:line="288" w:lineRule="auto"/>
        <w:ind w:firstLine="720"/>
        <w:jc w:val="both"/>
        <w:rPr>
          <w:rFonts w:ascii="Times New Roman" w:hAnsi="Times New Roman"/>
          <w:sz w:val="20"/>
          <w:szCs w:val="20"/>
        </w:rPr>
      </w:pPr>
    </w:p>
    <w:p w14:paraId="0BC98A75"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Incorporated by reference from our Proxy Statement for our 2020 Annual Meeting of Stockholders to be filed with the SEC within 120 days after the end of the year ended December 31, 2019. </w:t>
      </w:r>
    </w:p>
    <w:p w14:paraId="0BC98A76" w14:textId="77777777" w:rsidR="009F0928" w:rsidRDefault="009F0928">
      <w:pPr>
        <w:spacing w:line="288" w:lineRule="auto"/>
        <w:jc w:val="both"/>
        <w:rPr>
          <w:rFonts w:ascii="Times New Roman" w:hAnsi="Times New Roman"/>
          <w:sz w:val="20"/>
          <w:szCs w:val="20"/>
        </w:rPr>
      </w:pPr>
    </w:p>
    <w:p w14:paraId="0BC98A77" w14:textId="77777777" w:rsidR="009F0928" w:rsidRDefault="002112BD">
      <w:pPr>
        <w:spacing w:line="288" w:lineRule="auto"/>
        <w:ind w:hanging="1920"/>
        <w:jc w:val="both"/>
        <w:rPr>
          <w:rFonts w:ascii="Times New Roman" w:hAnsi="Times New Roman"/>
          <w:sz w:val="20"/>
          <w:szCs w:val="20"/>
        </w:rPr>
      </w:pPr>
      <w:r>
        <w:rPr>
          <w:rFonts w:ascii="Arial" w:eastAsia="宋体" w:hAnsi="Arial" w:cs="Arial"/>
          <w:b/>
          <w:bCs/>
          <w:sz w:val="20"/>
          <w:szCs w:val="20"/>
        </w:rPr>
        <w:t xml:space="preserve">ITEM 14: </w:t>
      </w:r>
      <w:r>
        <w:rPr>
          <w:rFonts w:ascii="Arial" w:eastAsia="宋体" w:hAnsi="Arial" w:cs="Arial"/>
          <w:b/>
          <w:bCs/>
          <w:i/>
          <w:iCs/>
          <w:sz w:val="20"/>
          <w:szCs w:val="20"/>
        </w:rPr>
        <w:t>PRI</w:t>
      </w:r>
      <w:r>
        <w:rPr>
          <w:rFonts w:ascii="Arial" w:eastAsia="宋体" w:hAnsi="Arial" w:cs="Arial"/>
          <w:b/>
          <w:bCs/>
          <w:i/>
          <w:iCs/>
          <w:sz w:val="20"/>
          <w:szCs w:val="20"/>
        </w:rPr>
        <w:t>NCIPAL ACCOUNTANT FEES AND SERVICES</w:t>
      </w:r>
    </w:p>
    <w:p w14:paraId="0BC98A78" w14:textId="77777777" w:rsidR="009F0928" w:rsidRDefault="009F0928">
      <w:pPr>
        <w:spacing w:line="288" w:lineRule="auto"/>
        <w:ind w:firstLine="720"/>
        <w:jc w:val="both"/>
        <w:rPr>
          <w:rFonts w:ascii="Times New Roman" w:hAnsi="Times New Roman"/>
          <w:sz w:val="20"/>
          <w:szCs w:val="20"/>
        </w:rPr>
      </w:pPr>
    </w:p>
    <w:p w14:paraId="0BC98A79"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xml:space="preserve">Incorporated by reference from our Proxy Statement for our 2020 Annual Meeting of Stockholders to be filed with the SEC within 120 days after the end of the year ended December 31, 2019. </w:t>
      </w:r>
    </w:p>
    <w:p w14:paraId="0BC98A7A" w14:textId="77777777" w:rsidR="009F0928" w:rsidRDefault="009F0928">
      <w:pPr>
        <w:spacing w:line="288" w:lineRule="auto"/>
        <w:ind w:firstLine="640"/>
        <w:jc w:val="both"/>
        <w:rPr>
          <w:rFonts w:ascii="Times New Roman" w:hAnsi="Times New Roman"/>
          <w:sz w:val="20"/>
          <w:szCs w:val="20"/>
        </w:rPr>
      </w:pPr>
    </w:p>
    <w:p w14:paraId="0BC98A7B" w14:textId="77777777" w:rsidR="009F0928" w:rsidRDefault="009F0928">
      <w:pPr>
        <w:rPr>
          <w:rFonts w:ascii="Times New Roman" w:hAnsi="Times New Roman"/>
          <w:sz w:val="20"/>
          <w:szCs w:val="20"/>
        </w:rPr>
      </w:pPr>
    </w:p>
    <w:p w14:paraId="0BC98A7C"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60</w:t>
      </w:r>
    </w:p>
    <w:p w14:paraId="0BC98A7D" w14:textId="77777777" w:rsidR="009F0928" w:rsidRDefault="002112BD">
      <w:r>
        <w:rPr>
          <w:rFonts w:ascii="Times New Roman" w:hAnsi="Times New Roman"/>
          <w:sz w:val="18"/>
          <w:szCs w:val="18"/>
        </w:rPr>
        <w:pict w14:anchorId="0BC9B4F9">
          <v:rect id="_x0000_i1085" style="width:415.3pt;height:1.5pt" o:hralign="center" o:hrstd="t" o:hr="t" fillcolor="#a0a0a0" stroked="f"/>
        </w:pict>
      </w:r>
    </w:p>
    <w:p w14:paraId="0BC98A7E" w14:textId="77777777" w:rsidR="009F0928" w:rsidRDefault="009F0928">
      <w:pPr>
        <w:spacing w:line="288" w:lineRule="auto"/>
        <w:rPr>
          <w:rFonts w:ascii="Times New Roman" w:hAnsi="Times New Roman"/>
          <w:sz w:val="20"/>
          <w:szCs w:val="20"/>
        </w:rPr>
      </w:pPr>
    </w:p>
    <w:p w14:paraId="0BC98A7F" w14:textId="77777777" w:rsidR="009F0928" w:rsidRDefault="009F0928">
      <w:pPr>
        <w:rPr>
          <w:rFonts w:ascii="Times New Roman" w:hAnsi="Times New Roman"/>
          <w:sz w:val="20"/>
          <w:szCs w:val="20"/>
        </w:rPr>
      </w:pPr>
    </w:p>
    <w:p w14:paraId="0BC98A80"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PART IV </w:t>
      </w:r>
    </w:p>
    <w:p w14:paraId="0BC98A81" w14:textId="77777777" w:rsidR="009F0928" w:rsidRDefault="009F0928">
      <w:pPr>
        <w:spacing w:line="288" w:lineRule="auto"/>
        <w:ind w:hanging="1920"/>
        <w:rPr>
          <w:rFonts w:ascii="Times New Roman" w:hAnsi="Times New Roman"/>
          <w:sz w:val="20"/>
          <w:szCs w:val="20"/>
        </w:rPr>
      </w:pPr>
    </w:p>
    <w:p w14:paraId="0BC98A82" w14:textId="77777777" w:rsidR="009F0928" w:rsidRDefault="002112BD">
      <w:pPr>
        <w:spacing w:line="288" w:lineRule="auto"/>
        <w:ind w:hanging="1920"/>
        <w:rPr>
          <w:rFonts w:ascii="Times New Roman" w:hAnsi="Times New Roman"/>
          <w:sz w:val="20"/>
          <w:szCs w:val="20"/>
        </w:rPr>
      </w:pPr>
      <w:r>
        <w:rPr>
          <w:rFonts w:ascii="Arial" w:eastAsia="宋体" w:hAnsi="Arial" w:cs="Arial"/>
          <w:b/>
          <w:bCs/>
          <w:sz w:val="20"/>
          <w:szCs w:val="20"/>
        </w:rPr>
        <w:t>ITEM 15:</w:t>
      </w:r>
      <w:r>
        <w:rPr>
          <w:rFonts w:ascii="Arial" w:eastAsia="宋体" w:hAnsi="Arial" w:cs="Arial"/>
          <w:b/>
          <w:bCs/>
          <w:i/>
          <w:iCs/>
          <w:sz w:val="20"/>
          <w:szCs w:val="20"/>
        </w:rPr>
        <w:t xml:space="preserve"> EXHIBITS AND FINANCIAL STATEMENT SCHEDULE</w:t>
      </w:r>
      <w:r>
        <w:rPr>
          <w:rFonts w:ascii="Arial" w:eastAsia="宋体" w:hAnsi="Arial" w:cs="Arial"/>
          <w:b/>
          <w:bCs/>
          <w:sz w:val="20"/>
          <w:szCs w:val="20"/>
        </w:rPr>
        <w:t xml:space="preserve"> </w:t>
      </w:r>
    </w:p>
    <w:p w14:paraId="0BC98A83" w14:textId="77777777" w:rsidR="009F0928" w:rsidRDefault="002112BD">
      <w:pPr>
        <w:spacing w:line="288" w:lineRule="auto"/>
        <w:rPr>
          <w:rFonts w:ascii="Times New Roman" w:hAnsi="Times New Roman"/>
          <w:sz w:val="20"/>
          <w:szCs w:val="20"/>
        </w:rPr>
      </w:pPr>
      <w:r>
        <w:rPr>
          <w:rFonts w:ascii="Arial" w:eastAsia="宋体" w:hAnsi="Arial" w:cs="Arial"/>
          <w:sz w:val="20"/>
          <w:szCs w:val="20"/>
        </w:rPr>
        <w:t xml:space="preserve">(a) The following documents are filed as part of this report: </w:t>
      </w:r>
    </w:p>
    <w:tbl>
      <w:tblPr>
        <w:tblW w:w="4775" w:type="pct"/>
        <w:tblCellMar>
          <w:left w:w="0" w:type="dxa"/>
          <w:right w:w="0" w:type="dxa"/>
        </w:tblCellMar>
        <w:tblLook w:val="04A0" w:firstRow="1" w:lastRow="0" w:firstColumn="1" w:lastColumn="0" w:noHBand="0" w:noVBand="1"/>
      </w:tblPr>
      <w:tblGrid>
        <w:gridCol w:w="7096"/>
        <w:gridCol w:w="836"/>
      </w:tblGrid>
      <w:tr w:rsidR="009F0928" w14:paraId="0BC98A85" w14:textId="77777777">
        <w:tc>
          <w:tcPr>
            <w:tcW w:w="0" w:type="auto"/>
            <w:gridSpan w:val="2"/>
            <w:shd w:val="clear" w:color="auto" w:fill="auto"/>
            <w:vAlign w:val="center"/>
          </w:tcPr>
          <w:p w14:paraId="0BC98A84" w14:textId="77777777" w:rsidR="009F0928" w:rsidRDefault="009F0928">
            <w:pPr>
              <w:rPr>
                <w:rFonts w:ascii="Times New Roman" w:hAnsi="Times New Roman"/>
                <w:sz w:val="20"/>
                <w:szCs w:val="20"/>
              </w:rPr>
            </w:pPr>
          </w:p>
        </w:tc>
      </w:tr>
      <w:tr w:rsidR="009F0928" w14:paraId="0BC98A88" w14:textId="77777777">
        <w:tc>
          <w:tcPr>
            <w:tcW w:w="4550" w:type="pct"/>
            <w:shd w:val="clear" w:color="auto" w:fill="auto"/>
            <w:vAlign w:val="center"/>
          </w:tcPr>
          <w:p w14:paraId="0BC98A86" w14:textId="77777777" w:rsidR="009F0928" w:rsidRDefault="009F0928">
            <w:pPr>
              <w:rPr>
                <w:rFonts w:ascii="Times New Roman" w:hAnsi="Times New Roman"/>
                <w:sz w:val="20"/>
                <w:szCs w:val="20"/>
              </w:rPr>
            </w:pPr>
          </w:p>
        </w:tc>
        <w:tc>
          <w:tcPr>
            <w:tcW w:w="450" w:type="pct"/>
            <w:shd w:val="clear" w:color="auto" w:fill="auto"/>
            <w:vAlign w:val="center"/>
          </w:tcPr>
          <w:p w14:paraId="0BC98A87" w14:textId="77777777" w:rsidR="009F0928" w:rsidRDefault="009F0928">
            <w:pPr>
              <w:rPr>
                <w:rFonts w:ascii="Times New Roman" w:hAnsi="Times New Roman"/>
                <w:sz w:val="20"/>
                <w:szCs w:val="20"/>
              </w:rPr>
            </w:pPr>
          </w:p>
        </w:tc>
      </w:tr>
      <w:tr w:rsidR="009F0928" w14:paraId="0BC98A8B" w14:textId="77777777">
        <w:tc>
          <w:tcPr>
            <w:tcW w:w="0" w:type="auto"/>
            <w:shd w:val="clear" w:color="auto" w:fill="auto"/>
            <w:tcMar>
              <w:top w:w="40" w:type="dxa"/>
              <w:left w:w="40" w:type="dxa"/>
              <w:bottom w:w="40" w:type="dxa"/>
              <w:right w:w="40" w:type="dxa"/>
            </w:tcMar>
            <w:vAlign w:val="bottom"/>
          </w:tcPr>
          <w:p w14:paraId="0BC98A89" w14:textId="77777777" w:rsidR="009F0928" w:rsidRDefault="002112BD">
            <w:pPr>
              <w:textAlignment w:val="bottom"/>
              <w:rPr>
                <w:rFonts w:ascii="Times New Roman" w:hAnsi="Times New Roman"/>
                <w:sz w:val="20"/>
                <w:szCs w:val="20"/>
              </w:rPr>
            </w:pPr>
            <w:r>
              <w:rPr>
                <w:rFonts w:ascii="Arial" w:eastAsia="宋体" w:hAnsi="Arial" w:cs="Arial"/>
                <w:b/>
                <w:bCs/>
                <w:i/>
                <w:iCs/>
                <w:sz w:val="20"/>
                <w:szCs w:val="20"/>
              </w:rPr>
              <w:t>1. Consolidated Financial Statements:</w:t>
            </w:r>
          </w:p>
        </w:tc>
        <w:tc>
          <w:tcPr>
            <w:tcW w:w="0" w:type="auto"/>
            <w:shd w:val="clear" w:color="auto" w:fill="auto"/>
            <w:tcMar>
              <w:top w:w="40" w:type="dxa"/>
              <w:left w:w="40" w:type="dxa"/>
              <w:bottom w:w="40" w:type="dxa"/>
              <w:right w:w="40" w:type="dxa"/>
            </w:tcMar>
            <w:vAlign w:val="bottom"/>
          </w:tcPr>
          <w:p w14:paraId="0BC98A8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A8E" w14:textId="77777777">
        <w:tc>
          <w:tcPr>
            <w:tcW w:w="0" w:type="auto"/>
            <w:shd w:val="clear" w:color="auto" w:fill="auto"/>
            <w:tcMar>
              <w:top w:w="40" w:type="dxa"/>
              <w:left w:w="40" w:type="dxa"/>
              <w:bottom w:w="40" w:type="dxa"/>
              <w:right w:w="40" w:type="dxa"/>
            </w:tcMar>
            <w:vAlign w:val="bottom"/>
          </w:tcPr>
          <w:p w14:paraId="0BC98A8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8A8D" w14:textId="77777777" w:rsidR="009F0928" w:rsidRDefault="002112BD">
            <w:pPr>
              <w:jc w:val="center"/>
              <w:textAlignment w:val="bottom"/>
              <w:rPr>
                <w:rFonts w:ascii="Times New Roman" w:hAnsi="Times New Roman"/>
                <w:sz w:val="20"/>
                <w:szCs w:val="20"/>
              </w:rPr>
            </w:pPr>
            <w:r>
              <w:rPr>
                <w:rFonts w:ascii="Arial" w:eastAsia="宋体" w:hAnsi="Arial" w:cs="Arial"/>
                <w:b/>
                <w:bCs/>
                <w:sz w:val="20"/>
                <w:szCs w:val="20"/>
              </w:rPr>
              <w:t>Page Number</w:t>
            </w:r>
          </w:p>
        </w:tc>
      </w:tr>
      <w:tr w:rsidR="009F0928" w14:paraId="0BC98A91" w14:textId="77777777">
        <w:tc>
          <w:tcPr>
            <w:tcW w:w="0" w:type="auto"/>
            <w:shd w:val="clear" w:color="auto" w:fill="auto"/>
            <w:tcMar>
              <w:top w:w="40" w:type="dxa"/>
              <w:left w:w="480" w:type="dxa"/>
              <w:bottom w:w="40" w:type="dxa"/>
              <w:right w:w="40" w:type="dxa"/>
            </w:tcMar>
            <w:vAlign w:val="bottom"/>
          </w:tcPr>
          <w:p w14:paraId="0BC98A8F" w14:textId="77777777" w:rsidR="009F0928" w:rsidRDefault="002112BD">
            <w:pPr>
              <w:textAlignment w:val="bottom"/>
              <w:rPr>
                <w:rFonts w:ascii="Times New Roman" w:hAnsi="Times New Roman"/>
                <w:sz w:val="20"/>
                <w:szCs w:val="20"/>
              </w:rPr>
            </w:pPr>
            <w:r>
              <w:rPr>
                <w:rFonts w:ascii="Arial" w:eastAsia="宋体" w:hAnsi="Arial" w:cs="Arial"/>
                <w:b/>
                <w:bCs/>
                <w:sz w:val="20"/>
                <w:szCs w:val="20"/>
              </w:rPr>
              <w:t>Report of Independent Registered Public Accounting Firm</w:t>
            </w:r>
          </w:p>
        </w:tc>
        <w:tc>
          <w:tcPr>
            <w:tcW w:w="0" w:type="auto"/>
            <w:shd w:val="clear" w:color="auto" w:fill="auto"/>
            <w:tcMar>
              <w:top w:w="40" w:type="dxa"/>
              <w:left w:w="40" w:type="dxa"/>
              <w:bottom w:w="40" w:type="dxa"/>
              <w:right w:w="40" w:type="dxa"/>
            </w:tcMar>
            <w:vAlign w:val="bottom"/>
          </w:tcPr>
          <w:p w14:paraId="0BC98A90" w14:textId="77777777" w:rsidR="009F0928" w:rsidRDefault="002112BD">
            <w:pPr>
              <w:jc w:val="center"/>
              <w:textAlignment w:val="bottom"/>
              <w:rPr>
                <w:rFonts w:ascii="Times New Roman" w:hAnsi="Times New Roman"/>
                <w:sz w:val="20"/>
                <w:szCs w:val="20"/>
              </w:rPr>
            </w:pPr>
            <w:hyperlink r:id="rId28" w:anchor="s0BE7E8021C7E54BB92E96DABBBD91976" w:history="1">
              <w:r>
                <w:rPr>
                  <w:rStyle w:val="a5"/>
                  <w:rFonts w:ascii="Arial" w:eastAsia="宋体" w:hAnsi="Arial" w:cs="Arial"/>
                  <w:sz w:val="20"/>
                  <w:szCs w:val="20"/>
                </w:rPr>
                <w:t>F-1</w:t>
              </w:r>
            </w:hyperlink>
          </w:p>
        </w:tc>
      </w:tr>
      <w:tr w:rsidR="009F0928" w14:paraId="0BC98A94" w14:textId="77777777">
        <w:tc>
          <w:tcPr>
            <w:tcW w:w="0" w:type="auto"/>
            <w:shd w:val="clear" w:color="auto" w:fill="auto"/>
            <w:tcMar>
              <w:top w:w="40" w:type="dxa"/>
              <w:left w:w="480" w:type="dxa"/>
              <w:bottom w:w="40" w:type="dxa"/>
              <w:right w:w="40" w:type="dxa"/>
            </w:tcMar>
            <w:vAlign w:val="bottom"/>
          </w:tcPr>
          <w:p w14:paraId="0BC98A92" w14:textId="77777777" w:rsidR="009F0928" w:rsidRDefault="002112BD">
            <w:pPr>
              <w:textAlignment w:val="bottom"/>
              <w:rPr>
                <w:rFonts w:ascii="Times New Roman" w:hAnsi="Times New Roman"/>
                <w:sz w:val="20"/>
                <w:szCs w:val="20"/>
              </w:rPr>
            </w:pPr>
            <w:r>
              <w:rPr>
                <w:rFonts w:ascii="Arial" w:eastAsia="宋体" w:hAnsi="Arial" w:cs="Arial"/>
                <w:b/>
                <w:bCs/>
                <w:sz w:val="20"/>
                <w:szCs w:val="20"/>
              </w:rPr>
              <w:t>Consolidated Balance Sheet</w:t>
            </w:r>
          </w:p>
        </w:tc>
        <w:tc>
          <w:tcPr>
            <w:tcW w:w="0" w:type="auto"/>
            <w:shd w:val="clear" w:color="auto" w:fill="auto"/>
            <w:tcMar>
              <w:top w:w="40" w:type="dxa"/>
              <w:left w:w="40" w:type="dxa"/>
              <w:bottom w:w="40" w:type="dxa"/>
              <w:right w:w="40" w:type="dxa"/>
            </w:tcMar>
            <w:vAlign w:val="bottom"/>
          </w:tcPr>
          <w:p w14:paraId="0BC98A93" w14:textId="77777777" w:rsidR="009F0928" w:rsidRDefault="002112BD">
            <w:pPr>
              <w:jc w:val="center"/>
              <w:textAlignment w:val="bottom"/>
              <w:rPr>
                <w:rFonts w:ascii="Times New Roman" w:hAnsi="Times New Roman"/>
                <w:sz w:val="20"/>
                <w:szCs w:val="20"/>
              </w:rPr>
            </w:pPr>
            <w:hyperlink r:id="rId29" w:anchor="sA192BC5BA1595178A9672E736A34F6AD" w:history="1">
              <w:r>
                <w:rPr>
                  <w:rStyle w:val="a5"/>
                  <w:rFonts w:ascii="Arial" w:eastAsia="宋体" w:hAnsi="Arial" w:cs="Arial"/>
                  <w:sz w:val="20"/>
                  <w:szCs w:val="20"/>
                </w:rPr>
                <w:t>F-3</w:t>
              </w:r>
            </w:hyperlink>
          </w:p>
        </w:tc>
      </w:tr>
      <w:tr w:rsidR="009F0928" w14:paraId="0BC98A97" w14:textId="77777777">
        <w:tc>
          <w:tcPr>
            <w:tcW w:w="0" w:type="auto"/>
            <w:shd w:val="clear" w:color="auto" w:fill="auto"/>
            <w:tcMar>
              <w:top w:w="40" w:type="dxa"/>
              <w:left w:w="480" w:type="dxa"/>
              <w:bottom w:w="40" w:type="dxa"/>
              <w:right w:w="40" w:type="dxa"/>
            </w:tcMar>
            <w:vAlign w:val="bottom"/>
          </w:tcPr>
          <w:p w14:paraId="0BC98A95" w14:textId="77777777" w:rsidR="009F0928" w:rsidRDefault="002112BD">
            <w:pPr>
              <w:textAlignment w:val="bottom"/>
              <w:rPr>
                <w:rFonts w:ascii="Times New Roman" w:hAnsi="Times New Roman"/>
                <w:sz w:val="20"/>
                <w:szCs w:val="20"/>
              </w:rPr>
            </w:pPr>
            <w:r>
              <w:rPr>
                <w:rFonts w:ascii="Arial" w:eastAsia="宋体" w:hAnsi="Arial" w:cs="Arial"/>
                <w:b/>
                <w:bCs/>
                <w:sz w:val="20"/>
                <w:szCs w:val="20"/>
              </w:rPr>
              <w:t>Consolidated Statement of Income</w:t>
            </w:r>
          </w:p>
        </w:tc>
        <w:tc>
          <w:tcPr>
            <w:tcW w:w="0" w:type="auto"/>
            <w:shd w:val="clear" w:color="auto" w:fill="auto"/>
            <w:tcMar>
              <w:top w:w="40" w:type="dxa"/>
              <w:left w:w="40" w:type="dxa"/>
              <w:bottom w:w="40" w:type="dxa"/>
              <w:right w:w="40" w:type="dxa"/>
            </w:tcMar>
            <w:vAlign w:val="bottom"/>
          </w:tcPr>
          <w:p w14:paraId="0BC98A96" w14:textId="77777777" w:rsidR="009F0928" w:rsidRDefault="002112BD">
            <w:pPr>
              <w:jc w:val="center"/>
              <w:textAlignment w:val="bottom"/>
              <w:rPr>
                <w:rFonts w:ascii="Times New Roman" w:hAnsi="Times New Roman"/>
                <w:sz w:val="20"/>
                <w:szCs w:val="20"/>
              </w:rPr>
            </w:pPr>
            <w:hyperlink r:id="rId30" w:anchor="s5B4D735A00D354B3B820D4E32DD6F938" w:history="1">
              <w:r>
                <w:rPr>
                  <w:rStyle w:val="a5"/>
                  <w:rFonts w:ascii="Arial" w:eastAsia="宋体" w:hAnsi="Arial" w:cs="Arial"/>
                  <w:sz w:val="20"/>
                  <w:szCs w:val="20"/>
                </w:rPr>
                <w:t>F-4</w:t>
              </w:r>
            </w:hyperlink>
          </w:p>
        </w:tc>
      </w:tr>
      <w:tr w:rsidR="009F0928" w14:paraId="0BC98A9A" w14:textId="77777777">
        <w:tc>
          <w:tcPr>
            <w:tcW w:w="0" w:type="auto"/>
            <w:shd w:val="clear" w:color="auto" w:fill="auto"/>
            <w:tcMar>
              <w:top w:w="40" w:type="dxa"/>
              <w:left w:w="480" w:type="dxa"/>
              <w:bottom w:w="40" w:type="dxa"/>
              <w:right w:w="40" w:type="dxa"/>
            </w:tcMar>
            <w:vAlign w:val="bottom"/>
          </w:tcPr>
          <w:p w14:paraId="0BC98A98" w14:textId="77777777" w:rsidR="009F0928" w:rsidRDefault="002112BD">
            <w:pPr>
              <w:textAlignment w:val="bottom"/>
              <w:rPr>
                <w:rFonts w:ascii="Times New Roman" w:hAnsi="Times New Roman"/>
                <w:sz w:val="20"/>
                <w:szCs w:val="20"/>
              </w:rPr>
            </w:pPr>
            <w:r>
              <w:rPr>
                <w:rFonts w:ascii="Arial" w:eastAsia="宋体" w:hAnsi="Arial" w:cs="Arial"/>
                <w:b/>
                <w:bCs/>
                <w:sz w:val="20"/>
                <w:szCs w:val="20"/>
              </w:rPr>
              <w:t>Consolidated Statement of Comprehensive Income</w:t>
            </w:r>
          </w:p>
        </w:tc>
        <w:tc>
          <w:tcPr>
            <w:tcW w:w="0" w:type="auto"/>
            <w:shd w:val="clear" w:color="auto" w:fill="auto"/>
            <w:tcMar>
              <w:top w:w="40" w:type="dxa"/>
              <w:left w:w="40" w:type="dxa"/>
              <w:bottom w:w="40" w:type="dxa"/>
              <w:right w:w="40" w:type="dxa"/>
            </w:tcMar>
            <w:vAlign w:val="bottom"/>
          </w:tcPr>
          <w:p w14:paraId="0BC98A99" w14:textId="77777777" w:rsidR="009F0928" w:rsidRDefault="002112BD">
            <w:pPr>
              <w:jc w:val="center"/>
              <w:textAlignment w:val="bottom"/>
              <w:rPr>
                <w:rFonts w:ascii="Times New Roman" w:hAnsi="Times New Roman"/>
                <w:sz w:val="20"/>
                <w:szCs w:val="20"/>
              </w:rPr>
            </w:pPr>
            <w:hyperlink r:id="rId31" w:anchor="sD15D8F753E9A53D29629A7652FC2B0EF" w:history="1">
              <w:r>
                <w:rPr>
                  <w:rStyle w:val="a5"/>
                  <w:rFonts w:ascii="Arial" w:eastAsia="宋体" w:hAnsi="Arial" w:cs="Arial"/>
                  <w:sz w:val="20"/>
                  <w:szCs w:val="20"/>
                </w:rPr>
                <w:t>F-5</w:t>
              </w:r>
            </w:hyperlink>
          </w:p>
        </w:tc>
      </w:tr>
      <w:tr w:rsidR="009F0928" w14:paraId="0BC98A9D" w14:textId="77777777">
        <w:tc>
          <w:tcPr>
            <w:tcW w:w="0" w:type="auto"/>
            <w:shd w:val="clear" w:color="auto" w:fill="auto"/>
            <w:tcMar>
              <w:top w:w="40" w:type="dxa"/>
              <w:left w:w="480" w:type="dxa"/>
              <w:bottom w:w="40" w:type="dxa"/>
              <w:right w:w="40" w:type="dxa"/>
            </w:tcMar>
            <w:vAlign w:val="bottom"/>
          </w:tcPr>
          <w:p w14:paraId="0BC98A9B" w14:textId="77777777" w:rsidR="009F0928" w:rsidRDefault="002112BD">
            <w:pPr>
              <w:textAlignment w:val="bottom"/>
              <w:rPr>
                <w:rFonts w:ascii="Times New Roman" w:hAnsi="Times New Roman"/>
                <w:sz w:val="20"/>
                <w:szCs w:val="20"/>
              </w:rPr>
            </w:pPr>
            <w:r>
              <w:rPr>
                <w:rFonts w:ascii="Arial" w:eastAsia="宋体" w:hAnsi="Arial" w:cs="Arial"/>
                <w:b/>
                <w:bCs/>
                <w:sz w:val="20"/>
                <w:szCs w:val="20"/>
              </w:rPr>
              <w:t>Consolidated Statement of Stockholders’ Equity</w:t>
            </w:r>
          </w:p>
        </w:tc>
        <w:tc>
          <w:tcPr>
            <w:tcW w:w="0" w:type="auto"/>
            <w:shd w:val="clear" w:color="auto" w:fill="auto"/>
            <w:tcMar>
              <w:top w:w="40" w:type="dxa"/>
              <w:left w:w="40" w:type="dxa"/>
              <w:bottom w:w="40" w:type="dxa"/>
              <w:right w:w="40" w:type="dxa"/>
            </w:tcMar>
            <w:vAlign w:val="bottom"/>
          </w:tcPr>
          <w:p w14:paraId="0BC98A9C" w14:textId="77777777" w:rsidR="009F0928" w:rsidRDefault="002112BD">
            <w:pPr>
              <w:jc w:val="center"/>
              <w:textAlignment w:val="bottom"/>
              <w:rPr>
                <w:rFonts w:ascii="Times New Roman" w:hAnsi="Times New Roman"/>
                <w:sz w:val="20"/>
                <w:szCs w:val="20"/>
              </w:rPr>
            </w:pPr>
            <w:hyperlink r:id="rId32" w:anchor="sE804F02F5E125AD3A4464D613C2C8A34" w:history="1">
              <w:r>
                <w:rPr>
                  <w:rStyle w:val="a5"/>
                  <w:rFonts w:ascii="Arial" w:eastAsia="宋体" w:hAnsi="Arial" w:cs="Arial"/>
                  <w:sz w:val="20"/>
                  <w:szCs w:val="20"/>
                </w:rPr>
                <w:t>F-6</w:t>
              </w:r>
            </w:hyperlink>
          </w:p>
        </w:tc>
      </w:tr>
      <w:tr w:rsidR="009F0928" w14:paraId="0BC98AA0" w14:textId="77777777">
        <w:tc>
          <w:tcPr>
            <w:tcW w:w="0" w:type="auto"/>
            <w:shd w:val="clear" w:color="auto" w:fill="auto"/>
            <w:tcMar>
              <w:top w:w="40" w:type="dxa"/>
              <w:left w:w="480" w:type="dxa"/>
              <w:bottom w:w="40" w:type="dxa"/>
              <w:right w:w="40" w:type="dxa"/>
            </w:tcMar>
            <w:vAlign w:val="bottom"/>
          </w:tcPr>
          <w:p w14:paraId="0BC98A9E" w14:textId="77777777" w:rsidR="009F0928" w:rsidRDefault="002112BD">
            <w:pPr>
              <w:textAlignment w:val="bottom"/>
              <w:rPr>
                <w:rFonts w:ascii="Times New Roman" w:hAnsi="Times New Roman"/>
                <w:sz w:val="20"/>
                <w:szCs w:val="20"/>
              </w:rPr>
            </w:pPr>
            <w:r>
              <w:rPr>
                <w:rFonts w:ascii="Arial" w:eastAsia="宋体" w:hAnsi="Arial" w:cs="Arial"/>
                <w:b/>
                <w:bCs/>
                <w:sz w:val="20"/>
                <w:szCs w:val="20"/>
              </w:rPr>
              <w:t>Consolidated Statement of Cash Flows</w:t>
            </w:r>
          </w:p>
        </w:tc>
        <w:tc>
          <w:tcPr>
            <w:tcW w:w="0" w:type="auto"/>
            <w:shd w:val="clear" w:color="auto" w:fill="auto"/>
            <w:tcMar>
              <w:top w:w="40" w:type="dxa"/>
              <w:left w:w="40" w:type="dxa"/>
              <w:bottom w:w="40" w:type="dxa"/>
              <w:right w:w="40" w:type="dxa"/>
            </w:tcMar>
            <w:vAlign w:val="bottom"/>
          </w:tcPr>
          <w:p w14:paraId="0BC98A9F" w14:textId="77777777" w:rsidR="009F0928" w:rsidRDefault="002112BD">
            <w:pPr>
              <w:jc w:val="center"/>
              <w:textAlignment w:val="bottom"/>
              <w:rPr>
                <w:rFonts w:ascii="Times New Roman" w:hAnsi="Times New Roman"/>
                <w:sz w:val="20"/>
                <w:szCs w:val="20"/>
              </w:rPr>
            </w:pPr>
            <w:hyperlink r:id="rId33" w:anchor="s0EC08BFC5C69531094651D5B7D2C677A" w:history="1">
              <w:r>
                <w:rPr>
                  <w:rStyle w:val="a5"/>
                  <w:rFonts w:ascii="Arial" w:eastAsia="宋体" w:hAnsi="Arial" w:cs="Arial"/>
                  <w:sz w:val="20"/>
                  <w:szCs w:val="20"/>
                </w:rPr>
                <w:t>F-7</w:t>
              </w:r>
            </w:hyperlink>
          </w:p>
        </w:tc>
      </w:tr>
      <w:tr w:rsidR="009F0928" w14:paraId="0BC98AA3" w14:textId="77777777">
        <w:tc>
          <w:tcPr>
            <w:tcW w:w="0" w:type="auto"/>
            <w:shd w:val="clear" w:color="auto" w:fill="auto"/>
            <w:tcMar>
              <w:top w:w="40" w:type="dxa"/>
              <w:left w:w="480" w:type="dxa"/>
              <w:bottom w:w="40" w:type="dxa"/>
              <w:right w:w="40" w:type="dxa"/>
            </w:tcMar>
            <w:vAlign w:val="bottom"/>
          </w:tcPr>
          <w:p w14:paraId="0BC98AA1" w14:textId="77777777" w:rsidR="009F0928" w:rsidRDefault="002112BD">
            <w:pPr>
              <w:textAlignment w:val="bottom"/>
              <w:rPr>
                <w:rFonts w:ascii="Times New Roman" w:hAnsi="Times New Roman"/>
                <w:sz w:val="20"/>
                <w:szCs w:val="20"/>
              </w:rPr>
            </w:pPr>
            <w:r>
              <w:rPr>
                <w:rFonts w:ascii="Arial" w:eastAsia="宋体" w:hAnsi="Arial" w:cs="Arial"/>
                <w:b/>
                <w:bCs/>
                <w:sz w:val="20"/>
                <w:szCs w:val="20"/>
              </w:rPr>
              <w:t>Notes to Consolidated Financial Statements</w:t>
            </w:r>
          </w:p>
        </w:tc>
        <w:tc>
          <w:tcPr>
            <w:tcW w:w="0" w:type="auto"/>
            <w:shd w:val="clear" w:color="auto" w:fill="auto"/>
            <w:tcMar>
              <w:top w:w="40" w:type="dxa"/>
              <w:left w:w="40" w:type="dxa"/>
              <w:bottom w:w="40" w:type="dxa"/>
              <w:right w:w="40" w:type="dxa"/>
            </w:tcMar>
            <w:vAlign w:val="bottom"/>
          </w:tcPr>
          <w:p w14:paraId="0BC98AA2" w14:textId="77777777" w:rsidR="009F0928" w:rsidRDefault="002112BD">
            <w:pPr>
              <w:jc w:val="center"/>
              <w:textAlignment w:val="bottom"/>
              <w:rPr>
                <w:rFonts w:ascii="Times New Roman" w:hAnsi="Times New Roman"/>
                <w:sz w:val="20"/>
                <w:szCs w:val="20"/>
              </w:rPr>
            </w:pPr>
            <w:hyperlink r:id="rId34" w:anchor="s9249E397EAE4519AA12AF8C6F9CE92DD" w:history="1">
              <w:r>
                <w:rPr>
                  <w:rStyle w:val="a5"/>
                  <w:rFonts w:ascii="Arial" w:eastAsia="宋体" w:hAnsi="Arial" w:cs="Arial"/>
                  <w:sz w:val="20"/>
                  <w:szCs w:val="20"/>
                </w:rPr>
                <w:t>F-9</w:t>
              </w:r>
            </w:hyperlink>
          </w:p>
        </w:tc>
      </w:tr>
      <w:tr w:rsidR="009F0928" w14:paraId="0BC98AA6" w14:textId="77777777">
        <w:tc>
          <w:tcPr>
            <w:tcW w:w="0" w:type="auto"/>
            <w:shd w:val="clear" w:color="auto" w:fill="auto"/>
            <w:tcMar>
              <w:top w:w="40" w:type="dxa"/>
              <w:left w:w="40" w:type="dxa"/>
              <w:bottom w:w="40" w:type="dxa"/>
              <w:right w:w="40" w:type="dxa"/>
            </w:tcMar>
            <w:vAlign w:val="bottom"/>
          </w:tcPr>
          <w:p w14:paraId="0BC98AA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A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AA9" w14:textId="77777777">
        <w:tc>
          <w:tcPr>
            <w:tcW w:w="0" w:type="auto"/>
            <w:shd w:val="clear" w:color="auto" w:fill="auto"/>
            <w:tcMar>
              <w:top w:w="40" w:type="dxa"/>
              <w:left w:w="160" w:type="dxa"/>
              <w:bottom w:w="40" w:type="dxa"/>
              <w:right w:w="40" w:type="dxa"/>
            </w:tcMar>
            <w:vAlign w:val="bottom"/>
          </w:tcPr>
          <w:p w14:paraId="0BC98AA7" w14:textId="77777777" w:rsidR="009F0928" w:rsidRDefault="002112BD">
            <w:pPr>
              <w:textAlignment w:val="bottom"/>
              <w:rPr>
                <w:rFonts w:ascii="Times New Roman" w:hAnsi="Times New Roman"/>
                <w:sz w:val="20"/>
                <w:szCs w:val="20"/>
              </w:rPr>
            </w:pPr>
            <w:r>
              <w:rPr>
                <w:rFonts w:ascii="Arial" w:eastAsia="宋体" w:hAnsi="Arial" w:cs="Arial"/>
                <w:b/>
                <w:bCs/>
                <w:i/>
                <w:iCs/>
                <w:sz w:val="20"/>
                <w:szCs w:val="20"/>
              </w:rPr>
              <w:t>2. Financial Statement Schedule</w:t>
            </w:r>
          </w:p>
        </w:tc>
        <w:tc>
          <w:tcPr>
            <w:tcW w:w="0" w:type="auto"/>
            <w:shd w:val="clear" w:color="auto" w:fill="auto"/>
            <w:tcMar>
              <w:top w:w="40" w:type="dxa"/>
              <w:left w:w="40" w:type="dxa"/>
              <w:bottom w:w="40" w:type="dxa"/>
              <w:right w:w="40" w:type="dxa"/>
            </w:tcMar>
            <w:vAlign w:val="bottom"/>
          </w:tcPr>
          <w:p w14:paraId="0BC98A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AAC" w14:textId="77777777">
        <w:tc>
          <w:tcPr>
            <w:tcW w:w="0" w:type="auto"/>
            <w:shd w:val="clear" w:color="auto" w:fill="auto"/>
            <w:tcMar>
              <w:top w:w="40" w:type="dxa"/>
              <w:left w:w="40" w:type="dxa"/>
              <w:bottom w:w="40" w:type="dxa"/>
              <w:right w:w="40" w:type="dxa"/>
            </w:tcMar>
            <w:vAlign w:val="bottom"/>
          </w:tcPr>
          <w:p w14:paraId="0BC98AA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AA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AAF" w14:textId="77777777">
        <w:tc>
          <w:tcPr>
            <w:tcW w:w="0" w:type="auto"/>
            <w:shd w:val="clear" w:color="auto" w:fill="auto"/>
            <w:tcMar>
              <w:top w:w="40" w:type="dxa"/>
              <w:left w:w="480" w:type="dxa"/>
              <w:bottom w:w="40" w:type="dxa"/>
              <w:right w:w="40" w:type="dxa"/>
            </w:tcMar>
            <w:vAlign w:val="bottom"/>
          </w:tcPr>
          <w:p w14:paraId="0BC98AAD" w14:textId="77777777" w:rsidR="009F0928" w:rsidRDefault="002112BD">
            <w:pPr>
              <w:textAlignment w:val="bottom"/>
              <w:rPr>
                <w:rFonts w:ascii="Times New Roman" w:hAnsi="Times New Roman"/>
                <w:sz w:val="20"/>
                <w:szCs w:val="20"/>
              </w:rPr>
            </w:pPr>
            <w:r>
              <w:rPr>
                <w:rFonts w:ascii="Arial" w:eastAsia="宋体" w:hAnsi="Arial" w:cs="Arial"/>
                <w:b/>
                <w:bCs/>
                <w:sz w:val="20"/>
                <w:szCs w:val="20"/>
              </w:rPr>
              <w:t>Schedule II - Valuation and Qualifying Accounts</w:t>
            </w:r>
          </w:p>
        </w:tc>
        <w:tc>
          <w:tcPr>
            <w:tcW w:w="0" w:type="auto"/>
            <w:shd w:val="clear" w:color="auto" w:fill="auto"/>
            <w:tcMar>
              <w:top w:w="40" w:type="dxa"/>
              <w:left w:w="40" w:type="dxa"/>
              <w:bottom w:w="40" w:type="dxa"/>
              <w:right w:w="40" w:type="dxa"/>
            </w:tcMar>
            <w:vAlign w:val="bottom"/>
          </w:tcPr>
          <w:p w14:paraId="0BC98AAE" w14:textId="77777777" w:rsidR="009F0928" w:rsidRDefault="002112BD">
            <w:pPr>
              <w:jc w:val="center"/>
              <w:textAlignment w:val="bottom"/>
              <w:rPr>
                <w:rFonts w:ascii="Times New Roman" w:hAnsi="Times New Roman"/>
                <w:sz w:val="20"/>
                <w:szCs w:val="20"/>
              </w:rPr>
            </w:pPr>
            <w:hyperlink r:id="rId35" w:anchor="s6072EA035D1A57E8A3026D0B7BDB147D" w:history="1">
              <w:r>
                <w:rPr>
                  <w:rStyle w:val="a5"/>
                  <w:rFonts w:ascii="Arial" w:eastAsia="宋体" w:hAnsi="Arial" w:cs="Arial"/>
                  <w:sz w:val="20"/>
                  <w:szCs w:val="20"/>
                </w:rPr>
                <w:t>F-46</w:t>
              </w:r>
            </w:hyperlink>
          </w:p>
        </w:tc>
      </w:tr>
      <w:tr w:rsidR="009F0928" w14:paraId="0BC98AB2" w14:textId="77777777">
        <w:tc>
          <w:tcPr>
            <w:tcW w:w="0" w:type="auto"/>
            <w:shd w:val="clear" w:color="auto" w:fill="auto"/>
            <w:tcMar>
              <w:top w:w="40" w:type="dxa"/>
              <w:left w:w="40" w:type="dxa"/>
              <w:bottom w:w="40" w:type="dxa"/>
              <w:right w:w="40" w:type="dxa"/>
            </w:tcMar>
            <w:vAlign w:val="bottom"/>
          </w:tcPr>
          <w:p w14:paraId="0BC98AB0" w14:textId="77777777" w:rsidR="009F0928" w:rsidRDefault="002112BD">
            <w:pPr>
              <w:textAlignment w:val="bottom"/>
              <w:rPr>
                <w:rFonts w:ascii="Times New Roman" w:hAnsi="Times New Roman"/>
                <w:sz w:val="20"/>
                <w:szCs w:val="20"/>
              </w:rPr>
            </w:pPr>
            <w:r>
              <w:rPr>
                <w:rFonts w:ascii="Arial" w:eastAsia="宋体" w:hAnsi="Arial" w:cs="Arial"/>
                <w:sz w:val="20"/>
                <w:szCs w:val="20"/>
              </w:rPr>
              <w:t xml:space="preserve">All other schedules have been omitted because the information required to be set forth therein is not applicable or is shown in the financial statements or notes thereto. </w:t>
            </w:r>
          </w:p>
        </w:tc>
        <w:tc>
          <w:tcPr>
            <w:tcW w:w="0" w:type="auto"/>
            <w:shd w:val="clear" w:color="auto" w:fill="auto"/>
            <w:tcMar>
              <w:top w:w="40" w:type="dxa"/>
              <w:left w:w="40" w:type="dxa"/>
              <w:bottom w:w="40" w:type="dxa"/>
              <w:right w:w="40" w:type="dxa"/>
            </w:tcMar>
            <w:vAlign w:val="bottom"/>
          </w:tcPr>
          <w:p w14:paraId="0BC98AB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AB5" w14:textId="77777777">
        <w:tc>
          <w:tcPr>
            <w:tcW w:w="0" w:type="auto"/>
            <w:shd w:val="clear" w:color="auto" w:fill="auto"/>
            <w:tcMar>
              <w:top w:w="40" w:type="dxa"/>
              <w:left w:w="40" w:type="dxa"/>
              <w:bottom w:w="40" w:type="dxa"/>
              <w:right w:w="40" w:type="dxa"/>
            </w:tcMar>
            <w:vAlign w:val="bottom"/>
          </w:tcPr>
          <w:p w14:paraId="0BC98A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A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AB8" w14:textId="77777777">
        <w:tc>
          <w:tcPr>
            <w:tcW w:w="0" w:type="auto"/>
            <w:shd w:val="clear" w:color="auto" w:fill="auto"/>
            <w:tcMar>
              <w:top w:w="40" w:type="dxa"/>
              <w:left w:w="160" w:type="dxa"/>
              <w:bottom w:w="40" w:type="dxa"/>
              <w:right w:w="40" w:type="dxa"/>
            </w:tcMar>
            <w:vAlign w:val="bottom"/>
          </w:tcPr>
          <w:p w14:paraId="0BC98AB6" w14:textId="77777777" w:rsidR="009F0928" w:rsidRDefault="002112BD">
            <w:pPr>
              <w:textAlignment w:val="bottom"/>
              <w:rPr>
                <w:rFonts w:ascii="Times New Roman" w:hAnsi="Times New Roman"/>
                <w:sz w:val="20"/>
                <w:szCs w:val="20"/>
              </w:rPr>
            </w:pPr>
            <w:r>
              <w:rPr>
                <w:rFonts w:ascii="Arial" w:eastAsia="宋体" w:hAnsi="Arial" w:cs="Arial"/>
                <w:b/>
                <w:bCs/>
                <w:i/>
                <w:iCs/>
                <w:sz w:val="20"/>
                <w:szCs w:val="20"/>
              </w:rPr>
              <w:t>3. Exhibits Required by Item 601 of Regulation S-K</w:t>
            </w:r>
          </w:p>
        </w:tc>
        <w:tc>
          <w:tcPr>
            <w:tcW w:w="0" w:type="auto"/>
            <w:shd w:val="clear" w:color="auto" w:fill="auto"/>
            <w:tcMar>
              <w:top w:w="40" w:type="dxa"/>
              <w:left w:w="40" w:type="dxa"/>
              <w:bottom w:w="40" w:type="dxa"/>
              <w:right w:w="40" w:type="dxa"/>
            </w:tcMar>
            <w:vAlign w:val="bottom"/>
          </w:tcPr>
          <w:p w14:paraId="0BC98AB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ABB" w14:textId="77777777">
        <w:tc>
          <w:tcPr>
            <w:tcW w:w="0" w:type="auto"/>
            <w:shd w:val="clear" w:color="auto" w:fill="auto"/>
            <w:tcMar>
              <w:top w:w="40" w:type="dxa"/>
              <w:left w:w="1040" w:type="dxa"/>
              <w:bottom w:w="40" w:type="dxa"/>
              <w:right w:w="40" w:type="dxa"/>
            </w:tcMar>
            <w:vAlign w:val="bottom"/>
          </w:tcPr>
          <w:p w14:paraId="0BC98AB9" w14:textId="77777777" w:rsidR="009F0928" w:rsidRDefault="002112BD">
            <w:pPr>
              <w:textAlignment w:val="bottom"/>
              <w:rPr>
                <w:rFonts w:ascii="Times New Roman" w:hAnsi="Times New Roman"/>
                <w:sz w:val="20"/>
                <w:szCs w:val="20"/>
              </w:rPr>
            </w:pPr>
            <w:r>
              <w:rPr>
                <w:rFonts w:ascii="Arial" w:eastAsia="宋体" w:hAnsi="Arial" w:cs="Arial"/>
                <w:sz w:val="20"/>
                <w:szCs w:val="20"/>
              </w:rPr>
              <w:t xml:space="preserve">The </w:t>
            </w:r>
            <w:r>
              <w:rPr>
                <w:rFonts w:ascii="Arial" w:eastAsia="宋体" w:hAnsi="Arial" w:cs="Arial"/>
                <w:sz w:val="20"/>
                <w:szCs w:val="20"/>
              </w:rPr>
              <w:t>information required by this Item is set forth in the Index to Exhibits that precedes the signature page of this Annual Report.</w:t>
            </w:r>
          </w:p>
        </w:tc>
        <w:tc>
          <w:tcPr>
            <w:tcW w:w="0" w:type="auto"/>
            <w:shd w:val="clear" w:color="auto" w:fill="auto"/>
            <w:tcMar>
              <w:top w:w="40" w:type="dxa"/>
              <w:left w:w="40" w:type="dxa"/>
              <w:bottom w:w="40" w:type="dxa"/>
              <w:right w:w="40" w:type="dxa"/>
            </w:tcMar>
          </w:tcPr>
          <w:p w14:paraId="0BC98ABA" w14:textId="77777777" w:rsidR="009F0928" w:rsidRDefault="002112BD">
            <w:pPr>
              <w:jc w:val="center"/>
              <w:textAlignment w:val="top"/>
              <w:rPr>
                <w:rFonts w:ascii="Times New Roman" w:hAnsi="Times New Roman"/>
                <w:sz w:val="20"/>
                <w:szCs w:val="20"/>
              </w:rPr>
            </w:pPr>
            <w:hyperlink r:id="rId36" w:anchor="sC660A0426A8753689252F45D6FCE8D80" w:history="1">
              <w:r>
                <w:rPr>
                  <w:rStyle w:val="a5"/>
                  <w:rFonts w:ascii="Arial" w:eastAsia="宋体" w:hAnsi="Arial" w:cs="Arial"/>
                  <w:sz w:val="20"/>
                  <w:szCs w:val="20"/>
                </w:rPr>
                <w:t>F-47</w:t>
              </w:r>
            </w:hyperlink>
          </w:p>
        </w:tc>
      </w:tr>
    </w:tbl>
    <w:p w14:paraId="0BC98ABC" w14:textId="77777777" w:rsidR="009F0928" w:rsidRDefault="009F0928">
      <w:pPr>
        <w:spacing w:line="288" w:lineRule="auto"/>
        <w:ind w:firstLine="600"/>
        <w:rPr>
          <w:rFonts w:ascii="Times New Roman" w:hAnsi="Times New Roman"/>
          <w:sz w:val="20"/>
          <w:szCs w:val="20"/>
        </w:rPr>
      </w:pPr>
    </w:p>
    <w:p w14:paraId="0BC98ABD" w14:textId="77777777" w:rsidR="009F0928" w:rsidRDefault="002112BD">
      <w:pPr>
        <w:spacing w:line="288" w:lineRule="auto"/>
        <w:ind w:hanging="1920"/>
        <w:rPr>
          <w:rFonts w:ascii="Times New Roman" w:hAnsi="Times New Roman"/>
          <w:sz w:val="20"/>
          <w:szCs w:val="20"/>
        </w:rPr>
      </w:pPr>
      <w:r>
        <w:rPr>
          <w:rFonts w:ascii="Arial" w:eastAsia="宋体" w:hAnsi="Arial" w:cs="Arial"/>
          <w:b/>
          <w:bCs/>
          <w:sz w:val="20"/>
          <w:szCs w:val="20"/>
        </w:rPr>
        <w:t>ITEM 16:</w:t>
      </w:r>
      <w:r>
        <w:rPr>
          <w:rFonts w:ascii="Arial" w:eastAsia="宋体" w:hAnsi="Arial" w:cs="Arial"/>
          <w:b/>
          <w:bCs/>
          <w:i/>
          <w:iCs/>
          <w:sz w:val="20"/>
          <w:szCs w:val="20"/>
        </w:rPr>
        <w:t xml:space="preserve"> FORM 10-K SUMMARY</w:t>
      </w:r>
      <w:r>
        <w:rPr>
          <w:rFonts w:ascii="Arial" w:eastAsia="宋体" w:hAnsi="Arial" w:cs="Arial"/>
          <w:b/>
          <w:bCs/>
          <w:sz w:val="20"/>
          <w:szCs w:val="20"/>
        </w:rPr>
        <w:t xml:space="preserve"> </w:t>
      </w:r>
    </w:p>
    <w:p w14:paraId="0BC98ABE" w14:textId="77777777" w:rsidR="009F0928" w:rsidRDefault="002112BD">
      <w:pPr>
        <w:spacing w:line="288" w:lineRule="auto"/>
        <w:ind w:firstLine="720"/>
        <w:rPr>
          <w:rFonts w:ascii="Times New Roman" w:hAnsi="Times New Roman"/>
          <w:sz w:val="20"/>
          <w:szCs w:val="20"/>
        </w:rPr>
      </w:pPr>
      <w:r>
        <w:rPr>
          <w:rFonts w:ascii="Arial" w:eastAsia="宋体" w:hAnsi="Arial" w:cs="Arial"/>
          <w:sz w:val="20"/>
          <w:szCs w:val="20"/>
        </w:rPr>
        <w:t>None.</w:t>
      </w:r>
    </w:p>
    <w:p w14:paraId="0BC98ABF" w14:textId="77777777" w:rsidR="009F0928" w:rsidRDefault="009F0928">
      <w:pPr>
        <w:spacing w:line="288" w:lineRule="auto"/>
        <w:ind w:firstLine="600"/>
        <w:rPr>
          <w:rFonts w:ascii="Times New Roman" w:hAnsi="Times New Roman"/>
          <w:sz w:val="20"/>
          <w:szCs w:val="20"/>
        </w:rPr>
      </w:pPr>
    </w:p>
    <w:p w14:paraId="0BC98AC0" w14:textId="77777777" w:rsidR="009F0928" w:rsidRDefault="009F0928">
      <w:pPr>
        <w:rPr>
          <w:rFonts w:ascii="Times New Roman" w:hAnsi="Times New Roman"/>
          <w:sz w:val="20"/>
          <w:szCs w:val="20"/>
        </w:rPr>
      </w:pPr>
    </w:p>
    <w:p w14:paraId="0BC98AC1"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61</w:t>
      </w:r>
    </w:p>
    <w:p w14:paraId="0BC98AC2" w14:textId="77777777" w:rsidR="009F0928" w:rsidRDefault="002112BD">
      <w:r>
        <w:rPr>
          <w:rFonts w:ascii="Times New Roman" w:hAnsi="Times New Roman"/>
          <w:sz w:val="18"/>
          <w:szCs w:val="18"/>
        </w:rPr>
        <w:pict w14:anchorId="0BC9B4FA">
          <v:rect id="_x0000_i1086" style="width:415.3pt;height:1.5pt" o:hralign="center" o:hrstd="t" o:hr="t" fillcolor="#a0a0a0" stroked="f"/>
        </w:pict>
      </w:r>
    </w:p>
    <w:p w14:paraId="0BC98AC3" w14:textId="77777777" w:rsidR="009F0928" w:rsidRDefault="009F0928">
      <w:pPr>
        <w:spacing w:line="288" w:lineRule="auto"/>
        <w:rPr>
          <w:rFonts w:ascii="Times New Roman" w:hAnsi="Times New Roman"/>
          <w:sz w:val="20"/>
          <w:szCs w:val="20"/>
        </w:rPr>
      </w:pPr>
    </w:p>
    <w:p w14:paraId="0BC98AC4" w14:textId="77777777" w:rsidR="009F0928" w:rsidRDefault="009F0928">
      <w:pPr>
        <w:rPr>
          <w:rFonts w:ascii="Times New Roman" w:hAnsi="Times New Roman"/>
          <w:sz w:val="20"/>
          <w:szCs w:val="20"/>
        </w:rPr>
      </w:pPr>
    </w:p>
    <w:p w14:paraId="0BC98AC5" w14:textId="77777777" w:rsidR="009F0928" w:rsidRDefault="002112BD">
      <w:pPr>
        <w:spacing w:line="288" w:lineRule="auto"/>
        <w:jc w:val="center"/>
        <w:rPr>
          <w:rFonts w:ascii="Times New Roman" w:hAnsi="Times New Roman"/>
          <w:sz w:val="18"/>
          <w:szCs w:val="18"/>
        </w:rPr>
      </w:pPr>
      <w:r>
        <w:rPr>
          <w:rFonts w:ascii="Arial" w:eastAsia="宋体" w:hAnsi="Arial" w:cs="Arial"/>
          <w:b/>
          <w:bCs/>
          <w:sz w:val="18"/>
          <w:szCs w:val="18"/>
        </w:rPr>
        <w:t>Report of Independent Registered Public Accounting Firm</w:t>
      </w:r>
    </w:p>
    <w:p w14:paraId="0BC98AC6" w14:textId="77777777" w:rsidR="009F0928" w:rsidRDefault="002112BD">
      <w:pPr>
        <w:spacing w:line="288" w:lineRule="auto"/>
        <w:jc w:val="both"/>
        <w:rPr>
          <w:rFonts w:ascii="Times New Roman" w:hAnsi="Times New Roman"/>
          <w:sz w:val="18"/>
          <w:szCs w:val="18"/>
        </w:rPr>
      </w:pPr>
      <w:r>
        <w:rPr>
          <w:rFonts w:ascii="Arial" w:eastAsia="宋体" w:hAnsi="Arial" w:cs="Arial"/>
          <w:sz w:val="18"/>
          <w:szCs w:val="18"/>
        </w:rPr>
        <w:t>To the Board of Directors and Stockholders of eBay Inc.</w:t>
      </w:r>
      <w:r>
        <w:rPr>
          <w:rFonts w:ascii="Arial" w:eastAsia="宋体" w:hAnsi="Arial" w:cs="Arial"/>
          <w:b/>
          <w:bCs/>
          <w:color w:val="FF0000"/>
          <w:sz w:val="18"/>
          <w:szCs w:val="18"/>
        </w:rPr>
        <w:t xml:space="preserve"> </w:t>
      </w:r>
    </w:p>
    <w:p w14:paraId="0BC98AC7" w14:textId="77777777" w:rsidR="009F0928" w:rsidRDefault="002112BD">
      <w:pPr>
        <w:spacing w:line="288" w:lineRule="auto"/>
        <w:rPr>
          <w:rFonts w:ascii="Times New Roman" w:hAnsi="Times New Roman"/>
          <w:sz w:val="18"/>
          <w:szCs w:val="18"/>
        </w:rPr>
      </w:pPr>
      <w:r>
        <w:rPr>
          <w:rFonts w:ascii="Arial" w:eastAsia="宋体" w:hAnsi="Arial" w:cs="Arial"/>
          <w:b/>
          <w:bCs/>
          <w:i/>
          <w:iCs/>
          <w:sz w:val="18"/>
          <w:szCs w:val="18"/>
        </w:rPr>
        <w:t xml:space="preserve">Opinions on the Financial Statements and Internal Control over </w:t>
      </w:r>
      <w:r>
        <w:rPr>
          <w:rFonts w:ascii="Arial" w:eastAsia="宋体" w:hAnsi="Arial" w:cs="Arial"/>
          <w:b/>
          <w:bCs/>
          <w:i/>
          <w:iCs/>
          <w:sz w:val="18"/>
          <w:szCs w:val="18"/>
        </w:rPr>
        <w:t>Financial Reporting</w:t>
      </w:r>
    </w:p>
    <w:p w14:paraId="0BC98AC8" w14:textId="77777777" w:rsidR="009F0928" w:rsidRDefault="002112BD">
      <w:pPr>
        <w:spacing w:line="288" w:lineRule="auto"/>
        <w:jc w:val="both"/>
        <w:rPr>
          <w:rFonts w:ascii="Times New Roman" w:hAnsi="Times New Roman"/>
          <w:sz w:val="18"/>
          <w:szCs w:val="18"/>
        </w:rPr>
      </w:pPr>
      <w:r>
        <w:rPr>
          <w:rFonts w:ascii="Arial" w:eastAsia="宋体" w:hAnsi="Arial" w:cs="Arial"/>
          <w:sz w:val="18"/>
          <w:szCs w:val="18"/>
        </w:rPr>
        <w:t>We have audited the accompanying consolidated balance sheets of eBay Inc. and its subsidiaries (the “Company”) as of December 31, 2019 and 2018, and the related consolidated statements of income, of comprehensive income, of stockholders</w:t>
      </w:r>
      <w:r>
        <w:rPr>
          <w:rFonts w:ascii="Arial" w:eastAsia="宋体" w:hAnsi="Arial" w:cs="Arial"/>
          <w:sz w:val="18"/>
          <w:szCs w:val="18"/>
        </w:rPr>
        <w:t>’ equity and of cash flows for each of the three years in the period ended December 31, 2019, including the related notes and schedule of valuation and qualifying accounts for each of the three years in the period ended December 31, 2019 appearing under It</w:t>
      </w:r>
      <w:r>
        <w:rPr>
          <w:rFonts w:ascii="Arial" w:eastAsia="宋体" w:hAnsi="Arial" w:cs="Arial"/>
          <w:sz w:val="18"/>
          <w:szCs w:val="18"/>
        </w:rPr>
        <w:t>em 15(a)(2) (collectively referred to as the “consolidated financial statements”). We also have audited the Company's internal control over financial reporting as of December 31, 2019, based on criteria established in Internal Control - Integrated Framewor</w:t>
      </w:r>
      <w:r>
        <w:rPr>
          <w:rFonts w:ascii="Arial" w:eastAsia="宋体" w:hAnsi="Arial" w:cs="Arial"/>
          <w:sz w:val="18"/>
          <w:szCs w:val="18"/>
        </w:rPr>
        <w:t xml:space="preserve">k (2013) issued by the Committee of Sponsoring Organizations of the Treadway Commission (COSO). </w:t>
      </w:r>
    </w:p>
    <w:p w14:paraId="0BC98AC9" w14:textId="77777777" w:rsidR="009F0928" w:rsidRDefault="002112BD">
      <w:pPr>
        <w:spacing w:line="288" w:lineRule="auto"/>
        <w:jc w:val="both"/>
        <w:rPr>
          <w:rFonts w:ascii="Times New Roman" w:hAnsi="Times New Roman"/>
          <w:sz w:val="18"/>
          <w:szCs w:val="18"/>
        </w:rPr>
      </w:pPr>
      <w:r>
        <w:rPr>
          <w:rFonts w:ascii="Arial" w:eastAsia="宋体" w:hAnsi="Arial" w:cs="Arial"/>
          <w:sz w:val="18"/>
          <w:szCs w:val="18"/>
        </w:rPr>
        <w:t>In our opinion, the consolidated financial statements referred to above present fairly, in all material respects, the financial position of the Company as of D</w:t>
      </w:r>
      <w:r>
        <w:rPr>
          <w:rFonts w:ascii="Arial" w:eastAsia="宋体" w:hAnsi="Arial" w:cs="Arial"/>
          <w:sz w:val="18"/>
          <w:szCs w:val="18"/>
        </w:rPr>
        <w:t>ecember 31, 2019 and 2018, and the results of its operations and its cash flows for each of the three years in the period ended December 31, 2019 in conformity with accounting principles generally accepted in the United States of America. Also in our opini</w:t>
      </w:r>
      <w:r>
        <w:rPr>
          <w:rFonts w:ascii="Arial" w:eastAsia="宋体" w:hAnsi="Arial" w:cs="Arial"/>
          <w:sz w:val="18"/>
          <w:szCs w:val="18"/>
        </w:rPr>
        <w:t xml:space="preserve">on, the Company maintained, in all material respects, effective internal control over financial reporting as of December 31, 2019, based on criteria established in Internal Control - Integrated Framework (2013) issued by the COSO. </w:t>
      </w:r>
    </w:p>
    <w:p w14:paraId="0BC98ACA" w14:textId="77777777" w:rsidR="009F0928" w:rsidRDefault="002112BD">
      <w:pPr>
        <w:spacing w:line="288" w:lineRule="auto"/>
        <w:jc w:val="both"/>
        <w:rPr>
          <w:rFonts w:ascii="Times New Roman" w:hAnsi="Times New Roman"/>
          <w:sz w:val="18"/>
          <w:szCs w:val="18"/>
        </w:rPr>
      </w:pPr>
      <w:r>
        <w:rPr>
          <w:rFonts w:ascii="Arial" w:eastAsia="宋体" w:hAnsi="Arial" w:cs="Arial"/>
          <w:i/>
          <w:iCs/>
          <w:sz w:val="18"/>
          <w:szCs w:val="18"/>
        </w:rPr>
        <w:t>Change in Accounting Pri</w:t>
      </w:r>
      <w:r>
        <w:rPr>
          <w:rFonts w:ascii="Arial" w:eastAsia="宋体" w:hAnsi="Arial" w:cs="Arial"/>
          <w:i/>
          <w:iCs/>
          <w:sz w:val="18"/>
          <w:szCs w:val="18"/>
        </w:rPr>
        <w:t>nciple</w:t>
      </w:r>
    </w:p>
    <w:p w14:paraId="0BC98ACB" w14:textId="77777777" w:rsidR="009F0928" w:rsidRDefault="002112BD">
      <w:pPr>
        <w:spacing w:line="288" w:lineRule="auto"/>
        <w:jc w:val="both"/>
        <w:rPr>
          <w:rFonts w:ascii="Times New Roman" w:hAnsi="Times New Roman"/>
          <w:sz w:val="18"/>
          <w:szCs w:val="18"/>
        </w:rPr>
      </w:pPr>
      <w:r>
        <w:rPr>
          <w:rFonts w:ascii="Arial" w:eastAsia="宋体" w:hAnsi="Arial" w:cs="Arial"/>
          <w:sz w:val="18"/>
          <w:szCs w:val="18"/>
        </w:rPr>
        <w:t>As discussed in Note 1 to the consolidated financial statements, the Company changed the manner in which it accounts for leases in 2019.</w:t>
      </w:r>
    </w:p>
    <w:p w14:paraId="0BC98ACC" w14:textId="77777777" w:rsidR="009F0928" w:rsidRDefault="002112BD">
      <w:pPr>
        <w:spacing w:line="288" w:lineRule="auto"/>
        <w:jc w:val="both"/>
        <w:rPr>
          <w:rFonts w:ascii="Times New Roman" w:hAnsi="Times New Roman"/>
          <w:sz w:val="18"/>
          <w:szCs w:val="18"/>
        </w:rPr>
      </w:pPr>
      <w:r>
        <w:rPr>
          <w:rFonts w:ascii="Arial" w:eastAsia="宋体" w:hAnsi="Arial" w:cs="Arial"/>
          <w:b/>
          <w:bCs/>
          <w:i/>
          <w:iCs/>
          <w:sz w:val="18"/>
          <w:szCs w:val="18"/>
        </w:rPr>
        <w:t>Basis for Opinions</w:t>
      </w:r>
    </w:p>
    <w:p w14:paraId="0BC98ACD" w14:textId="77777777" w:rsidR="009F0928" w:rsidRDefault="002112BD">
      <w:pPr>
        <w:spacing w:line="288" w:lineRule="auto"/>
        <w:jc w:val="both"/>
        <w:rPr>
          <w:rFonts w:ascii="Times New Roman" w:hAnsi="Times New Roman"/>
          <w:sz w:val="18"/>
          <w:szCs w:val="18"/>
        </w:rPr>
      </w:pPr>
      <w:r>
        <w:rPr>
          <w:rFonts w:ascii="Arial" w:eastAsia="宋体" w:hAnsi="Arial" w:cs="Arial"/>
          <w:sz w:val="18"/>
          <w:szCs w:val="18"/>
        </w:rPr>
        <w:t>The Company’s management is responsible for these consolidated financial statements, for main</w:t>
      </w:r>
      <w:r>
        <w:rPr>
          <w:rFonts w:ascii="Arial" w:eastAsia="宋体" w:hAnsi="Arial" w:cs="Arial"/>
          <w:sz w:val="18"/>
          <w:szCs w:val="18"/>
        </w:rPr>
        <w:t xml:space="preserve">taining effective internal control over financial reporting, and for its assessment of the effectiveness of internal control over financial reporting, included in Management’s Annual Report on Internal Control over Financial Reporting appearing under Item </w:t>
      </w:r>
      <w:r>
        <w:rPr>
          <w:rFonts w:ascii="Arial" w:eastAsia="宋体" w:hAnsi="Arial" w:cs="Arial"/>
          <w:sz w:val="18"/>
          <w:szCs w:val="18"/>
        </w:rPr>
        <w:t>9A. Our responsibility is to express opinions on the Company’s consolidated financial statements and on the Company’s internal control over financial reporting based on our audits. We are a public accounting firm registered with the Public Company Accounti</w:t>
      </w:r>
      <w:r>
        <w:rPr>
          <w:rFonts w:ascii="Arial" w:eastAsia="宋体" w:hAnsi="Arial" w:cs="Arial"/>
          <w:sz w:val="18"/>
          <w:szCs w:val="18"/>
        </w:rPr>
        <w:t xml:space="preserve">ng Oversight Board (United States) (PCAOB) and are required to be independent with respect to the Company in accordance with the U.S. federal securities laws and the applicable rules and regulations of the Securities and Exchange Commission and the PCAOB. </w:t>
      </w:r>
    </w:p>
    <w:p w14:paraId="0BC98ACE" w14:textId="77777777" w:rsidR="009F0928" w:rsidRDefault="002112BD">
      <w:pPr>
        <w:spacing w:line="288" w:lineRule="auto"/>
        <w:jc w:val="both"/>
        <w:rPr>
          <w:rFonts w:ascii="Times New Roman" w:hAnsi="Times New Roman"/>
          <w:sz w:val="18"/>
          <w:szCs w:val="18"/>
        </w:rPr>
      </w:pPr>
      <w:r>
        <w:rPr>
          <w:rFonts w:ascii="Arial" w:eastAsia="宋体" w:hAnsi="Arial" w:cs="Arial"/>
          <w:sz w:val="18"/>
          <w:szCs w:val="18"/>
        </w:rPr>
        <w:t>We conducted our audits in accordance with the standards of the PCAOB. Those standards require that we plan and perform the audits to obtain reasonable assurance about whether the consolidated financial statements are free of material misstatement, whethe</w:t>
      </w:r>
      <w:r>
        <w:rPr>
          <w:rFonts w:ascii="Arial" w:eastAsia="宋体" w:hAnsi="Arial" w:cs="Arial"/>
          <w:sz w:val="18"/>
          <w:szCs w:val="18"/>
        </w:rPr>
        <w:t xml:space="preserve">r due to error or fraud, and whether effective internal control over financial reporting was maintained in all material respects. </w:t>
      </w:r>
    </w:p>
    <w:p w14:paraId="0BC98ACF" w14:textId="77777777" w:rsidR="009F0928" w:rsidRDefault="002112BD">
      <w:pPr>
        <w:spacing w:line="288" w:lineRule="auto"/>
        <w:jc w:val="both"/>
        <w:rPr>
          <w:rFonts w:ascii="Times New Roman" w:hAnsi="Times New Roman"/>
          <w:sz w:val="18"/>
          <w:szCs w:val="18"/>
        </w:rPr>
      </w:pPr>
      <w:r>
        <w:rPr>
          <w:rFonts w:ascii="Arial" w:eastAsia="宋体" w:hAnsi="Arial" w:cs="Arial"/>
          <w:sz w:val="18"/>
          <w:szCs w:val="18"/>
        </w:rPr>
        <w:t>Our audits of the consolidated financial statements included performing procedures to assess the risks of material misstateme</w:t>
      </w:r>
      <w:r>
        <w:rPr>
          <w:rFonts w:ascii="Arial" w:eastAsia="宋体" w:hAnsi="Arial" w:cs="Arial"/>
          <w:sz w:val="18"/>
          <w:szCs w:val="18"/>
        </w:rPr>
        <w:t>nt of the consolidated financial statements, whether due to error or fraud, and performing procedures that respond to those risks. Such procedures included examining, on a test basis, evidence regarding the amounts and disclosures in the consolidated finan</w:t>
      </w:r>
      <w:r>
        <w:rPr>
          <w:rFonts w:ascii="Arial" w:eastAsia="宋体" w:hAnsi="Arial" w:cs="Arial"/>
          <w:sz w:val="18"/>
          <w:szCs w:val="18"/>
        </w:rPr>
        <w:t>cial statements. Our audits also included evaluating the accounting principles used and significant estimates made by management, as well as evaluating the overall presentation of the consolidated financial statements. Our audit of internal control over fi</w:t>
      </w:r>
      <w:r>
        <w:rPr>
          <w:rFonts w:ascii="Arial" w:eastAsia="宋体" w:hAnsi="Arial" w:cs="Arial"/>
          <w:sz w:val="18"/>
          <w:szCs w:val="18"/>
        </w:rPr>
        <w:t>nancial reporting included obtaining an understanding of internal control over financial reporting, assessing the risk that a material weakness exists, and testing and evaluating the design and operating effectiveness of internal control based on the asses</w:t>
      </w:r>
      <w:r>
        <w:rPr>
          <w:rFonts w:ascii="Arial" w:eastAsia="宋体" w:hAnsi="Arial" w:cs="Arial"/>
          <w:sz w:val="18"/>
          <w:szCs w:val="18"/>
        </w:rPr>
        <w:t>sed risk. Our audits also included performing such other procedures as we considered necessary in the circumstances. We believe that our audits provide a reasonable basis for our opinions.</w:t>
      </w:r>
    </w:p>
    <w:p w14:paraId="0BC98AD0" w14:textId="77777777" w:rsidR="009F0928" w:rsidRDefault="002112BD">
      <w:pPr>
        <w:spacing w:line="288" w:lineRule="auto"/>
        <w:jc w:val="both"/>
        <w:rPr>
          <w:rFonts w:ascii="Times New Roman" w:hAnsi="Times New Roman"/>
          <w:sz w:val="18"/>
          <w:szCs w:val="18"/>
        </w:rPr>
      </w:pPr>
      <w:r>
        <w:rPr>
          <w:rFonts w:ascii="Arial" w:eastAsia="宋体" w:hAnsi="Arial" w:cs="Arial"/>
          <w:b/>
          <w:bCs/>
          <w:i/>
          <w:iCs/>
          <w:sz w:val="18"/>
          <w:szCs w:val="18"/>
        </w:rPr>
        <w:t>Definition and Limitations of Internal Control over Financial Repor</w:t>
      </w:r>
      <w:r>
        <w:rPr>
          <w:rFonts w:ascii="Arial" w:eastAsia="宋体" w:hAnsi="Arial" w:cs="Arial"/>
          <w:b/>
          <w:bCs/>
          <w:i/>
          <w:iCs/>
          <w:sz w:val="18"/>
          <w:szCs w:val="18"/>
        </w:rPr>
        <w:t>ting</w:t>
      </w:r>
    </w:p>
    <w:p w14:paraId="0BC98AD1" w14:textId="77777777" w:rsidR="009F0928" w:rsidRDefault="002112BD">
      <w:pPr>
        <w:spacing w:line="288" w:lineRule="auto"/>
        <w:jc w:val="both"/>
        <w:rPr>
          <w:rFonts w:ascii="Times New Roman" w:hAnsi="Times New Roman"/>
          <w:sz w:val="18"/>
          <w:szCs w:val="18"/>
        </w:rPr>
      </w:pPr>
      <w:r>
        <w:rPr>
          <w:rFonts w:ascii="Arial" w:eastAsia="宋体" w:hAnsi="Arial" w:cs="Arial"/>
          <w:sz w:val="18"/>
          <w:szCs w:val="18"/>
        </w:rPr>
        <w:t>A company’s internal control over financial reporting is a process designed to provide reasonable assurance regarding the reliability of financial reporting and the preparation of financial statements for external purposes in accordance with generally</w:t>
      </w:r>
      <w:r>
        <w:rPr>
          <w:rFonts w:ascii="Arial" w:eastAsia="宋体" w:hAnsi="Arial" w:cs="Arial"/>
          <w:sz w:val="18"/>
          <w:szCs w:val="18"/>
        </w:rPr>
        <w:t xml:space="preserve"> accepted accounting principles. A company’s internal control over financial reporting includes those policies and procedures that (i) pertain to the maintenance of records that, in reasonable detail, accurately and fairly reflect the transactions and disp</w:t>
      </w:r>
      <w:r>
        <w:rPr>
          <w:rFonts w:ascii="Arial" w:eastAsia="宋体" w:hAnsi="Arial" w:cs="Arial"/>
          <w:sz w:val="18"/>
          <w:szCs w:val="18"/>
        </w:rPr>
        <w:t>ositions of the assets of the company; (ii) provide reasonable assurance that transactions are recorded as necessary to permit preparation of financial statements in accordance with generally accepted accounting principles, and that receipts and expenditur</w:t>
      </w:r>
      <w:r>
        <w:rPr>
          <w:rFonts w:ascii="Arial" w:eastAsia="宋体" w:hAnsi="Arial" w:cs="Arial"/>
          <w:sz w:val="18"/>
          <w:szCs w:val="18"/>
        </w:rPr>
        <w:t>es of the company are being made only in accordance with authorizations of management and directors of the company; and (iii) provide reasonable assurance regarding prevention or timely detection of unauthorized acquisition, use, or disposition of the comp</w:t>
      </w:r>
      <w:r>
        <w:rPr>
          <w:rFonts w:ascii="Arial" w:eastAsia="宋体" w:hAnsi="Arial" w:cs="Arial"/>
          <w:sz w:val="18"/>
          <w:szCs w:val="18"/>
        </w:rPr>
        <w:t>any’s assets that could have a material effect on the financial statements.</w:t>
      </w:r>
    </w:p>
    <w:p w14:paraId="0BC98AD2" w14:textId="77777777" w:rsidR="009F0928" w:rsidRDefault="002112BD">
      <w:pPr>
        <w:spacing w:line="288" w:lineRule="auto"/>
        <w:jc w:val="both"/>
        <w:rPr>
          <w:rFonts w:ascii="Times New Roman" w:hAnsi="Times New Roman"/>
          <w:sz w:val="18"/>
          <w:szCs w:val="18"/>
        </w:rPr>
      </w:pPr>
      <w:r>
        <w:rPr>
          <w:rFonts w:ascii="Arial" w:eastAsia="宋体" w:hAnsi="Arial" w:cs="Arial"/>
          <w:sz w:val="18"/>
          <w:szCs w:val="18"/>
        </w:rPr>
        <w:t>Because of its inherent limitations, internal control over financial reporting may not prevent or detect misstatements. Also, projections of any evaluation of effectiveness to futu</w:t>
      </w:r>
      <w:r>
        <w:rPr>
          <w:rFonts w:ascii="Arial" w:eastAsia="宋体" w:hAnsi="Arial" w:cs="Arial"/>
          <w:sz w:val="18"/>
          <w:szCs w:val="18"/>
        </w:rPr>
        <w:t>re periods are subject to the risk that controls may become inadequate because of changes in conditions, or that the degree of compliance with the policies or procedures may deteriorate.</w:t>
      </w:r>
    </w:p>
    <w:p w14:paraId="0BC98AD3" w14:textId="77777777" w:rsidR="009F0928" w:rsidRDefault="009F0928">
      <w:pPr>
        <w:spacing w:line="288" w:lineRule="auto"/>
        <w:rPr>
          <w:rFonts w:ascii="Times New Roman" w:hAnsi="Times New Roman"/>
          <w:sz w:val="18"/>
          <w:szCs w:val="18"/>
        </w:rPr>
      </w:pPr>
    </w:p>
    <w:p w14:paraId="0BC98AD4" w14:textId="77777777" w:rsidR="009F0928" w:rsidRDefault="009F0928">
      <w:pPr>
        <w:rPr>
          <w:rFonts w:ascii="Times New Roman" w:hAnsi="Times New Roman"/>
          <w:sz w:val="20"/>
          <w:szCs w:val="20"/>
        </w:rPr>
      </w:pPr>
    </w:p>
    <w:p w14:paraId="0BC98AD5"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F-1</w:t>
      </w:r>
    </w:p>
    <w:p w14:paraId="0BC98AD6" w14:textId="77777777" w:rsidR="009F0928" w:rsidRDefault="002112BD">
      <w:r>
        <w:rPr>
          <w:rFonts w:ascii="Times New Roman" w:hAnsi="Times New Roman"/>
          <w:sz w:val="18"/>
          <w:szCs w:val="18"/>
        </w:rPr>
        <w:pict w14:anchorId="0BC9B4FB">
          <v:rect id="_x0000_i1087" style="width:415.3pt;height:1.5pt" o:hralign="center" o:hrstd="t" o:hr="t" fillcolor="#a0a0a0" stroked="f"/>
        </w:pict>
      </w:r>
    </w:p>
    <w:p w14:paraId="0BC98AD7" w14:textId="77777777" w:rsidR="009F0928" w:rsidRDefault="009F0928">
      <w:pPr>
        <w:spacing w:line="288" w:lineRule="auto"/>
        <w:rPr>
          <w:rFonts w:ascii="Times New Roman" w:hAnsi="Times New Roman"/>
          <w:sz w:val="20"/>
          <w:szCs w:val="20"/>
        </w:rPr>
      </w:pPr>
    </w:p>
    <w:p w14:paraId="0BC98AD8" w14:textId="77777777" w:rsidR="009F0928" w:rsidRDefault="009F0928">
      <w:pPr>
        <w:rPr>
          <w:rFonts w:ascii="Times New Roman" w:hAnsi="Times New Roman"/>
          <w:sz w:val="20"/>
          <w:szCs w:val="20"/>
        </w:rPr>
      </w:pPr>
    </w:p>
    <w:p w14:paraId="0BC98AD9" w14:textId="77777777" w:rsidR="009F0928" w:rsidRDefault="002112BD">
      <w:pPr>
        <w:spacing w:line="288" w:lineRule="auto"/>
        <w:rPr>
          <w:rFonts w:ascii="Times New Roman" w:hAnsi="Times New Roman"/>
          <w:sz w:val="18"/>
          <w:szCs w:val="18"/>
        </w:rPr>
      </w:pPr>
      <w:r>
        <w:rPr>
          <w:rFonts w:ascii="Arial" w:eastAsia="宋体" w:hAnsi="Arial" w:cs="Arial"/>
          <w:b/>
          <w:bCs/>
          <w:i/>
          <w:iCs/>
          <w:sz w:val="18"/>
          <w:szCs w:val="18"/>
        </w:rPr>
        <w:t>Critical Audit Matters</w:t>
      </w:r>
    </w:p>
    <w:p w14:paraId="0BC98ADA" w14:textId="77777777" w:rsidR="009F0928" w:rsidRDefault="002112BD">
      <w:pPr>
        <w:spacing w:line="288" w:lineRule="auto"/>
        <w:rPr>
          <w:rFonts w:ascii="Times New Roman" w:hAnsi="Times New Roman"/>
          <w:sz w:val="18"/>
          <w:szCs w:val="18"/>
        </w:rPr>
      </w:pPr>
      <w:r>
        <w:rPr>
          <w:rFonts w:ascii="Arial" w:eastAsia="宋体" w:hAnsi="Arial" w:cs="Arial"/>
          <w:sz w:val="18"/>
          <w:szCs w:val="18"/>
        </w:rPr>
        <w:t>The critical audit matter communicat</w:t>
      </w:r>
      <w:r>
        <w:rPr>
          <w:rFonts w:ascii="Arial" w:eastAsia="宋体" w:hAnsi="Arial" w:cs="Arial"/>
          <w:sz w:val="18"/>
          <w:szCs w:val="18"/>
        </w:rPr>
        <w:t>ed below is a matter arising from the current period audit of the consolidated financial statements that was communicated or required to be communicated to the audit committee and that (i) relates to accounts or disclosures that are material to the consoli</w:t>
      </w:r>
      <w:r>
        <w:rPr>
          <w:rFonts w:ascii="Arial" w:eastAsia="宋体" w:hAnsi="Arial" w:cs="Arial"/>
          <w:sz w:val="18"/>
          <w:szCs w:val="18"/>
        </w:rPr>
        <w:t xml:space="preserve">dated financial statements and (ii) involved our especially challenging, subjective, or complex judgments. The communication of critical audit matters does not alter in any way our opinion on the consolidated financial statements, taken as a whole, and we </w:t>
      </w:r>
      <w:r>
        <w:rPr>
          <w:rFonts w:ascii="Arial" w:eastAsia="宋体" w:hAnsi="Arial" w:cs="Arial"/>
          <w:sz w:val="18"/>
          <w:szCs w:val="18"/>
        </w:rPr>
        <w:t>are not, by communicating the critical audit matter below, providing a separate opinion on the critical audit matter or on the accounts or disclosures to which it relates.</w:t>
      </w:r>
    </w:p>
    <w:p w14:paraId="0BC98ADB" w14:textId="77777777" w:rsidR="009F0928" w:rsidRDefault="002112BD">
      <w:pPr>
        <w:spacing w:line="288" w:lineRule="auto"/>
        <w:rPr>
          <w:rFonts w:ascii="Times New Roman" w:hAnsi="Times New Roman"/>
          <w:sz w:val="18"/>
          <w:szCs w:val="18"/>
        </w:rPr>
      </w:pPr>
      <w:r>
        <w:rPr>
          <w:rFonts w:ascii="Arial" w:eastAsia="宋体" w:hAnsi="Arial" w:cs="Arial"/>
          <w:i/>
          <w:iCs/>
          <w:sz w:val="18"/>
          <w:szCs w:val="18"/>
        </w:rPr>
        <w:t>Income Taxes</w:t>
      </w:r>
    </w:p>
    <w:p w14:paraId="0BC98ADC" w14:textId="77777777" w:rsidR="009F0928" w:rsidRDefault="002112BD">
      <w:pPr>
        <w:spacing w:line="288" w:lineRule="auto"/>
        <w:rPr>
          <w:rFonts w:ascii="Times New Roman" w:hAnsi="Times New Roman"/>
          <w:sz w:val="18"/>
          <w:szCs w:val="18"/>
        </w:rPr>
      </w:pPr>
      <w:r>
        <w:rPr>
          <w:rFonts w:ascii="Arial" w:eastAsia="宋体" w:hAnsi="Arial" w:cs="Arial"/>
          <w:sz w:val="18"/>
          <w:szCs w:val="18"/>
        </w:rPr>
        <w:t xml:space="preserve">As described in Notes 1 and 15 to the consolidated financial statements, significant judgment is required in determining the Company’s tax expense and in evaluating management’s tax positions, including evaluating uncertainties and the complexity of taxes </w:t>
      </w:r>
      <w:r>
        <w:rPr>
          <w:rFonts w:ascii="Arial" w:eastAsia="宋体" w:hAnsi="Arial" w:cs="Arial"/>
          <w:sz w:val="18"/>
          <w:szCs w:val="18"/>
        </w:rPr>
        <w:t>on foreign earnings. As disclosed by management, the Company’s income tax rate is affected by the tax rates that apply to their foreign earnings including U.S. minimum taxes on foreign earnings. The deferred tax benefit derived from the amortization of the</w:t>
      </w:r>
      <w:r>
        <w:rPr>
          <w:rFonts w:ascii="Arial" w:eastAsia="宋体" w:hAnsi="Arial" w:cs="Arial"/>
          <w:sz w:val="18"/>
          <w:szCs w:val="18"/>
        </w:rPr>
        <w:t xml:space="preserve"> Company’s intellectual property is based on the fair value, which has been agreed with foreign tax authorities. The deferred tax benefit may from time to time change based on changes in tax rates. Management recognizes and measures uncertain tax positions</w:t>
      </w:r>
      <w:r>
        <w:rPr>
          <w:rFonts w:ascii="Arial" w:eastAsia="宋体" w:hAnsi="Arial" w:cs="Arial"/>
          <w:sz w:val="18"/>
          <w:szCs w:val="18"/>
        </w:rPr>
        <w:t xml:space="preserve"> in accordance with generally accepted accounting principles in the U.S., or GAAP, pursuant to which management only recognizes the tax benefit from an uncertain tax position if it is more likely than not that the tax position will be sustained on examinat</w:t>
      </w:r>
      <w:r>
        <w:rPr>
          <w:rFonts w:ascii="Arial" w:eastAsia="宋体" w:hAnsi="Arial" w:cs="Arial"/>
          <w:sz w:val="18"/>
          <w:szCs w:val="18"/>
        </w:rPr>
        <w:t xml:space="preserve">ion by the taxing authorities, based on the technical merits of the position. The total provision for income taxes for the year ended December 31, 2019 was $415 million, and the effective tax rate was 18.8%. </w:t>
      </w:r>
    </w:p>
    <w:p w14:paraId="0BC98ADD" w14:textId="77777777" w:rsidR="009F0928" w:rsidRDefault="002112BD">
      <w:pPr>
        <w:spacing w:line="288" w:lineRule="auto"/>
        <w:rPr>
          <w:rFonts w:ascii="Times New Roman" w:hAnsi="Times New Roman"/>
          <w:sz w:val="18"/>
          <w:szCs w:val="18"/>
        </w:rPr>
      </w:pPr>
      <w:r>
        <w:rPr>
          <w:rFonts w:ascii="Arial" w:eastAsia="宋体" w:hAnsi="Arial" w:cs="Arial"/>
          <w:sz w:val="18"/>
          <w:szCs w:val="18"/>
        </w:rPr>
        <w:t>The principal considerations for our determinat</w:t>
      </w:r>
      <w:r>
        <w:rPr>
          <w:rFonts w:ascii="Arial" w:eastAsia="宋体" w:hAnsi="Arial" w:cs="Arial"/>
          <w:sz w:val="18"/>
          <w:szCs w:val="18"/>
        </w:rPr>
        <w:t>ion that performing procedures relating to income taxes is a critical audit matter are there is significant judgment applied by management when determining the tax expense and in evaluating management’s tax positions, including analyzing uncertain tax posi</w:t>
      </w:r>
      <w:r>
        <w:rPr>
          <w:rFonts w:ascii="Arial" w:eastAsia="宋体" w:hAnsi="Arial" w:cs="Arial"/>
          <w:sz w:val="18"/>
          <w:szCs w:val="18"/>
        </w:rPr>
        <w:t xml:space="preserve">tions and taxes on foreign earnings, which in turn led to a high degree of auditor judgment, effort, and subjectivity in performing audit procedures and evaluating audit evidence relating to income taxes. </w:t>
      </w:r>
    </w:p>
    <w:p w14:paraId="0BC98ADE" w14:textId="77777777" w:rsidR="009F0928" w:rsidRDefault="002112BD">
      <w:pPr>
        <w:spacing w:line="288" w:lineRule="auto"/>
        <w:rPr>
          <w:rFonts w:ascii="Times New Roman" w:hAnsi="Times New Roman"/>
          <w:sz w:val="18"/>
          <w:szCs w:val="18"/>
        </w:rPr>
      </w:pPr>
      <w:r>
        <w:rPr>
          <w:rFonts w:ascii="Arial" w:eastAsia="宋体" w:hAnsi="Arial" w:cs="Arial"/>
          <w:sz w:val="18"/>
          <w:szCs w:val="18"/>
        </w:rPr>
        <w:t xml:space="preserve">Addressing the matter involved </w:t>
      </w:r>
      <w:r>
        <w:rPr>
          <w:rFonts w:ascii="Arial" w:eastAsia="宋体" w:hAnsi="Arial" w:cs="Arial"/>
          <w:sz w:val="18"/>
          <w:szCs w:val="18"/>
        </w:rPr>
        <w:t>performing procedures and evaluating audit evidence in connection with forming our overall opinion on the consolidated financial statements. These procedures included testing the effectiveness of controls relating to income taxes, including controls over u</w:t>
      </w:r>
      <w:r>
        <w:rPr>
          <w:rFonts w:ascii="Arial" w:eastAsia="宋体" w:hAnsi="Arial" w:cs="Arial"/>
          <w:sz w:val="18"/>
          <w:szCs w:val="18"/>
        </w:rPr>
        <w:t>ncertain tax positions and the provision for income taxes. These procedures also included, among others, evaluating tax positions taken by management, including evaluating the reasonableness of management’s determination of the probability of sustaining th</w:t>
      </w:r>
      <w:r>
        <w:rPr>
          <w:rFonts w:ascii="Arial" w:eastAsia="宋体" w:hAnsi="Arial" w:cs="Arial"/>
          <w:sz w:val="18"/>
          <w:szCs w:val="18"/>
        </w:rPr>
        <w:t>e position under tax examination, evaluating communications with the relevant tax authorities, testing applicable tax rates applied by management, and evaluating the impact of taxes on foreign earnings.</w:t>
      </w:r>
    </w:p>
    <w:p w14:paraId="0BC98ADF" w14:textId="77777777" w:rsidR="009F0928" w:rsidRDefault="009F0928">
      <w:pPr>
        <w:spacing w:line="288" w:lineRule="auto"/>
        <w:rPr>
          <w:rFonts w:ascii="Times New Roman" w:hAnsi="Times New Roman"/>
          <w:sz w:val="18"/>
          <w:szCs w:val="18"/>
        </w:rPr>
      </w:pPr>
    </w:p>
    <w:p w14:paraId="0BC98AE0" w14:textId="77777777" w:rsidR="009F0928" w:rsidRDefault="009F0928">
      <w:pPr>
        <w:spacing w:line="288" w:lineRule="auto"/>
        <w:jc w:val="both"/>
        <w:rPr>
          <w:rFonts w:ascii="Times New Roman" w:hAnsi="Times New Roman"/>
          <w:sz w:val="18"/>
          <w:szCs w:val="18"/>
        </w:rPr>
      </w:pPr>
    </w:p>
    <w:p w14:paraId="0BC98AE1" w14:textId="77777777" w:rsidR="009F0928" w:rsidRDefault="002112BD">
      <w:pPr>
        <w:spacing w:line="288" w:lineRule="auto"/>
        <w:jc w:val="both"/>
        <w:rPr>
          <w:rFonts w:ascii="Times New Roman" w:hAnsi="Times New Roman"/>
          <w:sz w:val="18"/>
          <w:szCs w:val="18"/>
        </w:rPr>
      </w:pPr>
      <w:r>
        <w:rPr>
          <w:rFonts w:ascii="Arial" w:eastAsia="宋体" w:hAnsi="Arial" w:cs="Arial"/>
          <w:sz w:val="18"/>
          <w:szCs w:val="18"/>
        </w:rPr>
        <w:t>/s/ PricewaterhouseCoopers LLP</w:t>
      </w:r>
    </w:p>
    <w:p w14:paraId="0BC98AE2" w14:textId="77777777" w:rsidR="009F0928" w:rsidRDefault="002112BD">
      <w:pPr>
        <w:spacing w:line="288" w:lineRule="auto"/>
        <w:jc w:val="both"/>
        <w:rPr>
          <w:rFonts w:ascii="Times New Roman" w:hAnsi="Times New Roman"/>
          <w:sz w:val="18"/>
          <w:szCs w:val="18"/>
        </w:rPr>
      </w:pPr>
      <w:r>
        <w:rPr>
          <w:rFonts w:ascii="Arial" w:eastAsia="宋体" w:hAnsi="Arial" w:cs="Arial"/>
          <w:sz w:val="18"/>
          <w:szCs w:val="18"/>
        </w:rPr>
        <w:t>San Jose, California</w:t>
      </w:r>
      <w:r>
        <w:rPr>
          <w:rFonts w:ascii="Arial" w:eastAsia="宋体" w:hAnsi="Arial" w:cs="Arial"/>
          <w:sz w:val="18"/>
          <w:szCs w:val="18"/>
        </w:rPr>
        <w:t xml:space="preserve"> </w:t>
      </w:r>
    </w:p>
    <w:p w14:paraId="0BC98AE3" w14:textId="77777777" w:rsidR="009F0928" w:rsidRDefault="002112BD">
      <w:pPr>
        <w:spacing w:line="288" w:lineRule="auto"/>
        <w:jc w:val="both"/>
        <w:rPr>
          <w:rFonts w:ascii="Times New Roman" w:hAnsi="Times New Roman"/>
          <w:sz w:val="18"/>
          <w:szCs w:val="18"/>
        </w:rPr>
      </w:pPr>
      <w:r>
        <w:rPr>
          <w:rFonts w:ascii="Arial" w:eastAsia="宋体" w:hAnsi="Arial" w:cs="Arial"/>
          <w:sz w:val="18"/>
          <w:szCs w:val="18"/>
        </w:rPr>
        <w:t xml:space="preserve">January 31, 2020 </w:t>
      </w:r>
    </w:p>
    <w:p w14:paraId="0BC98AE4" w14:textId="77777777" w:rsidR="009F0928" w:rsidRDefault="009F0928">
      <w:pPr>
        <w:spacing w:line="288" w:lineRule="auto"/>
        <w:jc w:val="both"/>
        <w:rPr>
          <w:rFonts w:ascii="Times New Roman" w:hAnsi="Times New Roman"/>
          <w:sz w:val="18"/>
          <w:szCs w:val="18"/>
        </w:rPr>
      </w:pPr>
    </w:p>
    <w:p w14:paraId="0BC98AE5" w14:textId="77777777" w:rsidR="009F0928" w:rsidRDefault="002112BD">
      <w:pPr>
        <w:spacing w:line="288" w:lineRule="auto"/>
        <w:jc w:val="both"/>
        <w:rPr>
          <w:rFonts w:ascii="Times New Roman" w:hAnsi="Times New Roman"/>
          <w:sz w:val="18"/>
          <w:szCs w:val="18"/>
        </w:rPr>
      </w:pPr>
      <w:r>
        <w:rPr>
          <w:rFonts w:ascii="Arial" w:eastAsia="宋体" w:hAnsi="Arial" w:cs="Arial"/>
          <w:sz w:val="18"/>
          <w:szCs w:val="18"/>
        </w:rPr>
        <w:t>We have served as the Company’s auditor since 1997.</w:t>
      </w:r>
    </w:p>
    <w:p w14:paraId="0BC98AE6" w14:textId="77777777" w:rsidR="009F0928" w:rsidRDefault="009F0928">
      <w:pPr>
        <w:rPr>
          <w:rFonts w:ascii="Times New Roman" w:hAnsi="Times New Roman"/>
          <w:sz w:val="20"/>
          <w:szCs w:val="20"/>
        </w:rPr>
      </w:pPr>
    </w:p>
    <w:p w14:paraId="0BC98AE7"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F-2</w:t>
      </w:r>
    </w:p>
    <w:p w14:paraId="0BC98AE8" w14:textId="77777777" w:rsidR="009F0928" w:rsidRDefault="002112BD">
      <w:r>
        <w:rPr>
          <w:rFonts w:ascii="Times New Roman" w:hAnsi="Times New Roman"/>
          <w:sz w:val="18"/>
          <w:szCs w:val="18"/>
        </w:rPr>
        <w:pict w14:anchorId="0BC9B4FC">
          <v:rect id="_x0000_i1088" style="width:415.3pt;height:1.5pt" o:hralign="center" o:hrstd="t" o:hr="t" fillcolor="#a0a0a0" stroked="f"/>
        </w:pict>
      </w:r>
    </w:p>
    <w:p w14:paraId="0BC98AE9" w14:textId="77777777" w:rsidR="009F0928" w:rsidRDefault="009F0928">
      <w:pPr>
        <w:spacing w:line="288" w:lineRule="auto"/>
        <w:rPr>
          <w:rFonts w:ascii="Times New Roman" w:hAnsi="Times New Roman"/>
          <w:sz w:val="20"/>
          <w:szCs w:val="20"/>
        </w:rPr>
      </w:pPr>
    </w:p>
    <w:p w14:paraId="0BC98AEA" w14:textId="77777777" w:rsidR="009F0928" w:rsidRDefault="009F0928">
      <w:pPr>
        <w:rPr>
          <w:rFonts w:ascii="Times New Roman" w:hAnsi="Times New Roman"/>
          <w:sz w:val="20"/>
          <w:szCs w:val="20"/>
        </w:rPr>
      </w:pPr>
    </w:p>
    <w:p w14:paraId="0BC98AEB" w14:textId="77777777" w:rsidR="009F0928" w:rsidRDefault="009F0928">
      <w:pPr>
        <w:spacing w:line="288" w:lineRule="auto"/>
        <w:jc w:val="both"/>
        <w:rPr>
          <w:rFonts w:ascii="Times New Roman" w:hAnsi="Times New Roman"/>
          <w:sz w:val="18"/>
          <w:szCs w:val="18"/>
        </w:rPr>
      </w:pPr>
    </w:p>
    <w:p w14:paraId="0BC98AEC"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PART II: FINANCIAL INFORMATION</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5434"/>
      </w:tblGrid>
      <w:tr w:rsidR="009F0928" w14:paraId="0BC98AEF" w14:textId="77777777">
        <w:trPr>
          <w:tblCellSpacing w:w="0" w:type="dxa"/>
        </w:trPr>
        <w:tc>
          <w:tcPr>
            <w:tcW w:w="1440" w:type="dxa"/>
            <w:shd w:val="clear" w:color="auto" w:fill="auto"/>
            <w:vAlign w:val="center"/>
          </w:tcPr>
          <w:p w14:paraId="0BC98AED" w14:textId="77777777" w:rsidR="009F0928" w:rsidRDefault="009F0928">
            <w:pPr>
              <w:rPr>
                <w:rFonts w:ascii="Times New Roman" w:hAnsi="Times New Roman"/>
                <w:sz w:val="20"/>
                <w:szCs w:val="20"/>
              </w:rPr>
            </w:pPr>
          </w:p>
        </w:tc>
        <w:tc>
          <w:tcPr>
            <w:tcW w:w="0" w:type="auto"/>
            <w:shd w:val="clear" w:color="auto" w:fill="auto"/>
            <w:vAlign w:val="center"/>
          </w:tcPr>
          <w:p w14:paraId="0BC98AEE" w14:textId="77777777" w:rsidR="009F0928" w:rsidRDefault="009F0928">
            <w:pPr>
              <w:rPr>
                <w:rFonts w:ascii="Times New Roman" w:hAnsi="Times New Roman"/>
                <w:sz w:val="20"/>
                <w:szCs w:val="20"/>
              </w:rPr>
            </w:pPr>
          </w:p>
        </w:tc>
      </w:tr>
      <w:tr w:rsidR="009F0928" w14:paraId="0BC98AF2" w14:textId="77777777">
        <w:trPr>
          <w:tblCellSpacing w:w="0" w:type="dxa"/>
        </w:trPr>
        <w:tc>
          <w:tcPr>
            <w:tcW w:w="0" w:type="auto"/>
            <w:shd w:val="clear" w:color="auto" w:fill="auto"/>
          </w:tcPr>
          <w:p w14:paraId="0BC98AF0" w14:textId="77777777" w:rsidR="009F0928" w:rsidRDefault="002112BD">
            <w:pPr>
              <w:spacing w:line="288" w:lineRule="auto"/>
              <w:textAlignment w:val="top"/>
              <w:rPr>
                <w:rFonts w:ascii="Times New Roman" w:hAnsi="Times New Roman"/>
                <w:sz w:val="20"/>
                <w:szCs w:val="20"/>
              </w:rPr>
            </w:pPr>
            <w:r>
              <w:rPr>
                <w:rFonts w:ascii="Arial" w:eastAsia="宋体" w:hAnsi="Arial" w:cs="Arial"/>
                <w:b/>
                <w:bCs/>
                <w:sz w:val="20"/>
                <w:szCs w:val="20"/>
              </w:rPr>
              <w:t>ITEM 8:</w:t>
            </w:r>
          </w:p>
        </w:tc>
        <w:tc>
          <w:tcPr>
            <w:tcW w:w="0" w:type="auto"/>
            <w:shd w:val="clear" w:color="auto" w:fill="auto"/>
          </w:tcPr>
          <w:p w14:paraId="0BC98AF1" w14:textId="77777777" w:rsidR="009F0928" w:rsidRDefault="002112BD">
            <w:pPr>
              <w:spacing w:line="288" w:lineRule="auto"/>
              <w:textAlignment w:val="top"/>
              <w:rPr>
                <w:rFonts w:ascii="Times New Roman" w:hAnsi="Times New Roman"/>
                <w:sz w:val="20"/>
                <w:szCs w:val="20"/>
              </w:rPr>
            </w:pPr>
            <w:r>
              <w:rPr>
                <w:rFonts w:ascii="Arial" w:eastAsia="宋体" w:hAnsi="Arial" w:cs="Arial"/>
                <w:b/>
                <w:bCs/>
                <w:i/>
                <w:iCs/>
                <w:sz w:val="20"/>
                <w:szCs w:val="20"/>
              </w:rPr>
              <w:t>FINANCIAL STATEMENTS AND SUPPLEMENTARY DATA</w:t>
            </w:r>
          </w:p>
        </w:tc>
      </w:tr>
    </w:tbl>
    <w:p w14:paraId="0BC98AF3"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eBay Inc. </w:t>
      </w:r>
    </w:p>
    <w:p w14:paraId="0BC98AF4"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CONSOLIDATED BALANCE SHEET </w:t>
      </w:r>
    </w:p>
    <w:tbl>
      <w:tblPr>
        <w:tblW w:w="5000" w:type="pct"/>
        <w:jc w:val="center"/>
        <w:tblCellMar>
          <w:left w:w="0" w:type="dxa"/>
          <w:right w:w="0" w:type="dxa"/>
        </w:tblCellMar>
        <w:tblLook w:val="04A0" w:firstRow="1" w:lastRow="0" w:firstColumn="1" w:lastColumn="0" w:noHBand="0" w:noVBand="1"/>
      </w:tblPr>
      <w:tblGrid>
        <w:gridCol w:w="5797"/>
        <w:gridCol w:w="153"/>
        <w:gridCol w:w="930"/>
        <w:gridCol w:w="108"/>
        <w:gridCol w:w="130"/>
        <w:gridCol w:w="152"/>
        <w:gridCol w:w="929"/>
        <w:gridCol w:w="107"/>
      </w:tblGrid>
      <w:tr w:rsidR="009F0928" w14:paraId="0BC98AF6" w14:textId="77777777">
        <w:trPr>
          <w:jc w:val="center"/>
        </w:trPr>
        <w:tc>
          <w:tcPr>
            <w:tcW w:w="0" w:type="auto"/>
            <w:gridSpan w:val="8"/>
            <w:shd w:val="clear" w:color="auto" w:fill="auto"/>
            <w:vAlign w:val="center"/>
          </w:tcPr>
          <w:p w14:paraId="0BC98AF5" w14:textId="77777777" w:rsidR="009F0928" w:rsidRDefault="009F0928">
            <w:pPr>
              <w:rPr>
                <w:rFonts w:ascii="Times New Roman" w:hAnsi="Times New Roman"/>
                <w:sz w:val="20"/>
                <w:szCs w:val="20"/>
              </w:rPr>
            </w:pPr>
          </w:p>
        </w:tc>
      </w:tr>
      <w:tr w:rsidR="009F0928" w14:paraId="0BC98AFF" w14:textId="77777777">
        <w:trPr>
          <w:jc w:val="center"/>
        </w:trPr>
        <w:tc>
          <w:tcPr>
            <w:tcW w:w="3650" w:type="pct"/>
            <w:shd w:val="clear" w:color="auto" w:fill="auto"/>
            <w:vAlign w:val="center"/>
          </w:tcPr>
          <w:p w14:paraId="0BC98AF7" w14:textId="77777777" w:rsidR="009F0928" w:rsidRDefault="009F0928">
            <w:pPr>
              <w:rPr>
                <w:rFonts w:ascii="Times New Roman" w:hAnsi="Times New Roman"/>
                <w:sz w:val="20"/>
                <w:szCs w:val="20"/>
              </w:rPr>
            </w:pPr>
          </w:p>
        </w:tc>
        <w:tc>
          <w:tcPr>
            <w:tcW w:w="50" w:type="pct"/>
            <w:shd w:val="clear" w:color="auto" w:fill="auto"/>
            <w:vAlign w:val="center"/>
          </w:tcPr>
          <w:p w14:paraId="0BC98AF8" w14:textId="77777777" w:rsidR="009F0928" w:rsidRDefault="009F0928">
            <w:pPr>
              <w:rPr>
                <w:rFonts w:ascii="Times New Roman" w:hAnsi="Times New Roman"/>
                <w:sz w:val="20"/>
                <w:szCs w:val="20"/>
              </w:rPr>
            </w:pPr>
          </w:p>
        </w:tc>
        <w:tc>
          <w:tcPr>
            <w:tcW w:w="550" w:type="pct"/>
            <w:shd w:val="clear" w:color="auto" w:fill="auto"/>
            <w:vAlign w:val="center"/>
          </w:tcPr>
          <w:p w14:paraId="0BC98AF9" w14:textId="77777777" w:rsidR="009F0928" w:rsidRDefault="009F0928">
            <w:pPr>
              <w:rPr>
                <w:rFonts w:ascii="Times New Roman" w:hAnsi="Times New Roman"/>
                <w:sz w:val="20"/>
                <w:szCs w:val="20"/>
              </w:rPr>
            </w:pPr>
          </w:p>
        </w:tc>
        <w:tc>
          <w:tcPr>
            <w:tcW w:w="50" w:type="pct"/>
            <w:shd w:val="clear" w:color="auto" w:fill="auto"/>
            <w:vAlign w:val="center"/>
          </w:tcPr>
          <w:p w14:paraId="0BC98AFA" w14:textId="77777777" w:rsidR="009F0928" w:rsidRDefault="009F0928">
            <w:pPr>
              <w:rPr>
                <w:rFonts w:ascii="Times New Roman" w:hAnsi="Times New Roman"/>
                <w:sz w:val="20"/>
                <w:szCs w:val="20"/>
              </w:rPr>
            </w:pPr>
          </w:p>
        </w:tc>
        <w:tc>
          <w:tcPr>
            <w:tcW w:w="50" w:type="pct"/>
            <w:shd w:val="clear" w:color="auto" w:fill="auto"/>
            <w:vAlign w:val="center"/>
          </w:tcPr>
          <w:p w14:paraId="0BC98AFB" w14:textId="77777777" w:rsidR="009F0928" w:rsidRDefault="009F0928">
            <w:pPr>
              <w:rPr>
                <w:rFonts w:ascii="Times New Roman" w:hAnsi="Times New Roman"/>
                <w:sz w:val="20"/>
                <w:szCs w:val="20"/>
              </w:rPr>
            </w:pPr>
          </w:p>
        </w:tc>
        <w:tc>
          <w:tcPr>
            <w:tcW w:w="50" w:type="pct"/>
            <w:shd w:val="clear" w:color="auto" w:fill="auto"/>
            <w:vAlign w:val="center"/>
          </w:tcPr>
          <w:p w14:paraId="0BC98AFC" w14:textId="77777777" w:rsidR="009F0928" w:rsidRDefault="009F0928">
            <w:pPr>
              <w:rPr>
                <w:rFonts w:ascii="Times New Roman" w:hAnsi="Times New Roman"/>
                <w:sz w:val="20"/>
                <w:szCs w:val="20"/>
              </w:rPr>
            </w:pPr>
          </w:p>
        </w:tc>
        <w:tc>
          <w:tcPr>
            <w:tcW w:w="550" w:type="pct"/>
            <w:shd w:val="clear" w:color="auto" w:fill="auto"/>
            <w:vAlign w:val="center"/>
          </w:tcPr>
          <w:p w14:paraId="0BC98AFD" w14:textId="77777777" w:rsidR="009F0928" w:rsidRDefault="009F0928">
            <w:pPr>
              <w:rPr>
                <w:rFonts w:ascii="Times New Roman" w:hAnsi="Times New Roman"/>
                <w:sz w:val="20"/>
                <w:szCs w:val="20"/>
              </w:rPr>
            </w:pPr>
          </w:p>
        </w:tc>
        <w:tc>
          <w:tcPr>
            <w:tcW w:w="50" w:type="pct"/>
            <w:shd w:val="clear" w:color="auto" w:fill="auto"/>
            <w:vAlign w:val="center"/>
          </w:tcPr>
          <w:p w14:paraId="0BC98AFE" w14:textId="77777777" w:rsidR="009F0928" w:rsidRDefault="009F0928">
            <w:pPr>
              <w:rPr>
                <w:rFonts w:ascii="Times New Roman" w:hAnsi="Times New Roman"/>
                <w:sz w:val="20"/>
                <w:szCs w:val="20"/>
              </w:rPr>
            </w:pPr>
          </w:p>
        </w:tc>
      </w:tr>
      <w:tr w:rsidR="009F0928" w14:paraId="0BC98B02" w14:textId="77777777">
        <w:trPr>
          <w:jc w:val="center"/>
        </w:trPr>
        <w:tc>
          <w:tcPr>
            <w:tcW w:w="0" w:type="auto"/>
            <w:shd w:val="clear" w:color="auto" w:fill="auto"/>
            <w:tcMar>
              <w:top w:w="40" w:type="dxa"/>
              <w:left w:w="40" w:type="dxa"/>
              <w:bottom w:w="40" w:type="dxa"/>
              <w:right w:w="40" w:type="dxa"/>
            </w:tcMar>
            <w:vAlign w:val="bottom"/>
          </w:tcPr>
          <w:p w14:paraId="0BC98B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BC98B01"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w:t>
            </w:r>
          </w:p>
        </w:tc>
      </w:tr>
      <w:tr w:rsidR="009F0928" w14:paraId="0BC98B07" w14:textId="77777777">
        <w:trPr>
          <w:jc w:val="center"/>
        </w:trPr>
        <w:tc>
          <w:tcPr>
            <w:tcW w:w="0" w:type="auto"/>
            <w:shd w:val="clear" w:color="auto" w:fill="auto"/>
            <w:tcMar>
              <w:top w:w="40" w:type="dxa"/>
              <w:left w:w="40" w:type="dxa"/>
              <w:bottom w:w="40" w:type="dxa"/>
              <w:right w:w="40" w:type="dxa"/>
            </w:tcMar>
            <w:vAlign w:val="bottom"/>
          </w:tcPr>
          <w:p w14:paraId="0BC98B03"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B04"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8B05"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B0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r>
      <w:tr w:rsidR="009F0928" w14:paraId="0BC98B0A" w14:textId="77777777">
        <w:trPr>
          <w:jc w:val="center"/>
        </w:trPr>
        <w:tc>
          <w:tcPr>
            <w:tcW w:w="0" w:type="auto"/>
            <w:shd w:val="clear" w:color="auto" w:fill="E2E2E2"/>
            <w:tcMar>
              <w:top w:w="40" w:type="dxa"/>
              <w:left w:w="40" w:type="dxa"/>
              <w:bottom w:w="40" w:type="dxa"/>
              <w:right w:w="40" w:type="dxa"/>
            </w:tcMar>
            <w:vAlign w:val="bottom"/>
          </w:tcPr>
          <w:p w14:paraId="0BC98B08"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7"/>
            <w:shd w:val="clear" w:color="auto" w:fill="E2E2E2"/>
            <w:tcMar>
              <w:top w:w="40" w:type="dxa"/>
              <w:left w:w="40" w:type="dxa"/>
              <w:bottom w:w="40" w:type="dxa"/>
            </w:tcMar>
            <w:vAlign w:val="bottom"/>
          </w:tcPr>
          <w:p w14:paraId="0BC98B09"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(In millions, except par value)</w:t>
            </w:r>
          </w:p>
        </w:tc>
      </w:tr>
      <w:tr w:rsidR="009F0928" w14:paraId="0BC98B0F" w14:textId="77777777">
        <w:trPr>
          <w:jc w:val="center"/>
        </w:trPr>
        <w:tc>
          <w:tcPr>
            <w:tcW w:w="0" w:type="auto"/>
            <w:shd w:val="clear" w:color="auto" w:fill="auto"/>
            <w:tcMar>
              <w:top w:w="40" w:type="dxa"/>
              <w:left w:w="40" w:type="dxa"/>
              <w:bottom w:w="40" w:type="dxa"/>
              <w:right w:w="40" w:type="dxa"/>
            </w:tcMar>
            <w:vAlign w:val="bottom"/>
          </w:tcPr>
          <w:p w14:paraId="0BC98B0B" w14:textId="77777777" w:rsidR="009F0928" w:rsidRDefault="002112BD">
            <w:pPr>
              <w:jc w:val="center"/>
              <w:textAlignment w:val="bottom"/>
              <w:rPr>
                <w:rFonts w:ascii="Times New Roman" w:hAnsi="Times New Roman"/>
                <w:sz w:val="20"/>
                <w:szCs w:val="20"/>
              </w:rPr>
            </w:pPr>
            <w:r>
              <w:rPr>
                <w:rFonts w:ascii="Arial" w:eastAsia="宋体" w:hAnsi="Arial" w:cs="Arial"/>
                <w:b/>
                <w:bCs/>
                <w:sz w:val="20"/>
                <w:szCs w:val="20"/>
              </w:rPr>
              <w:t>ASSETS</w:t>
            </w:r>
          </w:p>
        </w:tc>
        <w:tc>
          <w:tcPr>
            <w:tcW w:w="0" w:type="auto"/>
            <w:gridSpan w:val="3"/>
            <w:shd w:val="clear" w:color="auto" w:fill="auto"/>
            <w:tcMar>
              <w:top w:w="40" w:type="dxa"/>
              <w:left w:w="40" w:type="dxa"/>
              <w:bottom w:w="40" w:type="dxa"/>
              <w:right w:w="40" w:type="dxa"/>
            </w:tcMar>
            <w:vAlign w:val="bottom"/>
          </w:tcPr>
          <w:p w14:paraId="0BC98B0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B0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B0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B14" w14:textId="77777777">
        <w:trPr>
          <w:jc w:val="center"/>
        </w:trPr>
        <w:tc>
          <w:tcPr>
            <w:tcW w:w="0" w:type="auto"/>
            <w:shd w:val="clear" w:color="auto" w:fill="E2E2E2"/>
            <w:tcMar>
              <w:top w:w="40" w:type="dxa"/>
              <w:left w:w="40" w:type="dxa"/>
              <w:bottom w:w="40" w:type="dxa"/>
              <w:right w:w="40" w:type="dxa"/>
            </w:tcMar>
            <w:vAlign w:val="bottom"/>
          </w:tcPr>
          <w:p w14:paraId="0BC98B10" w14:textId="77777777" w:rsidR="009F0928" w:rsidRDefault="002112BD">
            <w:pPr>
              <w:textAlignment w:val="bottom"/>
              <w:rPr>
                <w:rFonts w:ascii="Times New Roman" w:hAnsi="Times New Roman"/>
                <w:sz w:val="20"/>
                <w:szCs w:val="20"/>
              </w:rPr>
            </w:pPr>
            <w:r>
              <w:rPr>
                <w:rFonts w:ascii="Arial" w:eastAsia="宋体" w:hAnsi="Arial" w:cs="Arial"/>
                <w:sz w:val="20"/>
                <w:szCs w:val="20"/>
              </w:rPr>
              <w:t>Current assets:</w:t>
            </w:r>
          </w:p>
        </w:tc>
        <w:tc>
          <w:tcPr>
            <w:tcW w:w="0" w:type="auto"/>
            <w:gridSpan w:val="3"/>
            <w:shd w:val="clear" w:color="auto" w:fill="E2E2E2"/>
            <w:tcMar>
              <w:top w:w="40" w:type="dxa"/>
              <w:left w:w="40" w:type="dxa"/>
              <w:bottom w:w="40" w:type="dxa"/>
              <w:right w:w="40" w:type="dxa"/>
            </w:tcMar>
            <w:vAlign w:val="bottom"/>
          </w:tcPr>
          <w:p w14:paraId="0BC98B11" w14:textId="77777777" w:rsidR="009F0928" w:rsidRDefault="002112BD">
            <w:pPr>
              <w:textAlignment w:val="bottom"/>
              <w:rPr>
                <w:rFonts w:ascii="Times New Roman" w:hAnsi="Times New Roman"/>
                <w:sz w:val="8"/>
                <w:szCs w:val="8"/>
              </w:rPr>
            </w:pPr>
            <w:r>
              <w:rPr>
                <w:rFonts w:ascii="Arial" w:eastAsia="宋体" w:hAnsi="Arial" w:cs="Arial"/>
                <w:sz w:val="8"/>
                <w:szCs w:val="8"/>
              </w:rPr>
              <w:t> </w:t>
            </w:r>
          </w:p>
        </w:tc>
        <w:tc>
          <w:tcPr>
            <w:tcW w:w="0" w:type="auto"/>
            <w:shd w:val="clear" w:color="auto" w:fill="E2E2E2"/>
            <w:tcMar>
              <w:top w:w="40" w:type="dxa"/>
              <w:left w:w="40" w:type="dxa"/>
              <w:bottom w:w="40" w:type="dxa"/>
              <w:right w:w="40" w:type="dxa"/>
            </w:tcMar>
            <w:vAlign w:val="bottom"/>
          </w:tcPr>
          <w:p w14:paraId="0BC98B1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B13" w14:textId="77777777" w:rsidR="009F0928" w:rsidRDefault="002112BD">
            <w:pPr>
              <w:textAlignment w:val="bottom"/>
              <w:rPr>
                <w:rFonts w:ascii="Times New Roman" w:hAnsi="Times New Roman"/>
                <w:sz w:val="8"/>
                <w:szCs w:val="8"/>
              </w:rPr>
            </w:pPr>
            <w:r>
              <w:rPr>
                <w:rFonts w:ascii="Arial" w:eastAsia="宋体" w:hAnsi="Arial" w:cs="Arial"/>
                <w:sz w:val="8"/>
                <w:szCs w:val="8"/>
              </w:rPr>
              <w:t> </w:t>
            </w:r>
          </w:p>
        </w:tc>
      </w:tr>
      <w:tr w:rsidR="009F0928" w14:paraId="0BC98B1D" w14:textId="77777777">
        <w:trPr>
          <w:jc w:val="center"/>
        </w:trPr>
        <w:tc>
          <w:tcPr>
            <w:tcW w:w="0" w:type="auto"/>
            <w:shd w:val="clear" w:color="auto" w:fill="auto"/>
            <w:tcMar>
              <w:top w:w="40" w:type="dxa"/>
              <w:left w:w="720" w:type="dxa"/>
              <w:bottom w:w="40" w:type="dxa"/>
              <w:right w:w="40" w:type="dxa"/>
            </w:tcMar>
            <w:vAlign w:val="bottom"/>
          </w:tcPr>
          <w:p w14:paraId="0BC98B15" w14:textId="77777777" w:rsidR="009F0928" w:rsidRDefault="002112BD">
            <w:pPr>
              <w:textAlignment w:val="bottom"/>
              <w:rPr>
                <w:rFonts w:ascii="Times New Roman" w:hAnsi="Times New Roman"/>
                <w:sz w:val="20"/>
                <w:szCs w:val="20"/>
              </w:rPr>
            </w:pPr>
            <w:r>
              <w:rPr>
                <w:rFonts w:ascii="Arial" w:eastAsia="宋体" w:hAnsi="Arial" w:cs="Arial"/>
                <w:sz w:val="20"/>
                <w:szCs w:val="20"/>
              </w:rPr>
              <w:t>Cash and cash equivalents</w:t>
            </w:r>
          </w:p>
        </w:tc>
        <w:tc>
          <w:tcPr>
            <w:tcW w:w="0" w:type="auto"/>
            <w:shd w:val="clear" w:color="auto" w:fill="auto"/>
            <w:tcMar>
              <w:top w:w="40" w:type="dxa"/>
              <w:left w:w="40" w:type="dxa"/>
              <w:bottom w:w="40" w:type="dxa"/>
            </w:tcMar>
            <w:vAlign w:val="bottom"/>
          </w:tcPr>
          <w:p w14:paraId="0BC98B16"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bottom w:w="40" w:type="dxa"/>
            </w:tcMar>
            <w:vAlign w:val="bottom"/>
          </w:tcPr>
          <w:p w14:paraId="0BC98B1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975</w:t>
            </w:r>
          </w:p>
        </w:tc>
        <w:tc>
          <w:tcPr>
            <w:tcW w:w="0" w:type="auto"/>
            <w:shd w:val="clear" w:color="auto" w:fill="auto"/>
            <w:vAlign w:val="bottom"/>
          </w:tcPr>
          <w:p w14:paraId="0BC98B1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B19" w14:textId="77777777" w:rsidR="009F0928" w:rsidRDefault="009F0928">
            <w:pPr>
              <w:jc w:val="right"/>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0BC98B1A"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bottom w:w="40" w:type="dxa"/>
            </w:tcMar>
            <w:vAlign w:val="bottom"/>
          </w:tcPr>
          <w:p w14:paraId="0BC98B1B"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2,202</w:t>
            </w:r>
          </w:p>
        </w:tc>
        <w:tc>
          <w:tcPr>
            <w:tcW w:w="0" w:type="auto"/>
            <w:shd w:val="clear" w:color="auto" w:fill="auto"/>
            <w:vAlign w:val="bottom"/>
          </w:tcPr>
          <w:p w14:paraId="0BC98B1C" w14:textId="77777777" w:rsidR="009F0928" w:rsidRDefault="009F0928">
            <w:pPr>
              <w:textAlignment w:val="bottom"/>
              <w:rPr>
                <w:rFonts w:ascii="Times New Roman" w:hAnsi="Times New Roman"/>
                <w:sz w:val="20"/>
                <w:szCs w:val="20"/>
              </w:rPr>
            </w:pPr>
          </w:p>
        </w:tc>
      </w:tr>
      <w:tr w:rsidR="009F0928" w14:paraId="0BC98B24" w14:textId="77777777">
        <w:trPr>
          <w:jc w:val="center"/>
        </w:trPr>
        <w:tc>
          <w:tcPr>
            <w:tcW w:w="0" w:type="auto"/>
            <w:shd w:val="clear" w:color="auto" w:fill="E2E2E2"/>
            <w:tcMar>
              <w:top w:w="40" w:type="dxa"/>
              <w:left w:w="720" w:type="dxa"/>
              <w:bottom w:w="40" w:type="dxa"/>
              <w:right w:w="40" w:type="dxa"/>
            </w:tcMar>
            <w:vAlign w:val="bottom"/>
          </w:tcPr>
          <w:p w14:paraId="0BC98B1E" w14:textId="77777777" w:rsidR="009F0928" w:rsidRDefault="002112BD">
            <w:pPr>
              <w:textAlignment w:val="bottom"/>
              <w:rPr>
                <w:rFonts w:ascii="Times New Roman" w:hAnsi="Times New Roman"/>
                <w:sz w:val="20"/>
                <w:szCs w:val="20"/>
              </w:rPr>
            </w:pPr>
            <w:r>
              <w:rPr>
                <w:rFonts w:ascii="Arial" w:eastAsia="宋体" w:hAnsi="Arial" w:cs="Arial"/>
                <w:sz w:val="20"/>
                <w:szCs w:val="20"/>
              </w:rPr>
              <w:t>Short-term investments</w:t>
            </w:r>
          </w:p>
        </w:tc>
        <w:tc>
          <w:tcPr>
            <w:tcW w:w="0" w:type="auto"/>
            <w:gridSpan w:val="2"/>
            <w:shd w:val="clear" w:color="auto" w:fill="E2E2E2"/>
            <w:tcMar>
              <w:top w:w="40" w:type="dxa"/>
              <w:left w:w="40" w:type="dxa"/>
              <w:bottom w:w="40" w:type="dxa"/>
            </w:tcMar>
            <w:vAlign w:val="bottom"/>
          </w:tcPr>
          <w:p w14:paraId="0BC98B1F"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1,850</w:t>
            </w:r>
          </w:p>
        </w:tc>
        <w:tc>
          <w:tcPr>
            <w:tcW w:w="0" w:type="auto"/>
            <w:shd w:val="clear" w:color="auto" w:fill="E2E2E2"/>
            <w:vAlign w:val="bottom"/>
          </w:tcPr>
          <w:p w14:paraId="0BC98B2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B21" w14:textId="77777777" w:rsidR="009F0928" w:rsidRDefault="009F0928">
            <w:pPr>
              <w:jc w:val="right"/>
              <w:textAlignment w:val="bottom"/>
              <w:rPr>
                <w:rFonts w:ascii="Times New Roman" w:hAnsi="Times New Roman"/>
                <w:sz w:val="20"/>
                <w:szCs w:val="20"/>
              </w:rPr>
            </w:pPr>
          </w:p>
        </w:tc>
        <w:tc>
          <w:tcPr>
            <w:tcW w:w="0" w:type="auto"/>
            <w:gridSpan w:val="2"/>
            <w:shd w:val="clear" w:color="auto" w:fill="E2E2E2"/>
            <w:tcMar>
              <w:top w:w="40" w:type="dxa"/>
              <w:left w:w="40" w:type="dxa"/>
              <w:bottom w:w="40" w:type="dxa"/>
            </w:tcMar>
            <w:vAlign w:val="bottom"/>
          </w:tcPr>
          <w:p w14:paraId="0BC98B22"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2,713</w:t>
            </w:r>
          </w:p>
        </w:tc>
        <w:tc>
          <w:tcPr>
            <w:tcW w:w="0" w:type="auto"/>
            <w:shd w:val="clear" w:color="auto" w:fill="E2E2E2"/>
            <w:vAlign w:val="bottom"/>
          </w:tcPr>
          <w:p w14:paraId="0BC98B23" w14:textId="77777777" w:rsidR="009F0928" w:rsidRDefault="009F0928">
            <w:pPr>
              <w:textAlignment w:val="bottom"/>
              <w:rPr>
                <w:rFonts w:ascii="Times New Roman" w:hAnsi="Times New Roman"/>
                <w:sz w:val="20"/>
                <w:szCs w:val="20"/>
              </w:rPr>
            </w:pPr>
          </w:p>
        </w:tc>
      </w:tr>
      <w:tr w:rsidR="009F0928" w14:paraId="0BC98B2B" w14:textId="77777777">
        <w:trPr>
          <w:jc w:val="center"/>
        </w:trPr>
        <w:tc>
          <w:tcPr>
            <w:tcW w:w="0" w:type="auto"/>
            <w:shd w:val="clear" w:color="auto" w:fill="auto"/>
            <w:tcMar>
              <w:top w:w="40" w:type="dxa"/>
              <w:left w:w="720" w:type="dxa"/>
              <w:bottom w:w="40" w:type="dxa"/>
              <w:right w:w="40" w:type="dxa"/>
            </w:tcMar>
            <w:vAlign w:val="bottom"/>
          </w:tcPr>
          <w:p w14:paraId="0BC98B25" w14:textId="77777777" w:rsidR="009F0928" w:rsidRDefault="002112BD">
            <w:pPr>
              <w:textAlignment w:val="bottom"/>
              <w:rPr>
                <w:rFonts w:ascii="Times New Roman" w:hAnsi="Times New Roman"/>
                <w:sz w:val="20"/>
                <w:szCs w:val="20"/>
              </w:rPr>
            </w:pPr>
            <w:r>
              <w:rPr>
                <w:rFonts w:ascii="Arial" w:eastAsia="宋体" w:hAnsi="Arial" w:cs="Arial"/>
                <w:sz w:val="20"/>
                <w:szCs w:val="20"/>
              </w:rPr>
              <w:t>Accounts receivable, net</w:t>
            </w:r>
          </w:p>
        </w:tc>
        <w:tc>
          <w:tcPr>
            <w:tcW w:w="0" w:type="auto"/>
            <w:gridSpan w:val="2"/>
            <w:shd w:val="clear" w:color="auto" w:fill="auto"/>
            <w:tcMar>
              <w:top w:w="40" w:type="dxa"/>
              <w:left w:w="40" w:type="dxa"/>
              <w:bottom w:w="40" w:type="dxa"/>
            </w:tcMar>
            <w:vAlign w:val="bottom"/>
          </w:tcPr>
          <w:p w14:paraId="0BC98B26"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700</w:t>
            </w:r>
          </w:p>
        </w:tc>
        <w:tc>
          <w:tcPr>
            <w:tcW w:w="0" w:type="auto"/>
            <w:shd w:val="clear" w:color="auto" w:fill="auto"/>
            <w:vAlign w:val="bottom"/>
          </w:tcPr>
          <w:p w14:paraId="0BC98B2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B28" w14:textId="77777777" w:rsidR="009F0928" w:rsidRDefault="009F0928">
            <w:pPr>
              <w:jc w:val="right"/>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BC98B2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712</w:t>
            </w:r>
          </w:p>
        </w:tc>
        <w:tc>
          <w:tcPr>
            <w:tcW w:w="0" w:type="auto"/>
            <w:shd w:val="clear" w:color="auto" w:fill="auto"/>
            <w:vAlign w:val="bottom"/>
          </w:tcPr>
          <w:p w14:paraId="0BC98B2A" w14:textId="77777777" w:rsidR="009F0928" w:rsidRDefault="009F0928">
            <w:pPr>
              <w:textAlignment w:val="bottom"/>
              <w:rPr>
                <w:rFonts w:ascii="Times New Roman" w:hAnsi="Times New Roman"/>
                <w:sz w:val="20"/>
                <w:szCs w:val="20"/>
              </w:rPr>
            </w:pPr>
          </w:p>
        </w:tc>
      </w:tr>
      <w:tr w:rsidR="009F0928" w14:paraId="0BC98B32" w14:textId="77777777">
        <w:trPr>
          <w:jc w:val="center"/>
        </w:trPr>
        <w:tc>
          <w:tcPr>
            <w:tcW w:w="0" w:type="auto"/>
            <w:shd w:val="clear" w:color="auto" w:fill="E2E2E2"/>
            <w:tcMar>
              <w:top w:w="40" w:type="dxa"/>
              <w:left w:w="720" w:type="dxa"/>
              <w:bottom w:w="40" w:type="dxa"/>
              <w:right w:w="40" w:type="dxa"/>
            </w:tcMar>
            <w:vAlign w:val="bottom"/>
          </w:tcPr>
          <w:p w14:paraId="0BC98B2C" w14:textId="77777777" w:rsidR="009F0928" w:rsidRDefault="002112BD">
            <w:pPr>
              <w:textAlignment w:val="bottom"/>
              <w:rPr>
                <w:rFonts w:ascii="Times New Roman" w:hAnsi="Times New Roman"/>
                <w:sz w:val="20"/>
                <w:szCs w:val="20"/>
              </w:rPr>
            </w:pPr>
            <w:r>
              <w:rPr>
                <w:rFonts w:ascii="Arial" w:eastAsia="宋体" w:hAnsi="Arial" w:cs="Arial"/>
                <w:sz w:val="20"/>
                <w:szCs w:val="20"/>
              </w:rPr>
              <w:t>Other current assets</w:t>
            </w:r>
          </w:p>
        </w:tc>
        <w:tc>
          <w:tcPr>
            <w:tcW w:w="0" w:type="auto"/>
            <w:gridSpan w:val="2"/>
            <w:shd w:val="clear" w:color="auto" w:fill="E2E2E2"/>
            <w:tcMar>
              <w:top w:w="40" w:type="dxa"/>
              <w:left w:w="40" w:type="dxa"/>
              <w:bottom w:w="40" w:type="dxa"/>
            </w:tcMar>
            <w:vAlign w:val="bottom"/>
          </w:tcPr>
          <w:p w14:paraId="0BC98B2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1,181</w:t>
            </w:r>
          </w:p>
        </w:tc>
        <w:tc>
          <w:tcPr>
            <w:tcW w:w="0" w:type="auto"/>
            <w:shd w:val="clear" w:color="auto" w:fill="E2E2E2"/>
            <w:vAlign w:val="bottom"/>
          </w:tcPr>
          <w:p w14:paraId="0BC98B2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B2F" w14:textId="77777777" w:rsidR="009F0928" w:rsidRDefault="009F0928">
            <w:pPr>
              <w:jc w:val="right"/>
              <w:textAlignment w:val="bottom"/>
              <w:rPr>
                <w:rFonts w:ascii="Times New Roman" w:hAnsi="Times New Roman"/>
                <w:sz w:val="20"/>
                <w:szCs w:val="20"/>
              </w:rPr>
            </w:pPr>
          </w:p>
        </w:tc>
        <w:tc>
          <w:tcPr>
            <w:tcW w:w="0" w:type="auto"/>
            <w:gridSpan w:val="2"/>
            <w:shd w:val="clear" w:color="auto" w:fill="E2E2E2"/>
            <w:tcMar>
              <w:top w:w="40" w:type="dxa"/>
              <w:left w:w="40" w:type="dxa"/>
              <w:bottom w:w="40" w:type="dxa"/>
            </w:tcMar>
            <w:vAlign w:val="bottom"/>
          </w:tcPr>
          <w:p w14:paraId="0BC98B3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1,499</w:t>
            </w:r>
          </w:p>
        </w:tc>
        <w:tc>
          <w:tcPr>
            <w:tcW w:w="0" w:type="auto"/>
            <w:shd w:val="clear" w:color="auto" w:fill="E2E2E2"/>
            <w:vAlign w:val="bottom"/>
          </w:tcPr>
          <w:p w14:paraId="0BC98B31" w14:textId="77777777" w:rsidR="009F0928" w:rsidRDefault="009F0928">
            <w:pPr>
              <w:textAlignment w:val="bottom"/>
              <w:rPr>
                <w:rFonts w:ascii="Times New Roman" w:hAnsi="Times New Roman"/>
                <w:sz w:val="20"/>
                <w:szCs w:val="20"/>
              </w:rPr>
            </w:pPr>
          </w:p>
        </w:tc>
      </w:tr>
      <w:tr w:rsidR="009F0928" w14:paraId="0BC98B39" w14:textId="77777777">
        <w:trPr>
          <w:jc w:val="center"/>
        </w:trPr>
        <w:tc>
          <w:tcPr>
            <w:tcW w:w="0" w:type="auto"/>
            <w:shd w:val="clear" w:color="auto" w:fill="auto"/>
            <w:tcMar>
              <w:top w:w="40" w:type="dxa"/>
              <w:left w:w="1360" w:type="dxa"/>
              <w:bottom w:w="40" w:type="dxa"/>
              <w:right w:w="40" w:type="dxa"/>
            </w:tcMar>
            <w:vAlign w:val="bottom"/>
          </w:tcPr>
          <w:p w14:paraId="0BC98B33" w14:textId="77777777" w:rsidR="009F0928" w:rsidRDefault="002112BD">
            <w:pPr>
              <w:textAlignment w:val="bottom"/>
              <w:rPr>
                <w:rFonts w:ascii="Times New Roman" w:hAnsi="Times New Roman"/>
                <w:sz w:val="20"/>
                <w:szCs w:val="20"/>
              </w:rPr>
            </w:pPr>
            <w:r>
              <w:rPr>
                <w:rFonts w:ascii="Arial" w:eastAsia="宋体" w:hAnsi="Arial" w:cs="Arial"/>
                <w:sz w:val="20"/>
                <w:szCs w:val="20"/>
              </w:rPr>
              <w:t>Total current assets</w:t>
            </w:r>
          </w:p>
        </w:tc>
        <w:tc>
          <w:tcPr>
            <w:tcW w:w="0" w:type="auto"/>
            <w:gridSpan w:val="2"/>
            <w:tcBorders>
              <w:top w:val="single" w:sz="8" w:space="0" w:color="000000"/>
            </w:tcBorders>
            <w:shd w:val="clear" w:color="auto" w:fill="auto"/>
            <w:tcMar>
              <w:top w:w="40" w:type="dxa"/>
              <w:left w:w="40" w:type="dxa"/>
              <w:bottom w:w="40" w:type="dxa"/>
            </w:tcMar>
            <w:vAlign w:val="bottom"/>
          </w:tcPr>
          <w:p w14:paraId="0BC98B3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4,706</w:t>
            </w:r>
          </w:p>
        </w:tc>
        <w:tc>
          <w:tcPr>
            <w:tcW w:w="0" w:type="auto"/>
            <w:tcBorders>
              <w:top w:val="single" w:sz="8" w:space="0" w:color="000000"/>
            </w:tcBorders>
            <w:shd w:val="clear" w:color="auto" w:fill="auto"/>
            <w:vAlign w:val="bottom"/>
          </w:tcPr>
          <w:p w14:paraId="0BC98B3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B36" w14:textId="77777777" w:rsidR="009F0928" w:rsidRDefault="009F0928">
            <w:pPr>
              <w:jc w:val="right"/>
              <w:textAlignment w:val="bottom"/>
              <w:rPr>
                <w:rFonts w:ascii="Times New Roman" w:hAnsi="Times New Roman"/>
                <w:sz w:val="20"/>
                <w:szCs w:val="20"/>
              </w:rPr>
            </w:pPr>
          </w:p>
        </w:tc>
        <w:tc>
          <w:tcPr>
            <w:tcW w:w="0" w:type="auto"/>
            <w:gridSpan w:val="2"/>
            <w:tcBorders>
              <w:top w:val="single" w:sz="8" w:space="0" w:color="000000"/>
            </w:tcBorders>
            <w:shd w:val="clear" w:color="auto" w:fill="auto"/>
            <w:tcMar>
              <w:top w:w="40" w:type="dxa"/>
              <w:left w:w="40" w:type="dxa"/>
              <w:bottom w:w="40" w:type="dxa"/>
            </w:tcMar>
            <w:vAlign w:val="bottom"/>
          </w:tcPr>
          <w:p w14:paraId="0BC98B3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7,126</w:t>
            </w:r>
          </w:p>
        </w:tc>
        <w:tc>
          <w:tcPr>
            <w:tcW w:w="0" w:type="auto"/>
            <w:tcBorders>
              <w:top w:val="single" w:sz="8" w:space="0" w:color="000000"/>
            </w:tcBorders>
            <w:shd w:val="clear" w:color="auto" w:fill="auto"/>
            <w:vAlign w:val="bottom"/>
          </w:tcPr>
          <w:p w14:paraId="0BC98B38" w14:textId="77777777" w:rsidR="009F0928" w:rsidRDefault="009F0928">
            <w:pPr>
              <w:textAlignment w:val="bottom"/>
              <w:rPr>
                <w:rFonts w:ascii="Times New Roman" w:hAnsi="Times New Roman"/>
                <w:sz w:val="20"/>
                <w:szCs w:val="20"/>
              </w:rPr>
            </w:pPr>
          </w:p>
        </w:tc>
      </w:tr>
      <w:tr w:rsidR="009F0928" w14:paraId="0BC98B40" w14:textId="77777777">
        <w:trPr>
          <w:jc w:val="center"/>
        </w:trPr>
        <w:tc>
          <w:tcPr>
            <w:tcW w:w="0" w:type="auto"/>
            <w:shd w:val="clear" w:color="auto" w:fill="E2E2E2"/>
            <w:tcMar>
              <w:top w:w="40" w:type="dxa"/>
              <w:left w:w="40" w:type="dxa"/>
              <w:bottom w:w="40" w:type="dxa"/>
              <w:right w:w="40" w:type="dxa"/>
            </w:tcMar>
            <w:vAlign w:val="bottom"/>
          </w:tcPr>
          <w:p w14:paraId="0BC98B3A" w14:textId="77777777" w:rsidR="009F0928" w:rsidRDefault="002112BD">
            <w:pPr>
              <w:textAlignment w:val="bottom"/>
              <w:rPr>
                <w:rFonts w:ascii="Times New Roman" w:hAnsi="Times New Roman"/>
                <w:sz w:val="20"/>
                <w:szCs w:val="20"/>
              </w:rPr>
            </w:pPr>
            <w:r>
              <w:rPr>
                <w:rFonts w:ascii="Arial" w:eastAsia="宋体" w:hAnsi="Arial" w:cs="Arial"/>
                <w:sz w:val="20"/>
                <w:szCs w:val="20"/>
              </w:rPr>
              <w:t>Long-term investments</w:t>
            </w:r>
          </w:p>
        </w:tc>
        <w:tc>
          <w:tcPr>
            <w:tcW w:w="0" w:type="auto"/>
            <w:gridSpan w:val="2"/>
            <w:shd w:val="clear" w:color="auto" w:fill="E2E2E2"/>
            <w:tcMar>
              <w:top w:w="40" w:type="dxa"/>
              <w:left w:w="40" w:type="dxa"/>
              <w:bottom w:w="40" w:type="dxa"/>
            </w:tcMar>
            <w:vAlign w:val="bottom"/>
          </w:tcPr>
          <w:p w14:paraId="0BC98B3B"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1,316</w:t>
            </w:r>
          </w:p>
        </w:tc>
        <w:tc>
          <w:tcPr>
            <w:tcW w:w="0" w:type="auto"/>
            <w:shd w:val="clear" w:color="auto" w:fill="E2E2E2"/>
            <w:vAlign w:val="bottom"/>
          </w:tcPr>
          <w:p w14:paraId="0BC98B3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B3D" w14:textId="77777777" w:rsidR="009F0928" w:rsidRDefault="009F0928">
            <w:pPr>
              <w:jc w:val="right"/>
              <w:textAlignment w:val="bottom"/>
              <w:rPr>
                <w:rFonts w:ascii="Times New Roman" w:hAnsi="Times New Roman"/>
                <w:sz w:val="20"/>
                <w:szCs w:val="20"/>
              </w:rPr>
            </w:pPr>
          </w:p>
        </w:tc>
        <w:tc>
          <w:tcPr>
            <w:tcW w:w="0" w:type="auto"/>
            <w:gridSpan w:val="2"/>
            <w:shd w:val="clear" w:color="auto" w:fill="E2E2E2"/>
            <w:tcMar>
              <w:top w:w="40" w:type="dxa"/>
              <w:left w:w="40" w:type="dxa"/>
              <w:bottom w:w="40" w:type="dxa"/>
            </w:tcMar>
            <w:vAlign w:val="bottom"/>
          </w:tcPr>
          <w:p w14:paraId="0BC98B3E"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3,778</w:t>
            </w:r>
          </w:p>
        </w:tc>
        <w:tc>
          <w:tcPr>
            <w:tcW w:w="0" w:type="auto"/>
            <w:shd w:val="clear" w:color="auto" w:fill="E2E2E2"/>
            <w:vAlign w:val="bottom"/>
          </w:tcPr>
          <w:p w14:paraId="0BC98B3F" w14:textId="77777777" w:rsidR="009F0928" w:rsidRDefault="009F0928">
            <w:pPr>
              <w:textAlignment w:val="bottom"/>
              <w:rPr>
                <w:rFonts w:ascii="Times New Roman" w:hAnsi="Times New Roman"/>
                <w:sz w:val="20"/>
                <w:szCs w:val="20"/>
              </w:rPr>
            </w:pPr>
          </w:p>
        </w:tc>
      </w:tr>
      <w:tr w:rsidR="009F0928" w14:paraId="0BC98B47" w14:textId="77777777">
        <w:trPr>
          <w:jc w:val="center"/>
        </w:trPr>
        <w:tc>
          <w:tcPr>
            <w:tcW w:w="0" w:type="auto"/>
            <w:shd w:val="clear" w:color="auto" w:fill="auto"/>
            <w:tcMar>
              <w:top w:w="40" w:type="dxa"/>
              <w:left w:w="40" w:type="dxa"/>
              <w:bottom w:w="40" w:type="dxa"/>
              <w:right w:w="40" w:type="dxa"/>
            </w:tcMar>
            <w:vAlign w:val="bottom"/>
          </w:tcPr>
          <w:p w14:paraId="0BC98B41" w14:textId="77777777" w:rsidR="009F0928" w:rsidRDefault="002112BD">
            <w:pPr>
              <w:textAlignment w:val="bottom"/>
              <w:rPr>
                <w:rFonts w:ascii="Times New Roman" w:hAnsi="Times New Roman"/>
                <w:sz w:val="20"/>
                <w:szCs w:val="20"/>
              </w:rPr>
            </w:pPr>
            <w:r>
              <w:rPr>
                <w:rFonts w:ascii="Arial" w:eastAsia="宋体" w:hAnsi="Arial" w:cs="Arial"/>
                <w:sz w:val="20"/>
                <w:szCs w:val="20"/>
              </w:rPr>
              <w:t>Property and equipment, net</w:t>
            </w:r>
          </w:p>
        </w:tc>
        <w:tc>
          <w:tcPr>
            <w:tcW w:w="0" w:type="auto"/>
            <w:gridSpan w:val="2"/>
            <w:shd w:val="clear" w:color="auto" w:fill="auto"/>
            <w:tcMar>
              <w:top w:w="40" w:type="dxa"/>
              <w:left w:w="40" w:type="dxa"/>
              <w:bottom w:w="40" w:type="dxa"/>
            </w:tcMar>
            <w:vAlign w:val="bottom"/>
          </w:tcPr>
          <w:p w14:paraId="0BC98B42"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1,510</w:t>
            </w:r>
          </w:p>
        </w:tc>
        <w:tc>
          <w:tcPr>
            <w:tcW w:w="0" w:type="auto"/>
            <w:shd w:val="clear" w:color="auto" w:fill="auto"/>
            <w:vAlign w:val="bottom"/>
          </w:tcPr>
          <w:p w14:paraId="0BC98B4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B44" w14:textId="77777777" w:rsidR="009F0928" w:rsidRDefault="009F0928">
            <w:pPr>
              <w:jc w:val="right"/>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BC98B45"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1,597</w:t>
            </w:r>
          </w:p>
        </w:tc>
        <w:tc>
          <w:tcPr>
            <w:tcW w:w="0" w:type="auto"/>
            <w:shd w:val="clear" w:color="auto" w:fill="auto"/>
            <w:vAlign w:val="bottom"/>
          </w:tcPr>
          <w:p w14:paraId="0BC98B46" w14:textId="77777777" w:rsidR="009F0928" w:rsidRDefault="009F0928">
            <w:pPr>
              <w:textAlignment w:val="bottom"/>
              <w:rPr>
                <w:rFonts w:ascii="Times New Roman" w:hAnsi="Times New Roman"/>
                <w:sz w:val="20"/>
                <w:szCs w:val="20"/>
              </w:rPr>
            </w:pPr>
          </w:p>
        </w:tc>
      </w:tr>
      <w:tr w:rsidR="009F0928" w14:paraId="0BC98B4E" w14:textId="77777777">
        <w:trPr>
          <w:jc w:val="center"/>
        </w:trPr>
        <w:tc>
          <w:tcPr>
            <w:tcW w:w="0" w:type="auto"/>
            <w:shd w:val="clear" w:color="auto" w:fill="E2E2E2"/>
            <w:tcMar>
              <w:top w:w="40" w:type="dxa"/>
              <w:left w:w="40" w:type="dxa"/>
              <w:bottom w:w="40" w:type="dxa"/>
              <w:right w:w="40" w:type="dxa"/>
            </w:tcMar>
            <w:vAlign w:val="bottom"/>
          </w:tcPr>
          <w:p w14:paraId="0BC98B48" w14:textId="77777777" w:rsidR="009F0928" w:rsidRDefault="002112BD">
            <w:pPr>
              <w:textAlignment w:val="bottom"/>
              <w:rPr>
                <w:rFonts w:ascii="Times New Roman" w:hAnsi="Times New Roman"/>
                <w:sz w:val="20"/>
                <w:szCs w:val="20"/>
              </w:rPr>
            </w:pPr>
            <w:r>
              <w:rPr>
                <w:rFonts w:ascii="Arial" w:eastAsia="宋体" w:hAnsi="Arial" w:cs="Arial"/>
                <w:sz w:val="20"/>
                <w:szCs w:val="20"/>
              </w:rPr>
              <w:t>Goodwill</w:t>
            </w:r>
          </w:p>
        </w:tc>
        <w:tc>
          <w:tcPr>
            <w:tcW w:w="0" w:type="auto"/>
            <w:gridSpan w:val="2"/>
            <w:shd w:val="clear" w:color="auto" w:fill="E2E2E2"/>
            <w:tcMar>
              <w:top w:w="40" w:type="dxa"/>
              <w:left w:w="40" w:type="dxa"/>
              <w:bottom w:w="40" w:type="dxa"/>
            </w:tcMar>
            <w:vAlign w:val="bottom"/>
          </w:tcPr>
          <w:p w14:paraId="0BC98B4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5,153</w:t>
            </w:r>
          </w:p>
        </w:tc>
        <w:tc>
          <w:tcPr>
            <w:tcW w:w="0" w:type="auto"/>
            <w:shd w:val="clear" w:color="auto" w:fill="E2E2E2"/>
            <w:vAlign w:val="bottom"/>
          </w:tcPr>
          <w:p w14:paraId="0BC98B4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B4B" w14:textId="77777777" w:rsidR="009F0928" w:rsidRDefault="009F0928">
            <w:pPr>
              <w:jc w:val="right"/>
              <w:textAlignment w:val="bottom"/>
              <w:rPr>
                <w:rFonts w:ascii="Times New Roman" w:hAnsi="Times New Roman"/>
                <w:sz w:val="20"/>
                <w:szCs w:val="20"/>
              </w:rPr>
            </w:pPr>
          </w:p>
        </w:tc>
        <w:tc>
          <w:tcPr>
            <w:tcW w:w="0" w:type="auto"/>
            <w:gridSpan w:val="2"/>
            <w:shd w:val="clear" w:color="auto" w:fill="E2E2E2"/>
            <w:tcMar>
              <w:top w:w="40" w:type="dxa"/>
              <w:left w:w="40" w:type="dxa"/>
              <w:bottom w:w="40" w:type="dxa"/>
            </w:tcMar>
            <w:vAlign w:val="bottom"/>
          </w:tcPr>
          <w:p w14:paraId="0BC98B4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5,160</w:t>
            </w:r>
          </w:p>
        </w:tc>
        <w:tc>
          <w:tcPr>
            <w:tcW w:w="0" w:type="auto"/>
            <w:shd w:val="clear" w:color="auto" w:fill="E2E2E2"/>
            <w:vAlign w:val="bottom"/>
          </w:tcPr>
          <w:p w14:paraId="0BC98B4D" w14:textId="77777777" w:rsidR="009F0928" w:rsidRDefault="009F0928">
            <w:pPr>
              <w:textAlignment w:val="bottom"/>
              <w:rPr>
                <w:rFonts w:ascii="Times New Roman" w:hAnsi="Times New Roman"/>
                <w:sz w:val="20"/>
                <w:szCs w:val="20"/>
              </w:rPr>
            </w:pPr>
          </w:p>
        </w:tc>
      </w:tr>
      <w:tr w:rsidR="009F0928" w14:paraId="0BC98B55" w14:textId="77777777">
        <w:trPr>
          <w:jc w:val="center"/>
        </w:trPr>
        <w:tc>
          <w:tcPr>
            <w:tcW w:w="0" w:type="auto"/>
            <w:shd w:val="clear" w:color="auto" w:fill="auto"/>
            <w:tcMar>
              <w:top w:w="40" w:type="dxa"/>
              <w:left w:w="40" w:type="dxa"/>
              <w:bottom w:w="40" w:type="dxa"/>
              <w:right w:w="40" w:type="dxa"/>
            </w:tcMar>
            <w:vAlign w:val="bottom"/>
          </w:tcPr>
          <w:p w14:paraId="0BC98B4F" w14:textId="77777777" w:rsidR="009F0928" w:rsidRDefault="002112BD">
            <w:pPr>
              <w:textAlignment w:val="bottom"/>
              <w:rPr>
                <w:rFonts w:ascii="Times New Roman" w:hAnsi="Times New Roman"/>
                <w:sz w:val="20"/>
                <w:szCs w:val="20"/>
              </w:rPr>
            </w:pPr>
            <w:r>
              <w:rPr>
                <w:rFonts w:ascii="Arial" w:eastAsia="宋体" w:hAnsi="Arial" w:cs="Arial"/>
                <w:sz w:val="20"/>
                <w:szCs w:val="20"/>
              </w:rPr>
              <w:t>Intangible assets, net</w:t>
            </w:r>
          </w:p>
        </w:tc>
        <w:tc>
          <w:tcPr>
            <w:tcW w:w="0" w:type="auto"/>
            <w:gridSpan w:val="2"/>
            <w:shd w:val="clear" w:color="auto" w:fill="auto"/>
            <w:tcMar>
              <w:top w:w="40" w:type="dxa"/>
              <w:left w:w="40" w:type="dxa"/>
              <w:bottom w:w="40" w:type="dxa"/>
            </w:tcMar>
            <w:vAlign w:val="bottom"/>
          </w:tcPr>
          <w:p w14:paraId="0BC98B5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67</w:t>
            </w:r>
          </w:p>
        </w:tc>
        <w:tc>
          <w:tcPr>
            <w:tcW w:w="0" w:type="auto"/>
            <w:shd w:val="clear" w:color="auto" w:fill="auto"/>
            <w:vAlign w:val="bottom"/>
          </w:tcPr>
          <w:p w14:paraId="0BC98B5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B52" w14:textId="77777777" w:rsidR="009F0928" w:rsidRDefault="009F0928">
            <w:pPr>
              <w:jc w:val="right"/>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0BC98B53"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92</w:t>
            </w:r>
          </w:p>
        </w:tc>
        <w:tc>
          <w:tcPr>
            <w:tcW w:w="0" w:type="auto"/>
            <w:shd w:val="clear" w:color="auto" w:fill="auto"/>
            <w:vAlign w:val="bottom"/>
          </w:tcPr>
          <w:p w14:paraId="0BC98B54" w14:textId="77777777" w:rsidR="009F0928" w:rsidRDefault="009F0928">
            <w:pPr>
              <w:textAlignment w:val="bottom"/>
              <w:rPr>
                <w:rFonts w:ascii="Times New Roman" w:hAnsi="Times New Roman"/>
                <w:sz w:val="20"/>
                <w:szCs w:val="20"/>
              </w:rPr>
            </w:pPr>
          </w:p>
        </w:tc>
      </w:tr>
      <w:tr w:rsidR="009F0928" w14:paraId="0BC98B5C" w14:textId="77777777">
        <w:trPr>
          <w:jc w:val="center"/>
        </w:trPr>
        <w:tc>
          <w:tcPr>
            <w:tcW w:w="0" w:type="auto"/>
            <w:shd w:val="clear" w:color="auto" w:fill="E2E2E2"/>
            <w:tcMar>
              <w:top w:w="40" w:type="dxa"/>
              <w:left w:w="40" w:type="dxa"/>
              <w:bottom w:w="40" w:type="dxa"/>
              <w:right w:w="40" w:type="dxa"/>
            </w:tcMar>
            <w:vAlign w:val="bottom"/>
          </w:tcPr>
          <w:p w14:paraId="0BC98B56" w14:textId="77777777" w:rsidR="009F0928" w:rsidRDefault="002112BD">
            <w:pPr>
              <w:textAlignment w:val="bottom"/>
              <w:rPr>
                <w:rFonts w:ascii="Times New Roman" w:hAnsi="Times New Roman"/>
                <w:sz w:val="20"/>
                <w:szCs w:val="20"/>
              </w:rPr>
            </w:pPr>
            <w:r>
              <w:rPr>
                <w:rFonts w:ascii="Arial" w:eastAsia="宋体" w:hAnsi="Arial" w:cs="Arial"/>
                <w:sz w:val="20"/>
                <w:szCs w:val="20"/>
              </w:rPr>
              <w:t>Operating lease right-of-use assets</w:t>
            </w:r>
          </w:p>
        </w:tc>
        <w:tc>
          <w:tcPr>
            <w:tcW w:w="0" w:type="auto"/>
            <w:gridSpan w:val="2"/>
            <w:shd w:val="clear" w:color="auto" w:fill="E2E2E2"/>
            <w:tcMar>
              <w:top w:w="40" w:type="dxa"/>
              <w:left w:w="40" w:type="dxa"/>
              <w:bottom w:w="40" w:type="dxa"/>
            </w:tcMar>
            <w:vAlign w:val="bottom"/>
          </w:tcPr>
          <w:p w14:paraId="0BC98B5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628</w:t>
            </w:r>
          </w:p>
        </w:tc>
        <w:tc>
          <w:tcPr>
            <w:tcW w:w="0" w:type="auto"/>
            <w:shd w:val="clear" w:color="auto" w:fill="E2E2E2"/>
            <w:vAlign w:val="bottom"/>
          </w:tcPr>
          <w:p w14:paraId="0BC98B5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B5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B5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vAlign w:val="bottom"/>
          </w:tcPr>
          <w:p w14:paraId="0BC98B5B" w14:textId="77777777" w:rsidR="009F0928" w:rsidRDefault="009F0928">
            <w:pPr>
              <w:textAlignment w:val="bottom"/>
              <w:rPr>
                <w:rFonts w:ascii="Times New Roman" w:hAnsi="Times New Roman"/>
                <w:sz w:val="20"/>
                <w:szCs w:val="20"/>
              </w:rPr>
            </w:pPr>
          </w:p>
        </w:tc>
      </w:tr>
      <w:tr w:rsidR="009F0928" w14:paraId="0BC98B63" w14:textId="77777777">
        <w:trPr>
          <w:jc w:val="center"/>
        </w:trPr>
        <w:tc>
          <w:tcPr>
            <w:tcW w:w="0" w:type="auto"/>
            <w:shd w:val="clear" w:color="auto" w:fill="auto"/>
            <w:tcMar>
              <w:top w:w="40" w:type="dxa"/>
              <w:left w:w="40" w:type="dxa"/>
              <w:bottom w:w="40" w:type="dxa"/>
              <w:right w:w="40" w:type="dxa"/>
            </w:tcMar>
            <w:vAlign w:val="bottom"/>
          </w:tcPr>
          <w:p w14:paraId="0BC98B5D" w14:textId="77777777" w:rsidR="009F0928" w:rsidRDefault="002112BD">
            <w:pPr>
              <w:textAlignment w:val="bottom"/>
              <w:rPr>
                <w:rFonts w:ascii="Times New Roman" w:hAnsi="Times New Roman"/>
                <w:sz w:val="20"/>
                <w:szCs w:val="20"/>
              </w:rPr>
            </w:pPr>
            <w:r>
              <w:rPr>
                <w:rFonts w:ascii="Arial" w:eastAsia="宋体" w:hAnsi="Arial" w:cs="Arial"/>
                <w:sz w:val="20"/>
                <w:szCs w:val="20"/>
              </w:rPr>
              <w:t>Deferred tax assets</w:t>
            </w:r>
          </w:p>
        </w:tc>
        <w:tc>
          <w:tcPr>
            <w:tcW w:w="0" w:type="auto"/>
            <w:gridSpan w:val="2"/>
            <w:shd w:val="clear" w:color="auto" w:fill="auto"/>
            <w:tcMar>
              <w:top w:w="40" w:type="dxa"/>
              <w:left w:w="40" w:type="dxa"/>
              <w:bottom w:w="40" w:type="dxa"/>
            </w:tcMar>
            <w:vAlign w:val="bottom"/>
          </w:tcPr>
          <w:p w14:paraId="0BC98B5E"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4,377</w:t>
            </w:r>
          </w:p>
        </w:tc>
        <w:tc>
          <w:tcPr>
            <w:tcW w:w="0" w:type="auto"/>
            <w:shd w:val="clear" w:color="auto" w:fill="auto"/>
            <w:vAlign w:val="bottom"/>
          </w:tcPr>
          <w:p w14:paraId="0BC98B5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B6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B6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4,792</w:t>
            </w:r>
          </w:p>
        </w:tc>
        <w:tc>
          <w:tcPr>
            <w:tcW w:w="0" w:type="auto"/>
            <w:shd w:val="clear" w:color="auto" w:fill="auto"/>
            <w:vAlign w:val="bottom"/>
          </w:tcPr>
          <w:p w14:paraId="0BC98B62" w14:textId="77777777" w:rsidR="009F0928" w:rsidRDefault="009F0928">
            <w:pPr>
              <w:textAlignment w:val="bottom"/>
              <w:rPr>
                <w:rFonts w:ascii="Times New Roman" w:hAnsi="Times New Roman"/>
                <w:sz w:val="20"/>
                <w:szCs w:val="20"/>
              </w:rPr>
            </w:pPr>
          </w:p>
        </w:tc>
      </w:tr>
      <w:tr w:rsidR="009F0928" w14:paraId="0BC98B6A" w14:textId="77777777">
        <w:trPr>
          <w:jc w:val="center"/>
        </w:trPr>
        <w:tc>
          <w:tcPr>
            <w:tcW w:w="0" w:type="auto"/>
            <w:shd w:val="clear" w:color="auto" w:fill="E2E2E2"/>
            <w:tcMar>
              <w:top w:w="40" w:type="dxa"/>
              <w:left w:w="40" w:type="dxa"/>
              <w:bottom w:w="40" w:type="dxa"/>
              <w:right w:w="40" w:type="dxa"/>
            </w:tcMar>
            <w:vAlign w:val="bottom"/>
          </w:tcPr>
          <w:p w14:paraId="0BC98B64" w14:textId="77777777" w:rsidR="009F0928" w:rsidRDefault="002112BD">
            <w:pPr>
              <w:textAlignment w:val="bottom"/>
              <w:rPr>
                <w:rFonts w:ascii="Times New Roman" w:hAnsi="Times New Roman"/>
                <w:sz w:val="20"/>
                <w:szCs w:val="20"/>
              </w:rPr>
            </w:pPr>
            <w:r>
              <w:rPr>
                <w:rFonts w:ascii="Arial" w:eastAsia="宋体" w:hAnsi="Arial" w:cs="Arial"/>
                <w:sz w:val="20"/>
                <w:szCs w:val="20"/>
              </w:rPr>
              <w:t xml:space="preserve">Other </w:t>
            </w:r>
            <w:r>
              <w:rPr>
                <w:rFonts w:ascii="Arial" w:eastAsia="宋体" w:hAnsi="Arial" w:cs="Arial"/>
                <w:sz w:val="20"/>
                <w:szCs w:val="20"/>
              </w:rPr>
              <w:t>assets</w:t>
            </w:r>
          </w:p>
        </w:tc>
        <w:tc>
          <w:tcPr>
            <w:tcW w:w="0" w:type="auto"/>
            <w:gridSpan w:val="2"/>
            <w:shd w:val="clear" w:color="auto" w:fill="E2E2E2"/>
            <w:tcMar>
              <w:top w:w="40" w:type="dxa"/>
              <w:left w:w="40" w:type="dxa"/>
              <w:bottom w:w="40" w:type="dxa"/>
            </w:tcMar>
            <w:vAlign w:val="bottom"/>
          </w:tcPr>
          <w:p w14:paraId="0BC98B65"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417</w:t>
            </w:r>
          </w:p>
        </w:tc>
        <w:tc>
          <w:tcPr>
            <w:tcW w:w="0" w:type="auto"/>
            <w:shd w:val="clear" w:color="auto" w:fill="E2E2E2"/>
            <w:vAlign w:val="bottom"/>
          </w:tcPr>
          <w:p w14:paraId="0BC98B6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B67" w14:textId="77777777" w:rsidR="009F0928" w:rsidRDefault="009F0928">
            <w:pPr>
              <w:jc w:val="right"/>
              <w:textAlignment w:val="bottom"/>
              <w:rPr>
                <w:rFonts w:ascii="Times New Roman" w:hAnsi="Times New Roman"/>
                <w:sz w:val="20"/>
                <w:szCs w:val="20"/>
              </w:rPr>
            </w:pPr>
          </w:p>
        </w:tc>
        <w:tc>
          <w:tcPr>
            <w:tcW w:w="0" w:type="auto"/>
            <w:gridSpan w:val="2"/>
            <w:shd w:val="clear" w:color="auto" w:fill="E2E2E2"/>
            <w:tcMar>
              <w:top w:w="40" w:type="dxa"/>
              <w:left w:w="40" w:type="dxa"/>
              <w:bottom w:w="40" w:type="dxa"/>
            </w:tcMar>
            <w:vAlign w:val="bottom"/>
          </w:tcPr>
          <w:p w14:paraId="0BC98B68"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274</w:t>
            </w:r>
          </w:p>
        </w:tc>
        <w:tc>
          <w:tcPr>
            <w:tcW w:w="0" w:type="auto"/>
            <w:shd w:val="clear" w:color="auto" w:fill="E2E2E2"/>
            <w:vAlign w:val="bottom"/>
          </w:tcPr>
          <w:p w14:paraId="0BC98B69" w14:textId="77777777" w:rsidR="009F0928" w:rsidRDefault="009F0928">
            <w:pPr>
              <w:textAlignment w:val="bottom"/>
              <w:rPr>
                <w:rFonts w:ascii="Times New Roman" w:hAnsi="Times New Roman"/>
                <w:sz w:val="20"/>
                <w:szCs w:val="20"/>
              </w:rPr>
            </w:pPr>
          </w:p>
        </w:tc>
      </w:tr>
      <w:tr w:rsidR="009F0928" w14:paraId="0BC98B73" w14:textId="77777777">
        <w:trPr>
          <w:jc w:val="center"/>
        </w:trPr>
        <w:tc>
          <w:tcPr>
            <w:tcW w:w="0" w:type="auto"/>
            <w:shd w:val="clear" w:color="auto" w:fill="auto"/>
            <w:tcMar>
              <w:top w:w="40" w:type="dxa"/>
              <w:left w:w="1360" w:type="dxa"/>
              <w:bottom w:w="40" w:type="dxa"/>
              <w:right w:w="40" w:type="dxa"/>
            </w:tcMar>
            <w:vAlign w:val="bottom"/>
          </w:tcPr>
          <w:p w14:paraId="0BC98B6B" w14:textId="77777777" w:rsidR="009F0928" w:rsidRDefault="002112BD">
            <w:pPr>
              <w:textAlignment w:val="bottom"/>
              <w:rPr>
                <w:rFonts w:ascii="Times New Roman" w:hAnsi="Times New Roman"/>
                <w:sz w:val="20"/>
                <w:szCs w:val="20"/>
              </w:rPr>
            </w:pPr>
            <w:r>
              <w:rPr>
                <w:rFonts w:ascii="Arial" w:eastAsia="宋体" w:hAnsi="Arial" w:cs="Arial"/>
                <w:sz w:val="20"/>
                <w:szCs w:val="20"/>
              </w:rPr>
              <w:t>Total assets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B6C"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B6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18,174</w:t>
            </w:r>
          </w:p>
        </w:tc>
        <w:tc>
          <w:tcPr>
            <w:tcW w:w="0" w:type="auto"/>
            <w:tcBorders>
              <w:top w:val="single" w:sz="8" w:space="0" w:color="000000"/>
              <w:bottom w:val="double" w:sz="6" w:space="0" w:color="000000"/>
            </w:tcBorders>
            <w:shd w:val="clear" w:color="auto" w:fill="auto"/>
            <w:vAlign w:val="bottom"/>
          </w:tcPr>
          <w:p w14:paraId="0BC98B6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B6F" w14:textId="77777777" w:rsidR="009F0928" w:rsidRDefault="009F0928">
            <w:pPr>
              <w:jc w:val="right"/>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B70"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B7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22,819</w:t>
            </w:r>
          </w:p>
        </w:tc>
        <w:tc>
          <w:tcPr>
            <w:tcW w:w="0" w:type="auto"/>
            <w:tcBorders>
              <w:top w:val="single" w:sz="8" w:space="0" w:color="000000"/>
              <w:bottom w:val="double" w:sz="6" w:space="0" w:color="000000"/>
            </w:tcBorders>
            <w:shd w:val="clear" w:color="auto" w:fill="auto"/>
            <w:vAlign w:val="bottom"/>
          </w:tcPr>
          <w:p w14:paraId="0BC98B72" w14:textId="77777777" w:rsidR="009F0928" w:rsidRDefault="009F0928">
            <w:pPr>
              <w:textAlignment w:val="bottom"/>
              <w:rPr>
                <w:rFonts w:ascii="Times New Roman" w:hAnsi="Times New Roman"/>
                <w:sz w:val="20"/>
                <w:szCs w:val="20"/>
              </w:rPr>
            </w:pPr>
          </w:p>
        </w:tc>
      </w:tr>
      <w:tr w:rsidR="009F0928" w14:paraId="0BC98B78" w14:textId="77777777">
        <w:trPr>
          <w:jc w:val="center"/>
        </w:trPr>
        <w:tc>
          <w:tcPr>
            <w:tcW w:w="0" w:type="auto"/>
            <w:shd w:val="clear" w:color="auto" w:fill="E2E2E2"/>
            <w:tcMar>
              <w:top w:w="40" w:type="dxa"/>
              <w:left w:w="40" w:type="dxa"/>
              <w:bottom w:w="40" w:type="dxa"/>
              <w:right w:w="40" w:type="dxa"/>
            </w:tcMar>
            <w:vAlign w:val="bottom"/>
          </w:tcPr>
          <w:p w14:paraId="0BC98B74" w14:textId="77777777" w:rsidR="009F0928" w:rsidRDefault="002112BD">
            <w:pPr>
              <w:jc w:val="center"/>
              <w:textAlignment w:val="bottom"/>
              <w:rPr>
                <w:rFonts w:ascii="Times New Roman" w:hAnsi="Times New Roman"/>
                <w:sz w:val="20"/>
                <w:szCs w:val="20"/>
              </w:rPr>
            </w:pPr>
            <w:r>
              <w:rPr>
                <w:rFonts w:ascii="Arial" w:eastAsia="宋体" w:hAnsi="Arial" w:cs="Arial"/>
                <w:b/>
                <w:bCs/>
                <w:sz w:val="20"/>
                <w:szCs w:val="20"/>
              </w:rPr>
              <w:t>LIABILITIES AND STOCKHOLDERS’ EQUITY</w:t>
            </w:r>
          </w:p>
        </w:tc>
        <w:tc>
          <w:tcPr>
            <w:tcW w:w="0" w:type="auto"/>
            <w:gridSpan w:val="3"/>
            <w:shd w:val="clear" w:color="auto" w:fill="E2E2E2"/>
            <w:tcMar>
              <w:top w:w="40" w:type="dxa"/>
              <w:left w:w="40" w:type="dxa"/>
              <w:bottom w:w="40" w:type="dxa"/>
              <w:right w:w="40" w:type="dxa"/>
            </w:tcMar>
            <w:vAlign w:val="bottom"/>
          </w:tcPr>
          <w:p w14:paraId="0BC98B7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B7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B7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B7F" w14:textId="77777777">
        <w:trPr>
          <w:jc w:val="center"/>
        </w:trPr>
        <w:tc>
          <w:tcPr>
            <w:tcW w:w="0" w:type="auto"/>
            <w:shd w:val="clear" w:color="auto" w:fill="auto"/>
            <w:tcMar>
              <w:top w:w="40" w:type="dxa"/>
              <w:left w:w="40" w:type="dxa"/>
              <w:bottom w:w="40" w:type="dxa"/>
              <w:right w:w="40" w:type="dxa"/>
            </w:tcMar>
            <w:vAlign w:val="bottom"/>
          </w:tcPr>
          <w:p w14:paraId="0BC98B79" w14:textId="77777777" w:rsidR="009F0928" w:rsidRDefault="002112BD">
            <w:pPr>
              <w:textAlignment w:val="bottom"/>
              <w:rPr>
                <w:rFonts w:ascii="Times New Roman" w:hAnsi="Times New Roman"/>
                <w:sz w:val="20"/>
                <w:szCs w:val="20"/>
              </w:rPr>
            </w:pPr>
            <w:r>
              <w:rPr>
                <w:rFonts w:ascii="Arial" w:eastAsia="宋体" w:hAnsi="Arial" w:cs="Arial"/>
                <w:sz w:val="20"/>
                <w:szCs w:val="20"/>
              </w:rPr>
              <w:t>Current liabilities:</w:t>
            </w:r>
          </w:p>
        </w:tc>
        <w:tc>
          <w:tcPr>
            <w:tcW w:w="0" w:type="auto"/>
            <w:gridSpan w:val="2"/>
            <w:shd w:val="clear" w:color="auto" w:fill="auto"/>
            <w:tcMar>
              <w:top w:w="40" w:type="dxa"/>
              <w:left w:w="40" w:type="dxa"/>
              <w:bottom w:w="40" w:type="dxa"/>
            </w:tcMar>
            <w:vAlign w:val="bottom"/>
          </w:tcPr>
          <w:p w14:paraId="0BC98B7A" w14:textId="77777777" w:rsidR="009F0928" w:rsidRDefault="002112BD">
            <w:pPr>
              <w:jc w:val="right"/>
              <w:textAlignment w:val="bottom"/>
              <w:rPr>
                <w:rFonts w:ascii="Times New Roman" w:hAnsi="Times New Roman"/>
                <w:sz w:val="8"/>
                <w:szCs w:val="8"/>
              </w:rPr>
            </w:pPr>
            <w:r>
              <w:rPr>
                <w:rFonts w:ascii="Arial" w:eastAsia="宋体" w:hAnsi="Arial" w:cs="Arial"/>
                <w:sz w:val="8"/>
                <w:szCs w:val="8"/>
              </w:rPr>
              <w:t> </w:t>
            </w:r>
          </w:p>
        </w:tc>
        <w:tc>
          <w:tcPr>
            <w:tcW w:w="0" w:type="auto"/>
            <w:shd w:val="clear" w:color="auto" w:fill="auto"/>
            <w:vAlign w:val="bottom"/>
          </w:tcPr>
          <w:p w14:paraId="0BC98B7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B7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B7D" w14:textId="77777777" w:rsidR="009F0928" w:rsidRDefault="002112BD">
            <w:pPr>
              <w:jc w:val="right"/>
              <w:textAlignment w:val="bottom"/>
              <w:rPr>
                <w:rFonts w:ascii="Times New Roman" w:hAnsi="Times New Roman"/>
                <w:sz w:val="8"/>
                <w:szCs w:val="8"/>
              </w:rPr>
            </w:pPr>
            <w:r>
              <w:rPr>
                <w:rFonts w:ascii="Arial" w:eastAsia="宋体" w:hAnsi="Arial" w:cs="Arial"/>
                <w:sz w:val="8"/>
                <w:szCs w:val="8"/>
              </w:rPr>
              <w:t> </w:t>
            </w:r>
          </w:p>
        </w:tc>
        <w:tc>
          <w:tcPr>
            <w:tcW w:w="0" w:type="auto"/>
            <w:shd w:val="clear" w:color="auto" w:fill="auto"/>
            <w:vAlign w:val="bottom"/>
          </w:tcPr>
          <w:p w14:paraId="0BC98B7E" w14:textId="77777777" w:rsidR="009F0928" w:rsidRDefault="009F0928">
            <w:pPr>
              <w:textAlignment w:val="bottom"/>
              <w:rPr>
                <w:rFonts w:ascii="Times New Roman" w:hAnsi="Times New Roman"/>
                <w:sz w:val="20"/>
                <w:szCs w:val="20"/>
              </w:rPr>
            </w:pPr>
          </w:p>
        </w:tc>
      </w:tr>
      <w:tr w:rsidR="009F0928" w14:paraId="0BC98B88" w14:textId="77777777">
        <w:trPr>
          <w:jc w:val="center"/>
        </w:trPr>
        <w:tc>
          <w:tcPr>
            <w:tcW w:w="0" w:type="auto"/>
            <w:shd w:val="clear" w:color="auto" w:fill="E2E2E2"/>
            <w:tcMar>
              <w:top w:w="40" w:type="dxa"/>
              <w:left w:w="720" w:type="dxa"/>
              <w:bottom w:w="40" w:type="dxa"/>
              <w:right w:w="40" w:type="dxa"/>
            </w:tcMar>
            <w:vAlign w:val="bottom"/>
          </w:tcPr>
          <w:p w14:paraId="0BC98B80" w14:textId="77777777" w:rsidR="009F0928" w:rsidRDefault="002112BD">
            <w:pPr>
              <w:textAlignment w:val="bottom"/>
              <w:rPr>
                <w:rFonts w:ascii="Times New Roman" w:hAnsi="Times New Roman"/>
                <w:sz w:val="20"/>
                <w:szCs w:val="20"/>
              </w:rPr>
            </w:pPr>
            <w:r>
              <w:rPr>
                <w:rFonts w:ascii="Arial" w:eastAsia="宋体" w:hAnsi="Arial" w:cs="Arial"/>
                <w:sz w:val="20"/>
                <w:szCs w:val="20"/>
              </w:rPr>
              <w:t>Short-term debt</w:t>
            </w:r>
          </w:p>
        </w:tc>
        <w:tc>
          <w:tcPr>
            <w:tcW w:w="0" w:type="auto"/>
            <w:shd w:val="clear" w:color="auto" w:fill="E2E2E2"/>
            <w:tcMar>
              <w:top w:w="40" w:type="dxa"/>
              <w:left w:w="40" w:type="dxa"/>
              <w:bottom w:w="40" w:type="dxa"/>
            </w:tcMar>
            <w:vAlign w:val="bottom"/>
          </w:tcPr>
          <w:p w14:paraId="0BC98B81"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8B82"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1,022</w:t>
            </w:r>
          </w:p>
        </w:tc>
        <w:tc>
          <w:tcPr>
            <w:tcW w:w="0" w:type="auto"/>
            <w:shd w:val="clear" w:color="auto" w:fill="E2E2E2"/>
            <w:vAlign w:val="bottom"/>
          </w:tcPr>
          <w:p w14:paraId="0BC98B8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B8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B85"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8B86"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1,546</w:t>
            </w:r>
          </w:p>
        </w:tc>
        <w:tc>
          <w:tcPr>
            <w:tcW w:w="0" w:type="auto"/>
            <w:shd w:val="clear" w:color="auto" w:fill="E2E2E2"/>
            <w:vAlign w:val="bottom"/>
          </w:tcPr>
          <w:p w14:paraId="0BC98B87" w14:textId="77777777" w:rsidR="009F0928" w:rsidRDefault="009F0928">
            <w:pPr>
              <w:textAlignment w:val="bottom"/>
              <w:rPr>
                <w:rFonts w:ascii="Times New Roman" w:hAnsi="Times New Roman"/>
                <w:sz w:val="20"/>
                <w:szCs w:val="20"/>
              </w:rPr>
            </w:pPr>
          </w:p>
        </w:tc>
      </w:tr>
      <w:tr w:rsidR="009F0928" w14:paraId="0BC98B8F" w14:textId="77777777">
        <w:trPr>
          <w:jc w:val="center"/>
        </w:trPr>
        <w:tc>
          <w:tcPr>
            <w:tcW w:w="0" w:type="auto"/>
            <w:shd w:val="clear" w:color="auto" w:fill="auto"/>
            <w:tcMar>
              <w:top w:w="40" w:type="dxa"/>
              <w:left w:w="720" w:type="dxa"/>
              <w:bottom w:w="40" w:type="dxa"/>
              <w:right w:w="40" w:type="dxa"/>
            </w:tcMar>
            <w:vAlign w:val="bottom"/>
          </w:tcPr>
          <w:p w14:paraId="0BC98B89" w14:textId="77777777" w:rsidR="009F0928" w:rsidRDefault="002112BD">
            <w:pPr>
              <w:textAlignment w:val="bottom"/>
              <w:rPr>
                <w:rFonts w:ascii="Times New Roman" w:hAnsi="Times New Roman"/>
                <w:sz w:val="20"/>
                <w:szCs w:val="20"/>
              </w:rPr>
            </w:pPr>
            <w:r>
              <w:rPr>
                <w:rFonts w:ascii="Arial" w:eastAsia="宋体" w:hAnsi="Arial" w:cs="Arial"/>
                <w:sz w:val="20"/>
                <w:szCs w:val="20"/>
              </w:rPr>
              <w:t>Accounts payable</w:t>
            </w:r>
          </w:p>
        </w:tc>
        <w:tc>
          <w:tcPr>
            <w:tcW w:w="0" w:type="auto"/>
            <w:gridSpan w:val="2"/>
            <w:shd w:val="clear" w:color="auto" w:fill="auto"/>
            <w:tcMar>
              <w:top w:w="40" w:type="dxa"/>
              <w:left w:w="40" w:type="dxa"/>
              <w:bottom w:w="40" w:type="dxa"/>
            </w:tcMar>
            <w:vAlign w:val="bottom"/>
          </w:tcPr>
          <w:p w14:paraId="0BC98B8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270</w:t>
            </w:r>
          </w:p>
        </w:tc>
        <w:tc>
          <w:tcPr>
            <w:tcW w:w="0" w:type="auto"/>
            <w:shd w:val="clear" w:color="auto" w:fill="auto"/>
            <w:vAlign w:val="bottom"/>
          </w:tcPr>
          <w:p w14:paraId="0BC98B8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B8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B8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286</w:t>
            </w:r>
          </w:p>
        </w:tc>
        <w:tc>
          <w:tcPr>
            <w:tcW w:w="0" w:type="auto"/>
            <w:shd w:val="clear" w:color="auto" w:fill="auto"/>
            <w:vAlign w:val="bottom"/>
          </w:tcPr>
          <w:p w14:paraId="0BC98B8E" w14:textId="77777777" w:rsidR="009F0928" w:rsidRDefault="009F0928">
            <w:pPr>
              <w:textAlignment w:val="bottom"/>
              <w:rPr>
                <w:rFonts w:ascii="Times New Roman" w:hAnsi="Times New Roman"/>
                <w:sz w:val="20"/>
                <w:szCs w:val="20"/>
              </w:rPr>
            </w:pPr>
          </w:p>
        </w:tc>
      </w:tr>
      <w:tr w:rsidR="009F0928" w14:paraId="0BC98B96" w14:textId="77777777">
        <w:trPr>
          <w:jc w:val="center"/>
        </w:trPr>
        <w:tc>
          <w:tcPr>
            <w:tcW w:w="0" w:type="auto"/>
            <w:shd w:val="clear" w:color="auto" w:fill="E2E2E2"/>
            <w:tcMar>
              <w:top w:w="40" w:type="dxa"/>
              <w:left w:w="720" w:type="dxa"/>
              <w:bottom w:w="40" w:type="dxa"/>
              <w:right w:w="40" w:type="dxa"/>
            </w:tcMar>
            <w:vAlign w:val="bottom"/>
          </w:tcPr>
          <w:p w14:paraId="0BC98B90" w14:textId="77777777" w:rsidR="009F0928" w:rsidRDefault="002112BD">
            <w:pPr>
              <w:textAlignment w:val="bottom"/>
              <w:rPr>
                <w:rFonts w:ascii="Times New Roman" w:hAnsi="Times New Roman"/>
                <w:sz w:val="20"/>
                <w:szCs w:val="20"/>
              </w:rPr>
            </w:pPr>
            <w:r>
              <w:rPr>
                <w:rFonts w:ascii="Arial" w:eastAsia="宋体" w:hAnsi="Arial" w:cs="Arial"/>
                <w:sz w:val="20"/>
                <w:szCs w:val="20"/>
              </w:rPr>
              <w:t>Accrued expenses and other current liabilities</w:t>
            </w:r>
          </w:p>
        </w:tc>
        <w:tc>
          <w:tcPr>
            <w:tcW w:w="0" w:type="auto"/>
            <w:gridSpan w:val="2"/>
            <w:shd w:val="clear" w:color="auto" w:fill="E2E2E2"/>
            <w:tcMar>
              <w:top w:w="40" w:type="dxa"/>
              <w:left w:w="40" w:type="dxa"/>
              <w:bottom w:w="40" w:type="dxa"/>
            </w:tcMar>
            <w:vAlign w:val="bottom"/>
          </w:tcPr>
          <w:p w14:paraId="0BC98B9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2,404</w:t>
            </w:r>
          </w:p>
        </w:tc>
        <w:tc>
          <w:tcPr>
            <w:tcW w:w="0" w:type="auto"/>
            <w:shd w:val="clear" w:color="auto" w:fill="E2E2E2"/>
            <w:vAlign w:val="bottom"/>
          </w:tcPr>
          <w:p w14:paraId="0BC98B9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B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B9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2,335</w:t>
            </w:r>
          </w:p>
        </w:tc>
        <w:tc>
          <w:tcPr>
            <w:tcW w:w="0" w:type="auto"/>
            <w:shd w:val="clear" w:color="auto" w:fill="E2E2E2"/>
            <w:vAlign w:val="bottom"/>
          </w:tcPr>
          <w:p w14:paraId="0BC98B95" w14:textId="77777777" w:rsidR="009F0928" w:rsidRDefault="009F0928">
            <w:pPr>
              <w:textAlignment w:val="bottom"/>
              <w:rPr>
                <w:rFonts w:ascii="Times New Roman" w:hAnsi="Times New Roman"/>
                <w:sz w:val="20"/>
                <w:szCs w:val="20"/>
              </w:rPr>
            </w:pPr>
          </w:p>
        </w:tc>
      </w:tr>
      <w:tr w:rsidR="009F0928" w14:paraId="0BC98B9D" w14:textId="77777777">
        <w:trPr>
          <w:jc w:val="center"/>
        </w:trPr>
        <w:tc>
          <w:tcPr>
            <w:tcW w:w="0" w:type="auto"/>
            <w:shd w:val="clear" w:color="auto" w:fill="auto"/>
            <w:tcMar>
              <w:top w:w="40" w:type="dxa"/>
              <w:left w:w="720" w:type="dxa"/>
              <w:bottom w:w="40" w:type="dxa"/>
              <w:right w:w="40" w:type="dxa"/>
            </w:tcMar>
            <w:vAlign w:val="bottom"/>
          </w:tcPr>
          <w:p w14:paraId="0BC98B97" w14:textId="77777777" w:rsidR="009F0928" w:rsidRDefault="002112BD">
            <w:pPr>
              <w:textAlignment w:val="bottom"/>
              <w:rPr>
                <w:rFonts w:ascii="Times New Roman" w:hAnsi="Times New Roman"/>
                <w:sz w:val="20"/>
                <w:szCs w:val="20"/>
              </w:rPr>
            </w:pPr>
            <w:r>
              <w:rPr>
                <w:rFonts w:ascii="Arial" w:eastAsia="宋体" w:hAnsi="Arial" w:cs="Arial"/>
                <w:sz w:val="20"/>
                <w:szCs w:val="20"/>
              </w:rPr>
              <w:t>Deferred revenue</w:t>
            </w:r>
          </w:p>
        </w:tc>
        <w:tc>
          <w:tcPr>
            <w:tcW w:w="0" w:type="auto"/>
            <w:gridSpan w:val="2"/>
            <w:shd w:val="clear" w:color="auto" w:fill="auto"/>
            <w:tcMar>
              <w:top w:w="40" w:type="dxa"/>
              <w:left w:w="40" w:type="dxa"/>
              <w:bottom w:w="40" w:type="dxa"/>
            </w:tcMar>
            <w:vAlign w:val="bottom"/>
          </w:tcPr>
          <w:p w14:paraId="0BC98B98"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158</w:t>
            </w:r>
          </w:p>
        </w:tc>
        <w:tc>
          <w:tcPr>
            <w:tcW w:w="0" w:type="auto"/>
            <w:shd w:val="clear" w:color="auto" w:fill="auto"/>
            <w:vAlign w:val="bottom"/>
          </w:tcPr>
          <w:p w14:paraId="0BC98B9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B9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B9B"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170</w:t>
            </w:r>
          </w:p>
        </w:tc>
        <w:tc>
          <w:tcPr>
            <w:tcW w:w="0" w:type="auto"/>
            <w:shd w:val="clear" w:color="auto" w:fill="auto"/>
            <w:vAlign w:val="bottom"/>
          </w:tcPr>
          <w:p w14:paraId="0BC98B9C" w14:textId="77777777" w:rsidR="009F0928" w:rsidRDefault="009F0928">
            <w:pPr>
              <w:textAlignment w:val="bottom"/>
              <w:rPr>
                <w:rFonts w:ascii="Times New Roman" w:hAnsi="Times New Roman"/>
                <w:sz w:val="20"/>
                <w:szCs w:val="20"/>
              </w:rPr>
            </w:pPr>
          </w:p>
        </w:tc>
      </w:tr>
      <w:tr w:rsidR="009F0928" w14:paraId="0BC98BA4" w14:textId="77777777">
        <w:trPr>
          <w:jc w:val="center"/>
        </w:trPr>
        <w:tc>
          <w:tcPr>
            <w:tcW w:w="0" w:type="auto"/>
            <w:shd w:val="clear" w:color="auto" w:fill="E2E2E2"/>
            <w:tcMar>
              <w:top w:w="40" w:type="dxa"/>
              <w:left w:w="720" w:type="dxa"/>
              <w:bottom w:w="40" w:type="dxa"/>
              <w:right w:w="40" w:type="dxa"/>
            </w:tcMar>
            <w:vAlign w:val="bottom"/>
          </w:tcPr>
          <w:p w14:paraId="0BC98B9E" w14:textId="77777777" w:rsidR="009F0928" w:rsidRDefault="002112BD">
            <w:pPr>
              <w:textAlignment w:val="bottom"/>
              <w:rPr>
                <w:rFonts w:ascii="Times New Roman" w:hAnsi="Times New Roman"/>
                <w:sz w:val="20"/>
                <w:szCs w:val="20"/>
              </w:rPr>
            </w:pPr>
            <w:r>
              <w:rPr>
                <w:rFonts w:ascii="Arial" w:eastAsia="宋体" w:hAnsi="Arial" w:cs="Arial"/>
                <w:sz w:val="20"/>
                <w:szCs w:val="20"/>
              </w:rPr>
              <w:t>Income taxes payable</w:t>
            </w:r>
          </w:p>
        </w:tc>
        <w:tc>
          <w:tcPr>
            <w:tcW w:w="0" w:type="auto"/>
            <w:gridSpan w:val="2"/>
            <w:shd w:val="clear" w:color="auto" w:fill="E2E2E2"/>
            <w:tcMar>
              <w:top w:w="40" w:type="dxa"/>
              <w:left w:w="40" w:type="dxa"/>
              <w:bottom w:w="40" w:type="dxa"/>
            </w:tcMar>
            <w:vAlign w:val="bottom"/>
          </w:tcPr>
          <w:p w14:paraId="0BC98B9F"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212</w:t>
            </w:r>
          </w:p>
        </w:tc>
        <w:tc>
          <w:tcPr>
            <w:tcW w:w="0" w:type="auto"/>
            <w:shd w:val="clear" w:color="auto" w:fill="E2E2E2"/>
            <w:vAlign w:val="bottom"/>
          </w:tcPr>
          <w:p w14:paraId="0BC98BA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BA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BA2"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117</w:t>
            </w:r>
          </w:p>
        </w:tc>
        <w:tc>
          <w:tcPr>
            <w:tcW w:w="0" w:type="auto"/>
            <w:shd w:val="clear" w:color="auto" w:fill="E2E2E2"/>
            <w:vAlign w:val="bottom"/>
          </w:tcPr>
          <w:p w14:paraId="0BC98BA3" w14:textId="77777777" w:rsidR="009F0928" w:rsidRDefault="009F0928">
            <w:pPr>
              <w:textAlignment w:val="bottom"/>
              <w:rPr>
                <w:rFonts w:ascii="Times New Roman" w:hAnsi="Times New Roman"/>
                <w:sz w:val="20"/>
                <w:szCs w:val="20"/>
              </w:rPr>
            </w:pPr>
          </w:p>
        </w:tc>
      </w:tr>
      <w:tr w:rsidR="009F0928" w14:paraId="0BC98BAB" w14:textId="77777777">
        <w:trPr>
          <w:jc w:val="center"/>
        </w:trPr>
        <w:tc>
          <w:tcPr>
            <w:tcW w:w="0" w:type="auto"/>
            <w:shd w:val="clear" w:color="auto" w:fill="auto"/>
            <w:tcMar>
              <w:top w:w="40" w:type="dxa"/>
              <w:left w:w="1360" w:type="dxa"/>
              <w:bottom w:w="40" w:type="dxa"/>
              <w:right w:w="40" w:type="dxa"/>
            </w:tcMar>
            <w:vAlign w:val="bottom"/>
          </w:tcPr>
          <w:p w14:paraId="0BC98BA5" w14:textId="77777777" w:rsidR="009F0928" w:rsidRDefault="002112BD">
            <w:pPr>
              <w:textAlignment w:val="bottom"/>
              <w:rPr>
                <w:rFonts w:ascii="Times New Roman" w:hAnsi="Times New Roman"/>
                <w:sz w:val="20"/>
                <w:szCs w:val="20"/>
              </w:rPr>
            </w:pPr>
            <w:r>
              <w:rPr>
                <w:rFonts w:ascii="Arial" w:eastAsia="宋体" w:hAnsi="Arial" w:cs="Arial"/>
                <w:sz w:val="20"/>
                <w:szCs w:val="20"/>
              </w:rPr>
              <w:t>Total current liabilities</w:t>
            </w:r>
          </w:p>
        </w:tc>
        <w:tc>
          <w:tcPr>
            <w:tcW w:w="0" w:type="auto"/>
            <w:gridSpan w:val="2"/>
            <w:tcBorders>
              <w:top w:val="single" w:sz="8" w:space="0" w:color="000000"/>
            </w:tcBorders>
            <w:shd w:val="clear" w:color="auto" w:fill="auto"/>
            <w:tcMar>
              <w:top w:w="40" w:type="dxa"/>
              <w:left w:w="40" w:type="dxa"/>
              <w:bottom w:w="40" w:type="dxa"/>
            </w:tcMar>
            <w:vAlign w:val="bottom"/>
          </w:tcPr>
          <w:p w14:paraId="0BC98BA6"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4,066</w:t>
            </w:r>
          </w:p>
        </w:tc>
        <w:tc>
          <w:tcPr>
            <w:tcW w:w="0" w:type="auto"/>
            <w:tcBorders>
              <w:top w:val="single" w:sz="8" w:space="0" w:color="000000"/>
            </w:tcBorders>
            <w:shd w:val="clear" w:color="auto" w:fill="auto"/>
            <w:vAlign w:val="bottom"/>
          </w:tcPr>
          <w:p w14:paraId="0BC98BA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B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BC98BA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4,454</w:t>
            </w:r>
          </w:p>
        </w:tc>
        <w:tc>
          <w:tcPr>
            <w:tcW w:w="0" w:type="auto"/>
            <w:tcBorders>
              <w:top w:val="single" w:sz="8" w:space="0" w:color="000000"/>
            </w:tcBorders>
            <w:shd w:val="clear" w:color="auto" w:fill="auto"/>
            <w:vAlign w:val="bottom"/>
          </w:tcPr>
          <w:p w14:paraId="0BC98BAA" w14:textId="77777777" w:rsidR="009F0928" w:rsidRDefault="009F0928">
            <w:pPr>
              <w:textAlignment w:val="bottom"/>
              <w:rPr>
                <w:rFonts w:ascii="Times New Roman" w:hAnsi="Times New Roman"/>
                <w:sz w:val="20"/>
                <w:szCs w:val="20"/>
              </w:rPr>
            </w:pPr>
          </w:p>
        </w:tc>
      </w:tr>
      <w:tr w:rsidR="009F0928" w14:paraId="0BC98BB2" w14:textId="77777777">
        <w:trPr>
          <w:jc w:val="center"/>
        </w:trPr>
        <w:tc>
          <w:tcPr>
            <w:tcW w:w="0" w:type="auto"/>
            <w:shd w:val="clear" w:color="auto" w:fill="E2E2E2"/>
            <w:tcMar>
              <w:top w:w="40" w:type="dxa"/>
              <w:left w:w="40" w:type="dxa"/>
              <w:bottom w:w="40" w:type="dxa"/>
              <w:right w:w="40" w:type="dxa"/>
            </w:tcMar>
            <w:vAlign w:val="bottom"/>
          </w:tcPr>
          <w:p w14:paraId="0BC98BAC" w14:textId="77777777" w:rsidR="009F0928" w:rsidRDefault="002112BD">
            <w:pPr>
              <w:textAlignment w:val="bottom"/>
              <w:rPr>
                <w:rFonts w:ascii="Times New Roman" w:hAnsi="Times New Roman"/>
                <w:sz w:val="20"/>
                <w:szCs w:val="20"/>
              </w:rPr>
            </w:pPr>
            <w:r>
              <w:rPr>
                <w:rFonts w:ascii="Arial" w:eastAsia="宋体" w:hAnsi="Arial" w:cs="Arial"/>
                <w:sz w:val="20"/>
                <w:szCs w:val="20"/>
              </w:rPr>
              <w:t xml:space="preserve">Operating lease liabilities </w:t>
            </w:r>
          </w:p>
        </w:tc>
        <w:tc>
          <w:tcPr>
            <w:tcW w:w="0" w:type="auto"/>
            <w:gridSpan w:val="2"/>
            <w:shd w:val="clear" w:color="auto" w:fill="E2E2E2"/>
            <w:tcMar>
              <w:top w:w="40" w:type="dxa"/>
              <w:left w:w="40" w:type="dxa"/>
              <w:bottom w:w="40" w:type="dxa"/>
            </w:tcMar>
            <w:vAlign w:val="bottom"/>
          </w:tcPr>
          <w:p w14:paraId="0BC98BA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492</w:t>
            </w:r>
          </w:p>
        </w:tc>
        <w:tc>
          <w:tcPr>
            <w:tcW w:w="0" w:type="auto"/>
            <w:shd w:val="clear" w:color="auto" w:fill="E2E2E2"/>
            <w:vAlign w:val="bottom"/>
          </w:tcPr>
          <w:p w14:paraId="0BC98BA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BA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BB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vAlign w:val="bottom"/>
          </w:tcPr>
          <w:p w14:paraId="0BC98BB1" w14:textId="77777777" w:rsidR="009F0928" w:rsidRDefault="009F0928">
            <w:pPr>
              <w:textAlignment w:val="bottom"/>
              <w:rPr>
                <w:rFonts w:ascii="Times New Roman" w:hAnsi="Times New Roman"/>
                <w:sz w:val="20"/>
                <w:szCs w:val="20"/>
              </w:rPr>
            </w:pPr>
          </w:p>
        </w:tc>
      </w:tr>
      <w:tr w:rsidR="009F0928" w14:paraId="0BC98BB9" w14:textId="77777777">
        <w:trPr>
          <w:jc w:val="center"/>
        </w:trPr>
        <w:tc>
          <w:tcPr>
            <w:tcW w:w="0" w:type="auto"/>
            <w:shd w:val="clear" w:color="auto" w:fill="auto"/>
            <w:tcMar>
              <w:top w:w="40" w:type="dxa"/>
              <w:left w:w="40" w:type="dxa"/>
              <w:bottom w:w="40" w:type="dxa"/>
              <w:right w:w="40" w:type="dxa"/>
            </w:tcMar>
            <w:vAlign w:val="bottom"/>
          </w:tcPr>
          <w:p w14:paraId="0BC98BB3" w14:textId="77777777" w:rsidR="009F0928" w:rsidRDefault="002112BD">
            <w:pPr>
              <w:textAlignment w:val="bottom"/>
              <w:rPr>
                <w:rFonts w:ascii="Times New Roman" w:hAnsi="Times New Roman"/>
                <w:sz w:val="20"/>
                <w:szCs w:val="20"/>
              </w:rPr>
            </w:pPr>
            <w:r>
              <w:rPr>
                <w:rFonts w:ascii="Arial" w:eastAsia="宋体" w:hAnsi="Arial" w:cs="Arial"/>
                <w:sz w:val="20"/>
                <w:szCs w:val="20"/>
              </w:rPr>
              <w:t>Deferred tax liabilities</w:t>
            </w:r>
          </w:p>
        </w:tc>
        <w:tc>
          <w:tcPr>
            <w:tcW w:w="0" w:type="auto"/>
            <w:gridSpan w:val="2"/>
            <w:shd w:val="clear" w:color="auto" w:fill="auto"/>
            <w:tcMar>
              <w:top w:w="40" w:type="dxa"/>
              <w:left w:w="40" w:type="dxa"/>
              <w:bottom w:w="40" w:type="dxa"/>
            </w:tcMar>
            <w:vAlign w:val="bottom"/>
          </w:tcPr>
          <w:p w14:paraId="0BC98BB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2,646</w:t>
            </w:r>
          </w:p>
        </w:tc>
        <w:tc>
          <w:tcPr>
            <w:tcW w:w="0" w:type="auto"/>
            <w:shd w:val="clear" w:color="auto" w:fill="auto"/>
            <w:vAlign w:val="bottom"/>
          </w:tcPr>
          <w:p w14:paraId="0BC98BB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B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BB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2,925</w:t>
            </w:r>
          </w:p>
        </w:tc>
        <w:tc>
          <w:tcPr>
            <w:tcW w:w="0" w:type="auto"/>
            <w:shd w:val="clear" w:color="auto" w:fill="auto"/>
            <w:vAlign w:val="bottom"/>
          </w:tcPr>
          <w:p w14:paraId="0BC98BB8" w14:textId="77777777" w:rsidR="009F0928" w:rsidRDefault="009F0928">
            <w:pPr>
              <w:textAlignment w:val="bottom"/>
              <w:rPr>
                <w:rFonts w:ascii="Times New Roman" w:hAnsi="Times New Roman"/>
                <w:sz w:val="20"/>
                <w:szCs w:val="20"/>
              </w:rPr>
            </w:pPr>
          </w:p>
        </w:tc>
      </w:tr>
      <w:tr w:rsidR="009F0928" w14:paraId="0BC98BC0" w14:textId="77777777">
        <w:trPr>
          <w:jc w:val="center"/>
        </w:trPr>
        <w:tc>
          <w:tcPr>
            <w:tcW w:w="0" w:type="auto"/>
            <w:shd w:val="clear" w:color="auto" w:fill="E2E2E2"/>
            <w:tcMar>
              <w:top w:w="40" w:type="dxa"/>
              <w:left w:w="40" w:type="dxa"/>
              <w:bottom w:w="40" w:type="dxa"/>
              <w:right w:w="40" w:type="dxa"/>
            </w:tcMar>
            <w:vAlign w:val="bottom"/>
          </w:tcPr>
          <w:p w14:paraId="0BC98BBA" w14:textId="77777777" w:rsidR="009F0928" w:rsidRDefault="002112BD">
            <w:pPr>
              <w:textAlignment w:val="bottom"/>
              <w:rPr>
                <w:rFonts w:ascii="Times New Roman" w:hAnsi="Times New Roman"/>
                <w:sz w:val="20"/>
                <w:szCs w:val="20"/>
              </w:rPr>
            </w:pPr>
            <w:r>
              <w:rPr>
                <w:rFonts w:ascii="Arial" w:eastAsia="宋体" w:hAnsi="Arial" w:cs="Arial"/>
                <w:sz w:val="20"/>
                <w:szCs w:val="20"/>
              </w:rPr>
              <w:t>Long-term debt</w:t>
            </w:r>
          </w:p>
        </w:tc>
        <w:tc>
          <w:tcPr>
            <w:tcW w:w="0" w:type="auto"/>
            <w:gridSpan w:val="2"/>
            <w:shd w:val="clear" w:color="auto" w:fill="E2E2E2"/>
            <w:tcMar>
              <w:top w:w="40" w:type="dxa"/>
              <w:left w:w="40" w:type="dxa"/>
              <w:bottom w:w="40" w:type="dxa"/>
            </w:tcMar>
            <w:vAlign w:val="bottom"/>
          </w:tcPr>
          <w:p w14:paraId="0BC98BBB"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6,738</w:t>
            </w:r>
          </w:p>
        </w:tc>
        <w:tc>
          <w:tcPr>
            <w:tcW w:w="0" w:type="auto"/>
            <w:shd w:val="clear" w:color="auto" w:fill="E2E2E2"/>
            <w:vAlign w:val="bottom"/>
          </w:tcPr>
          <w:p w14:paraId="0BC98BB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BB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BBE"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7,685</w:t>
            </w:r>
          </w:p>
        </w:tc>
        <w:tc>
          <w:tcPr>
            <w:tcW w:w="0" w:type="auto"/>
            <w:shd w:val="clear" w:color="auto" w:fill="E2E2E2"/>
            <w:vAlign w:val="bottom"/>
          </w:tcPr>
          <w:p w14:paraId="0BC98BBF" w14:textId="77777777" w:rsidR="009F0928" w:rsidRDefault="009F0928">
            <w:pPr>
              <w:textAlignment w:val="bottom"/>
              <w:rPr>
                <w:rFonts w:ascii="Times New Roman" w:hAnsi="Times New Roman"/>
                <w:sz w:val="20"/>
                <w:szCs w:val="20"/>
              </w:rPr>
            </w:pPr>
          </w:p>
        </w:tc>
      </w:tr>
      <w:tr w:rsidR="009F0928" w14:paraId="0BC98BC7" w14:textId="77777777">
        <w:trPr>
          <w:jc w:val="center"/>
        </w:trPr>
        <w:tc>
          <w:tcPr>
            <w:tcW w:w="0" w:type="auto"/>
            <w:shd w:val="clear" w:color="auto" w:fill="auto"/>
            <w:tcMar>
              <w:top w:w="40" w:type="dxa"/>
              <w:left w:w="40" w:type="dxa"/>
              <w:bottom w:w="40" w:type="dxa"/>
              <w:right w:w="40" w:type="dxa"/>
            </w:tcMar>
            <w:vAlign w:val="bottom"/>
          </w:tcPr>
          <w:p w14:paraId="0BC98BC1" w14:textId="77777777" w:rsidR="009F0928" w:rsidRDefault="002112BD">
            <w:pPr>
              <w:textAlignment w:val="bottom"/>
              <w:rPr>
                <w:rFonts w:ascii="Times New Roman" w:hAnsi="Times New Roman"/>
                <w:sz w:val="20"/>
                <w:szCs w:val="20"/>
              </w:rPr>
            </w:pPr>
            <w:r>
              <w:rPr>
                <w:rFonts w:ascii="Arial" w:eastAsia="宋体" w:hAnsi="Arial" w:cs="Arial"/>
                <w:sz w:val="20"/>
                <w:szCs w:val="20"/>
              </w:rPr>
              <w:t xml:space="preserve">Other </w:t>
            </w:r>
            <w:r>
              <w:rPr>
                <w:rFonts w:ascii="Arial" w:eastAsia="宋体" w:hAnsi="Arial" w:cs="Arial"/>
                <w:sz w:val="20"/>
                <w:szCs w:val="20"/>
              </w:rPr>
              <w:t>liabilities</w:t>
            </w:r>
          </w:p>
        </w:tc>
        <w:tc>
          <w:tcPr>
            <w:tcW w:w="0" w:type="auto"/>
            <w:gridSpan w:val="2"/>
            <w:shd w:val="clear" w:color="auto" w:fill="auto"/>
            <w:tcMar>
              <w:top w:w="40" w:type="dxa"/>
              <w:left w:w="40" w:type="dxa"/>
              <w:bottom w:w="40" w:type="dxa"/>
            </w:tcMar>
            <w:vAlign w:val="bottom"/>
          </w:tcPr>
          <w:p w14:paraId="0BC98BC2"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1,362</w:t>
            </w:r>
          </w:p>
        </w:tc>
        <w:tc>
          <w:tcPr>
            <w:tcW w:w="0" w:type="auto"/>
            <w:shd w:val="clear" w:color="auto" w:fill="auto"/>
            <w:vAlign w:val="bottom"/>
          </w:tcPr>
          <w:p w14:paraId="0BC98BC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BC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BC5"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1,474</w:t>
            </w:r>
          </w:p>
        </w:tc>
        <w:tc>
          <w:tcPr>
            <w:tcW w:w="0" w:type="auto"/>
            <w:shd w:val="clear" w:color="auto" w:fill="auto"/>
            <w:vAlign w:val="bottom"/>
          </w:tcPr>
          <w:p w14:paraId="0BC98BC6" w14:textId="77777777" w:rsidR="009F0928" w:rsidRDefault="009F0928">
            <w:pPr>
              <w:textAlignment w:val="bottom"/>
              <w:rPr>
                <w:rFonts w:ascii="Times New Roman" w:hAnsi="Times New Roman"/>
                <w:sz w:val="20"/>
                <w:szCs w:val="20"/>
              </w:rPr>
            </w:pPr>
          </w:p>
        </w:tc>
      </w:tr>
      <w:tr w:rsidR="009F0928" w14:paraId="0BC98BCE" w14:textId="77777777">
        <w:trPr>
          <w:jc w:val="center"/>
        </w:trPr>
        <w:tc>
          <w:tcPr>
            <w:tcW w:w="0" w:type="auto"/>
            <w:shd w:val="clear" w:color="auto" w:fill="E2E2E2"/>
            <w:tcMar>
              <w:top w:w="40" w:type="dxa"/>
              <w:left w:w="1360" w:type="dxa"/>
              <w:bottom w:w="40" w:type="dxa"/>
              <w:right w:w="40" w:type="dxa"/>
            </w:tcMar>
            <w:vAlign w:val="bottom"/>
          </w:tcPr>
          <w:p w14:paraId="0BC98BC8" w14:textId="77777777" w:rsidR="009F0928" w:rsidRDefault="002112BD">
            <w:pPr>
              <w:textAlignment w:val="bottom"/>
              <w:rPr>
                <w:rFonts w:ascii="Times New Roman" w:hAnsi="Times New Roman"/>
                <w:sz w:val="20"/>
                <w:szCs w:val="20"/>
              </w:rPr>
            </w:pPr>
            <w:r>
              <w:rPr>
                <w:rFonts w:ascii="Arial" w:eastAsia="宋体" w:hAnsi="Arial" w:cs="Arial"/>
                <w:sz w:val="20"/>
                <w:szCs w:val="20"/>
              </w:rPr>
              <w:t>Total liabilities</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8BC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15,304</w:t>
            </w:r>
          </w:p>
        </w:tc>
        <w:tc>
          <w:tcPr>
            <w:tcW w:w="0" w:type="auto"/>
            <w:tcBorders>
              <w:top w:val="single" w:sz="8" w:space="0" w:color="000000"/>
              <w:bottom w:val="single" w:sz="8" w:space="0" w:color="000000"/>
            </w:tcBorders>
            <w:shd w:val="clear" w:color="auto" w:fill="E2E2E2"/>
            <w:vAlign w:val="bottom"/>
          </w:tcPr>
          <w:p w14:paraId="0BC98BC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BC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8BC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16,538</w:t>
            </w:r>
          </w:p>
        </w:tc>
        <w:tc>
          <w:tcPr>
            <w:tcW w:w="0" w:type="auto"/>
            <w:tcBorders>
              <w:top w:val="single" w:sz="8" w:space="0" w:color="000000"/>
              <w:bottom w:val="single" w:sz="8" w:space="0" w:color="000000"/>
            </w:tcBorders>
            <w:shd w:val="clear" w:color="auto" w:fill="E2E2E2"/>
            <w:vAlign w:val="bottom"/>
          </w:tcPr>
          <w:p w14:paraId="0BC98BCD" w14:textId="77777777" w:rsidR="009F0928" w:rsidRDefault="009F0928">
            <w:pPr>
              <w:textAlignment w:val="bottom"/>
              <w:rPr>
                <w:rFonts w:ascii="Times New Roman" w:hAnsi="Times New Roman"/>
                <w:sz w:val="20"/>
                <w:szCs w:val="20"/>
              </w:rPr>
            </w:pPr>
          </w:p>
        </w:tc>
      </w:tr>
      <w:tr w:rsidR="009F0928" w14:paraId="0BC98BD3" w14:textId="77777777">
        <w:trPr>
          <w:jc w:val="center"/>
        </w:trPr>
        <w:tc>
          <w:tcPr>
            <w:tcW w:w="0" w:type="auto"/>
            <w:shd w:val="clear" w:color="auto" w:fill="auto"/>
            <w:tcMar>
              <w:top w:w="40" w:type="dxa"/>
              <w:left w:w="40" w:type="dxa"/>
              <w:bottom w:w="40" w:type="dxa"/>
              <w:right w:w="40" w:type="dxa"/>
            </w:tcMar>
            <w:vAlign w:val="bottom"/>
          </w:tcPr>
          <w:p w14:paraId="0BC98BCF" w14:textId="77777777" w:rsidR="009F0928" w:rsidRDefault="002112BD">
            <w:pPr>
              <w:textAlignment w:val="bottom"/>
              <w:rPr>
                <w:rFonts w:ascii="Times New Roman" w:hAnsi="Times New Roman"/>
                <w:sz w:val="20"/>
                <w:szCs w:val="20"/>
              </w:rPr>
            </w:pPr>
            <w:r>
              <w:rPr>
                <w:rFonts w:ascii="Arial" w:eastAsia="宋体" w:hAnsi="Arial" w:cs="Arial"/>
                <w:sz w:val="20"/>
                <w:szCs w:val="20"/>
              </w:rPr>
              <w:t>Commitments and contingencies (Note 12)</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0BC98BD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BD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0BC98BD2" w14:textId="77777777" w:rsidR="009F0928" w:rsidRDefault="009F0928">
            <w:pPr>
              <w:textAlignment w:val="bottom"/>
              <w:rPr>
                <w:rFonts w:ascii="Times New Roman" w:hAnsi="Times New Roman"/>
                <w:sz w:val="20"/>
                <w:szCs w:val="20"/>
              </w:rPr>
            </w:pPr>
          </w:p>
        </w:tc>
      </w:tr>
      <w:tr w:rsidR="009F0928" w14:paraId="0BC98BD8" w14:textId="77777777">
        <w:trPr>
          <w:jc w:val="center"/>
        </w:trPr>
        <w:tc>
          <w:tcPr>
            <w:tcW w:w="0" w:type="auto"/>
            <w:shd w:val="clear" w:color="auto" w:fill="E2E2E2"/>
            <w:tcMar>
              <w:top w:w="40" w:type="dxa"/>
              <w:left w:w="40" w:type="dxa"/>
              <w:bottom w:w="40" w:type="dxa"/>
              <w:right w:w="40" w:type="dxa"/>
            </w:tcMar>
            <w:vAlign w:val="bottom"/>
          </w:tcPr>
          <w:p w14:paraId="0BC98BD4" w14:textId="77777777" w:rsidR="009F0928" w:rsidRDefault="002112BD">
            <w:pPr>
              <w:textAlignment w:val="bottom"/>
              <w:rPr>
                <w:rFonts w:ascii="Times New Roman" w:hAnsi="Times New Roman"/>
                <w:sz w:val="20"/>
                <w:szCs w:val="20"/>
              </w:rPr>
            </w:pPr>
            <w:r>
              <w:rPr>
                <w:rFonts w:ascii="Arial" w:eastAsia="宋体" w:hAnsi="Arial" w:cs="Arial"/>
                <w:sz w:val="20"/>
                <w:szCs w:val="20"/>
              </w:rPr>
              <w:t>Stockholders’ equity:</w:t>
            </w:r>
          </w:p>
        </w:tc>
        <w:tc>
          <w:tcPr>
            <w:tcW w:w="0" w:type="auto"/>
            <w:gridSpan w:val="3"/>
            <w:shd w:val="clear" w:color="auto" w:fill="E2E2E2"/>
            <w:tcMar>
              <w:top w:w="40" w:type="dxa"/>
              <w:left w:w="40" w:type="dxa"/>
              <w:bottom w:w="40" w:type="dxa"/>
              <w:right w:w="40" w:type="dxa"/>
            </w:tcMar>
            <w:vAlign w:val="bottom"/>
          </w:tcPr>
          <w:p w14:paraId="0BC98BD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BD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BD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BDF" w14:textId="77777777">
        <w:trPr>
          <w:jc w:val="center"/>
        </w:trPr>
        <w:tc>
          <w:tcPr>
            <w:tcW w:w="0" w:type="auto"/>
            <w:shd w:val="clear" w:color="auto" w:fill="auto"/>
            <w:tcMar>
              <w:top w:w="40" w:type="dxa"/>
              <w:left w:w="40" w:type="dxa"/>
              <w:bottom w:w="40" w:type="dxa"/>
              <w:right w:w="40" w:type="dxa"/>
            </w:tcMar>
            <w:vAlign w:val="bottom"/>
          </w:tcPr>
          <w:p w14:paraId="0BC98BD9" w14:textId="77777777" w:rsidR="009F0928" w:rsidRDefault="002112BD">
            <w:pPr>
              <w:textAlignment w:val="bottom"/>
              <w:rPr>
                <w:rFonts w:ascii="Times New Roman" w:hAnsi="Times New Roman"/>
                <w:sz w:val="20"/>
                <w:szCs w:val="20"/>
              </w:rPr>
            </w:pPr>
            <w:r>
              <w:rPr>
                <w:rFonts w:ascii="Arial" w:eastAsia="宋体" w:hAnsi="Arial" w:cs="Arial"/>
                <w:sz w:val="20"/>
                <w:szCs w:val="20"/>
              </w:rPr>
              <w:t>Common stock, $0.001 par value; 3,580 shares authorized; 796 and 915 shares outstanding</w:t>
            </w:r>
          </w:p>
        </w:tc>
        <w:tc>
          <w:tcPr>
            <w:tcW w:w="0" w:type="auto"/>
            <w:gridSpan w:val="2"/>
            <w:shd w:val="clear" w:color="auto" w:fill="auto"/>
            <w:tcMar>
              <w:top w:w="40" w:type="dxa"/>
              <w:left w:w="40" w:type="dxa"/>
              <w:bottom w:w="40" w:type="dxa"/>
            </w:tcMar>
            <w:vAlign w:val="bottom"/>
          </w:tcPr>
          <w:p w14:paraId="0BC98BD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w:t>
            </w:r>
          </w:p>
        </w:tc>
        <w:tc>
          <w:tcPr>
            <w:tcW w:w="0" w:type="auto"/>
            <w:shd w:val="clear" w:color="auto" w:fill="auto"/>
            <w:vAlign w:val="bottom"/>
          </w:tcPr>
          <w:p w14:paraId="0BC98BD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BD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BD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w:t>
            </w:r>
          </w:p>
        </w:tc>
        <w:tc>
          <w:tcPr>
            <w:tcW w:w="0" w:type="auto"/>
            <w:shd w:val="clear" w:color="auto" w:fill="auto"/>
            <w:vAlign w:val="bottom"/>
          </w:tcPr>
          <w:p w14:paraId="0BC98BDE" w14:textId="77777777" w:rsidR="009F0928" w:rsidRDefault="009F0928">
            <w:pPr>
              <w:textAlignment w:val="bottom"/>
              <w:rPr>
                <w:rFonts w:ascii="Times New Roman" w:hAnsi="Times New Roman"/>
                <w:sz w:val="20"/>
                <w:szCs w:val="20"/>
              </w:rPr>
            </w:pPr>
          </w:p>
        </w:tc>
      </w:tr>
      <w:tr w:rsidR="009F0928" w14:paraId="0BC98BE6" w14:textId="77777777">
        <w:trPr>
          <w:jc w:val="center"/>
        </w:trPr>
        <w:tc>
          <w:tcPr>
            <w:tcW w:w="0" w:type="auto"/>
            <w:shd w:val="clear" w:color="auto" w:fill="E2E2E2"/>
            <w:tcMar>
              <w:top w:w="40" w:type="dxa"/>
              <w:left w:w="40" w:type="dxa"/>
              <w:bottom w:w="40" w:type="dxa"/>
              <w:right w:w="40" w:type="dxa"/>
            </w:tcMar>
            <w:vAlign w:val="bottom"/>
          </w:tcPr>
          <w:p w14:paraId="0BC98BE0" w14:textId="77777777" w:rsidR="009F0928" w:rsidRDefault="002112BD">
            <w:pPr>
              <w:textAlignment w:val="bottom"/>
              <w:rPr>
                <w:rFonts w:ascii="Times New Roman" w:hAnsi="Times New Roman"/>
                <w:sz w:val="20"/>
                <w:szCs w:val="20"/>
              </w:rPr>
            </w:pPr>
            <w:r>
              <w:rPr>
                <w:rFonts w:ascii="Arial" w:eastAsia="宋体" w:hAnsi="Arial" w:cs="Arial"/>
                <w:sz w:val="20"/>
                <w:szCs w:val="20"/>
              </w:rPr>
              <w:t>Additional paid-in capital</w:t>
            </w:r>
          </w:p>
        </w:tc>
        <w:tc>
          <w:tcPr>
            <w:tcW w:w="0" w:type="auto"/>
            <w:gridSpan w:val="2"/>
            <w:shd w:val="clear" w:color="auto" w:fill="E2E2E2"/>
            <w:tcMar>
              <w:top w:w="40" w:type="dxa"/>
              <w:left w:w="40" w:type="dxa"/>
              <w:bottom w:w="40" w:type="dxa"/>
            </w:tcMar>
            <w:vAlign w:val="bottom"/>
          </w:tcPr>
          <w:p w14:paraId="0BC98BE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16,126</w:t>
            </w:r>
          </w:p>
        </w:tc>
        <w:tc>
          <w:tcPr>
            <w:tcW w:w="0" w:type="auto"/>
            <w:shd w:val="clear" w:color="auto" w:fill="E2E2E2"/>
            <w:vAlign w:val="bottom"/>
          </w:tcPr>
          <w:p w14:paraId="0BC98BE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B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BE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15,716</w:t>
            </w:r>
          </w:p>
        </w:tc>
        <w:tc>
          <w:tcPr>
            <w:tcW w:w="0" w:type="auto"/>
            <w:shd w:val="clear" w:color="auto" w:fill="E2E2E2"/>
            <w:vAlign w:val="bottom"/>
          </w:tcPr>
          <w:p w14:paraId="0BC98BE5" w14:textId="77777777" w:rsidR="009F0928" w:rsidRDefault="009F0928">
            <w:pPr>
              <w:textAlignment w:val="bottom"/>
              <w:rPr>
                <w:rFonts w:ascii="Times New Roman" w:hAnsi="Times New Roman"/>
                <w:sz w:val="20"/>
                <w:szCs w:val="20"/>
              </w:rPr>
            </w:pPr>
          </w:p>
        </w:tc>
      </w:tr>
      <w:tr w:rsidR="009F0928" w14:paraId="0BC98BED" w14:textId="77777777">
        <w:trPr>
          <w:jc w:val="center"/>
        </w:trPr>
        <w:tc>
          <w:tcPr>
            <w:tcW w:w="0" w:type="auto"/>
            <w:shd w:val="clear" w:color="auto" w:fill="auto"/>
            <w:tcMar>
              <w:top w:w="40" w:type="dxa"/>
              <w:left w:w="40" w:type="dxa"/>
              <w:bottom w:w="40" w:type="dxa"/>
              <w:right w:w="40" w:type="dxa"/>
            </w:tcMar>
            <w:vAlign w:val="bottom"/>
          </w:tcPr>
          <w:p w14:paraId="0BC98BE7" w14:textId="77777777" w:rsidR="009F0928" w:rsidRDefault="002112BD">
            <w:pPr>
              <w:textAlignment w:val="bottom"/>
              <w:rPr>
                <w:rFonts w:ascii="Times New Roman" w:hAnsi="Times New Roman"/>
                <w:sz w:val="20"/>
                <w:szCs w:val="20"/>
              </w:rPr>
            </w:pPr>
            <w:r>
              <w:rPr>
                <w:rFonts w:ascii="Arial" w:eastAsia="宋体" w:hAnsi="Arial" w:cs="Arial"/>
                <w:sz w:val="20"/>
                <w:szCs w:val="20"/>
              </w:rPr>
              <w:t>Treasury stock at cost, 897 and 763 shares</w:t>
            </w:r>
          </w:p>
        </w:tc>
        <w:tc>
          <w:tcPr>
            <w:tcW w:w="0" w:type="auto"/>
            <w:gridSpan w:val="2"/>
            <w:shd w:val="clear" w:color="auto" w:fill="auto"/>
            <w:tcMar>
              <w:top w:w="40" w:type="dxa"/>
              <w:left w:w="40" w:type="dxa"/>
              <w:bottom w:w="40" w:type="dxa"/>
            </w:tcMar>
            <w:vAlign w:val="bottom"/>
          </w:tcPr>
          <w:p w14:paraId="0BC98BE8"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(31,396</w:t>
            </w:r>
          </w:p>
        </w:tc>
        <w:tc>
          <w:tcPr>
            <w:tcW w:w="0" w:type="auto"/>
            <w:shd w:val="clear" w:color="auto" w:fill="auto"/>
            <w:tcMar>
              <w:top w:w="40" w:type="dxa"/>
              <w:bottom w:w="40" w:type="dxa"/>
              <w:right w:w="40" w:type="dxa"/>
            </w:tcMar>
            <w:vAlign w:val="bottom"/>
          </w:tcPr>
          <w:p w14:paraId="0BC98BE9"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BE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BEB"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(26,394</w:t>
            </w:r>
          </w:p>
        </w:tc>
        <w:tc>
          <w:tcPr>
            <w:tcW w:w="0" w:type="auto"/>
            <w:shd w:val="clear" w:color="auto" w:fill="auto"/>
            <w:tcMar>
              <w:top w:w="40" w:type="dxa"/>
              <w:bottom w:w="40" w:type="dxa"/>
              <w:right w:w="40" w:type="dxa"/>
            </w:tcMar>
            <w:vAlign w:val="bottom"/>
          </w:tcPr>
          <w:p w14:paraId="0BC98BEC"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BF4" w14:textId="77777777">
        <w:trPr>
          <w:jc w:val="center"/>
        </w:trPr>
        <w:tc>
          <w:tcPr>
            <w:tcW w:w="0" w:type="auto"/>
            <w:shd w:val="clear" w:color="auto" w:fill="E2E2E2"/>
            <w:tcMar>
              <w:top w:w="40" w:type="dxa"/>
              <w:left w:w="40" w:type="dxa"/>
              <w:bottom w:w="40" w:type="dxa"/>
              <w:right w:w="40" w:type="dxa"/>
            </w:tcMar>
            <w:vAlign w:val="bottom"/>
          </w:tcPr>
          <w:p w14:paraId="0BC98BEE" w14:textId="77777777" w:rsidR="009F0928" w:rsidRDefault="002112BD">
            <w:pPr>
              <w:textAlignment w:val="bottom"/>
              <w:rPr>
                <w:rFonts w:ascii="Times New Roman" w:hAnsi="Times New Roman"/>
                <w:sz w:val="20"/>
                <w:szCs w:val="20"/>
              </w:rPr>
            </w:pPr>
            <w:r>
              <w:rPr>
                <w:rFonts w:ascii="Arial" w:eastAsia="宋体" w:hAnsi="Arial" w:cs="Arial"/>
                <w:sz w:val="20"/>
                <w:szCs w:val="20"/>
              </w:rPr>
              <w:t>Retained earnings</w:t>
            </w:r>
          </w:p>
        </w:tc>
        <w:tc>
          <w:tcPr>
            <w:tcW w:w="0" w:type="auto"/>
            <w:gridSpan w:val="2"/>
            <w:shd w:val="clear" w:color="auto" w:fill="E2E2E2"/>
            <w:tcMar>
              <w:top w:w="40" w:type="dxa"/>
              <w:left w:w="40" w:type="dxa"/>
              <w:bottom w:w="40" w:type="dxa"/>
            </w:tcMar>
            <w:vAlign w:val="bottom"/>
          </w:tcPr>
          <w:p w14:paraId="0BC98BEF"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17,754</w:t>
            </w:r>
          </w:p>
        </w:tc>
        <w:tc>
          <w:tcPr>
            <w:tcW w:w="0" w:type="auto"/>
            <w:shd w:val="clear" w:color="auto" w:fill="E2E2E2"/>
            <w:vAlign w:val="bottom"/>
          </w:tcPr>
          <w:p w14:paraId="0BC98BF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BF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BF2"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16,459</w:t>
            </w:r>
          </w:p>
        </w:tc>
        <w:tc>
          <w:tcPr>
            <w:tcW w:w="0" w:type="auto"/>
            <w:shd w:val="clear" w:color="auto" w:fill="E2E2E2"/>
            <w:vAlign w:val="bottom"/>
          </w:tcPr>
          <w:p w14:paraId="0BC98BF3" w14:textId="77777777" w:rsidR="009F0928" w:rsidRDefault="009F0928">
            <w:pPr>
              <w:textAlignment w:val="bottom"/>
              <w:rPr>
                <w:rFonts w:ascii="Times New Roman" w:hAnsi="Times New Roman"/>
                <w:sz w:val="20"/>
                <w:szCs w:val="20"/>
              </w:rPr>
            </w:pPr>
          </w:p>
        </w:tc>
      </w:tr>
      <w:tr w:rsidR="009F0928" w14:paraId="0BC98BFB" w14:textId="77777777">
        <w:trPr>
          <w:jc w:val="center"/>
        </w:trPr>
        <w:tc>
          <w:tcPr>
            <w:tcW w:w="0" w:type="auto"/>
            <w:shd w:val="clear" w:color="auto" w:fill="auto"/>
            <w:tcMar>
              <w:top w:w="40" w:type="dxa"/>
              <w:left w:w="40" w:type="dxa"/>
              <w:bottom w:w="40" w:type="dxa"/>
              <w:right w:w="40" w:type="dxa"/>
            </w:tcMar>
            <w:vAlign w:val="bottom"/>
          </w:tcPr>
          <w:p w14:paraId="0BC98BF5" w14:textId="77777777" w:rsidR="009F0928" w:rsidRDefault="002112BD">
            <w:pPr>
              <w:textAlignment w:val="bottom"/>
              <w:rPr>
                <w:rFonts w:ascii="Times New Roman" w:hAnsi="Times New Roman"/>
                <w:sz w:val="20"/>
                <w:szCs w:val="20"/>
              </w:rPr>
            </w:pPr>
            <w:r>
              <w:rPr>
                <w:rFonts w:ascii="Arial" w:eastAsia="宋体" w:hAnsi="Arial" w:cs="Arial"/>
                <w:sz w:val="20"/>
                <w:szCs w:val="20"/>
              </w:rPr>
              <w:t>Accumulated other comprehensive income</w:t>
            </w:r>
          </w:p>
        </w:tc>
        <w:tc>
          <w:tcPr>
            <w:tcW w:w="0" w:type="auto"/>
            <w:gridSpan w:val="2"/>
            <w:tcBorders>
              <w:bottom w:val="single" w:sz="8" w:space="0" w:color="000000"/>
            </w:tcBorders>
            <w:shd w:val="clear" w:color="auto" w:fill="auto"/>
            <w:tcMar>
              <w:top w:w="40" w:type="dxa"/>
              <w:left w:w="40" w:type="dxa"/>
              <w:bottom w:w="40" w:type="dxa"/>
            </w:tcMar>
            <w:vAlign w:val="bottom"/>
          </w:tcPr>
          <w:p w14:paraId="0BC98BF6"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384</w:t>
            </w:r>
          </w:p>
        </w:tc>
        <w:tc>
          <w:tcPr>
            <w:tcW w:w="0" w:type="auto"/>
            <w:tcBorders>
              <w:bottom w:val="single" w:sz="8" w:space="0" w:color="000000"/>
            </w:tcBorders>
            <w:shd w:val="clear" w:color="auto" w:fill="auto"/>
            <w:vAlign w:val="bottom"/>
          </w:tcPr>
          <w:p w14:paraId="0BC98BF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BF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BF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498</w:t>
            </w:r>
          </w:p>
        </w:tc>
        <w:tc>
          <w:tcPr>
            <w:tcW w:w="0" w:type="auto"/>
            <w:shd w:val="clear" w:color="auto" w:fill="auto"/>
            <w:vAlign w:val="bottom"/>
          </w:tcPr>
          <w:p w14:paraId="0BC98BFA" w14:textId="77777777" w:rsidR="009F0928" w:rsidRDefault="009F0928">
            <w:pPr>
              <w:textAlignment w:val="bottom"/>
              <w:rPr>
                <w:rFonts w:ascii="Times New Roman" w:hAnsi="Times New Roman"/>
                <w:sz w:val="20"/>
                <w:szCs w:val="20"/>
              </w:rPr>
            </w:pPr>
          </w:p>
        </w:tc>
      </w:tr>
      <w:tr w:rsidR="009F0928" w14:paraId="0BC98C02" w14:textId="77777777">
        <w:trPr>
          <w:jc w:val="center"/>
        </w:trPr>
        <w:tc>
          <w:tcPr>
            <w:tcW w:w="0" w:type="auto"/>
            <w:shd w:val="clear" w:color="auto" w:fill="E2E2E2"/>
            <w:tcMar>
              <w:top w:w="40" w:type="dxa"/>
              <w:left w:w="1360" w:type="dxa"/>
              <w:bottom w:w="40" w:type="dxa"/>
              <w:right w:w="40" w:type="dxa"/>
            </w:tcMar>
            <w:vAlign w:val="bottom"/>
          </w:tcPr>
          <w:p w14:paraId="0BC98BFC" w14:textId="77777777" w:rsidR="009F0928" w:rsidRDefault="002112BD">
            <w:pPr>
              <w:textAlignment w:val="bottom"/>
              <w:rPr>
                <w:rFonts w:ascii="Times New Roman" w:hAnsi="Times New Roman"/>
                <w:sz w:val="20"/>
                <w:szCs w:val="20"/>
              </w:rPr>
            </w:pPr>
            <w:r>
              <w:rPr>
                <w:rFonts w:ascii="Arial" w:eastAsia="宋体" w:hAnsi="Arial" w:cs="Arial"/>
                <w:sz w:val="20"/>
                <w:szCs w:val="20"/>
              </w:rPr>
              <w:t>Total stockholders’ equity</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8BF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2,870</w:t>
            </w:r>
          </w:p>
        </w:tc>
        <w:tc>
          <w:tcPr>
            <w:tcW w:w="0" w:type="auto"/>
            <w:tcBorders>
              <w:top w:val="single" w:sz="8" w:space="0" w:color="000000"/>
              <w:bottom w:val="single" w:sz="8" w:space="0" w:color="000000"/>
            </w:tcBorders>
            <w:shd w:val="clear" w:color="auto" w:fill="E2E2E2"/>
            <w:vAlign w:val="bottom"/>
          </w:tcPr>
          <w:p w14:paraId="0BC98BF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BF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2E2E2"/>
            <w:tcMar>
              <w:top w:w="40" w:type="dxa"/>
              <w:left w:w="40" w:type="dxa"/>
              <w:bottom w:w="40" w:type="dxa"/>
            </w:tcMar>
            <w:vAlign w:val="bottom"/>
          </w:tcPr>
          <w:p w14:paraId="0BC98C0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6,281</w:t>
            </w:r>
          </w:p>
        </w:tc>
        <w:tc>
          <w:tcPr>
            <w:tcW w:w="0" w:type="auto"/>
            <w:tcBorders>
              <w:top w:val="single" w:sz="8" w:space="0" w:color="000000"/>
            </w:tcBorders>
            <w:shd w:val="clear" w:color="auto" w:fill="E2E2E2"/>
            <w:vAlign w:val="bottom"/>
          </w:tcPr>
          <w:p w14:paraId="0BC98C01" w14:textId="77777777" w:rsidR="009F0928" w:rsidRDefault="009F0928">
            <w:pPr>
              <w:textAlignment w:val="bottom"/>
              <w:rPr>
                <w:rFonts w:ascii="Times New Roman" w:hAnsi="Times New Roman"/>
                <w:sz w:val="20"/>
                <w:szCs w:val="20"/>
              </w:rPr>
            </w:pPr>
          </w:p>
        </w:tc>
      </w:tr>
      <w:tr w:rsidR="009F0928" w14:paraId="0BC98C0B" w14:textId="77777777">
        <w:trPr>
          <w:jc w:val="center"/>
        </w:trPr>
        <w:tc>
          <w:tcPr>
            <w:tcW w:w="0" w:type="auto"/>
            <w:shd w:val="clear" w:color="auto" w:fill="auto"/>
            <w:tcMar>
              <w:top w:w="40" w:type="dxa"/>
              <w:left w:w="720" w:type="dxa"/>
              <w:bottom w:w="40" w:type="dxa"/>
              <w:right w:w="40" w:type="dxa"/>
            </w:tcMar>
            <w:vAlign w:val="bottom"/>
          </w:tcPr>
          <w:p w14:paraId="0BC98C03" w14:textId="77777777" w:rsidR="009F0928" w:rsidRDefault="002112BD">
            <w:pPr>
              <w:textAlignment w:val="bottom"/>
              <w:rPr>
                <w:rFonts w:ascii="Times New Roman" w:hAnsi="Times New Roman"/>
                <w:sz w:val="20"/>
                <w:szCs w:val="20"/>
              </w:rPr>
            </w:pPr>
            <w:r>
              <w:rPr>
                <w:rFonts w:ascii="Arial" w:eastAsia="宋体" w:hAnsi="Arial" w:cs="Arial"/>
                <w:sz w:val="20"/>
                <w:szCs w:val="20"/>
              </w:rPr>
              <w:t xml:space="preserve">Total </w:t>
            </w:r>
            <w:r>
              <w:rPr>
                <w:rFonts w:ascii="Arial" w:eastAsia="宋体" w:hAnsi="Arial" w:cs="Arial"/>
                <w:sz w:val="20"/>
                <w:szCs w:val="20"/>
              </w:rPr>
              <w:t>liabilities and stockholders’ equity</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C04"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C05"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18,174</w:t>
            </w:r>
          </w:p>
        </w:tc>
        <w:tc>
          <w:tcPr>
            <w:tcW w:w="0" w:type="auto"/>
            <w:tcBorders>
              <w:top w:val="single" w:sz="8" w:space="0" w:color="000000"/>
              <w:bottom w:val="double" w:sz="6" w:space="0" w:color="000000"/>
            </w:tcBorders>
            <w:shd w:val="clear" w:color="auto" w:fill="auto"/>
            <w:vAlign w:val="bottom"/>
          </w:tcPr>
          <w:p w14:paraId="0BC98C0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C0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C08"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C0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22,819</w:t>
            </w:r>
          </w:p>
        </w:tc>
        <w:tc>
          <w:tcPr>
            <w:tcW w:w="0" w:type="auto"/>
            <w:tcBorders>
              <w:top w:val="single" w:sz="8" w:space="0" w:color="000000"/>
              <w:bottom w:val="double" w:sz="6" w:space="0" w:color="000000"/>
            </w:tcBorders>
            <w:shd w:val="clear" w:color="auto" w:fill="auto"/>
            <w:vAlign w:val="bottom"/>
          </w:tcPr>
          <w:p w14:paraId="0BC98C0A" w14:textId="77777777" w:rsidR="009F0928" w:rsidRDefault="009F0928">
            <w:pPr>
              <w:textAlignment w:val="bottom"/>
              <w:rPr>
                <w:rFonts w:ascii="Times New Roman" w:hAnsi="Times New Roman"/>
                <w:sz w:val="20"/>
                <w:szCs w:val="20"/>
              </w:rPr>
            </w:pPr>
          </w:p>
        </w:tc>
      </w:tr>
    </w:tbl>
    <w:p w14:paraId="0BC98C0C" w14:textId="77777777" w:rsidR="009F0928" w:rsidRDefault="009F0928">
      <w:pPr>
        <w:spacing w:line="288" w:lineRule="auto"/>
        <w:jc w:val="center"/>
        <w:rPr>
          <w:rFonts w:ascii="Times New Roman" w:hAnsi="Times New Roman"/>
          <w:sz w:val="20"/>
          <w:szCs w:val="20"/>
        </w:rPr>
      </w:pPr>
    </w:p>
    <w:p w14:paraId="0BC98C0D" w14:textId="77777777" w:rsidR="009F0928" w:rsidRDefault="002112BD">
      <w:pPr>
        <w:spacing w:line="288" w:lineRule="auto"/>
        <w:jc w:val="center"/>
        <w:rPr>
          <w:rFonts w:ascii="Times New Roman" w:hAnsi="Times New Roman"/>
          <w:sz w:val="20"/>
          <w:szCs w:val="20"/>
        </w:rPr>
      </w:pPr>
      <w:r>
        <w:rPr>
          <w:rFonts w:ascii="Arial" w:eastAsia="宋体" w:hAnsi="Arial" w:cs="Arial"/>
          <w:sz w:val="20"/>
          <w:szCs w:val="20"/>
        </w:rPr>
        <w:t xml:space="preserve">The accompanying notes are an integral part of these consolidated financial statements. </w:t>
      </w:r>
    </w:p>
    <w:p w14:paraId="0BC98C0E" w14:textId="77777777" w:rsidR="009F0928" w:rsidRDefault="009F0928">
      <w:pPr>
        <w:rPr>
          <w:rFonts w:ascii="Times New Roman" w:hAnsi="Times New Roman"/>
          <w:sz w:val="20"/>
          <w:szCs w:val="20"/>
        </w:rPr>
      </w:pPr>
    </w:p>
    <w:p w14:paraId="0BC98C0F"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F-3</w:t>
      </w:r>
    </w:p>
    <w:p w14:paraId="0BC98C10" w14:textId="77777777" w:rsidR="009F0928" w:rsidRDefault="002112BD">
      <w:r>
        <w:rPr>
          <w:rFonts w:ascii="Times New Roman" w:hAnsi="Times New Roman"/>
          <w:sz w:val="18"/>
          <w:szCs w:val="18"/>
        </w:rPr>
        <w:pict w14:anchorId="0BC9B4FD">
          <v:rect id="_x0000_i1089" style="width:415.3pt;height:1.5pt" o:hralign="center" o:hrstd="t" o:hr="t" fillcolor="#a0a0a0" stroked="f"/>
        </w:pict>
      </w:r>
    </w:p>
    <w:p w14:paraId="0BC98C11" w14:textId="77777777" w:rsidR="009F0928" w:rsidRDefault="009F0928">
      <w:pPr>
        <w:spacing w:line="288" w:lineRule="auto"/>
        <w:rPr>
          <w:rFonts w:ascii="Times New Roman" w:hAnsi="Times New Roman"/>
          <w:sz w:val="20"/>
          <w:szCs w:val="20"/>
        </w:rPr>
      </w:pPr>
    </w:p>
    <w:p w14:paraId="0BC98C12" w14:textId="77777777" w:rsidR="009F0928" w:rsidRDefault="009F0928">
      <w:pPr>
        <w:rPr>
          <w:rFonts w:ascii="Times New Roman" w:hAnsi="Times New Roman"/>
          <w:sz w:val="20"/>
          <w:szCs w:val="20"/>
        </w:rPr>
      </w:pPr>
    </w:p>
    <w:p w14:paraId="0BC98C13"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eBay Inc. </w:t>
      </w:r>
    </w:p>
    <w:p w14:paraId="0BC98C14"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CONSOLIDATED STATEMENT OF INCOME </w:t>
      </w:r>
    </w:p>
    <w:p w14:paraId="0BC98C15" w14:textId="77777777" w:rsidR="009F0928" w:rsidRDefault="002112BD">
      <w:pPr>
        <w:spacing w:line="288" w:lineRule="auto"/>
        <w:rPr>
          <w:rFonts w:ascii="Times New Roman" w:hAnsi="Times New Roman"/>
          <w:sz w:val="20"/>
          <w:szCs w:val="20"/>
        </w:rPr>
      </w:pPr>
      <w:r>
        <w:rPr>
          <w:rFonts w:ascii="Arial" w:eastAsia="宋体" w:hAnsi="Arial" w:cs="Arial"/>
          <w:sz w:val="18"/>
          <w:szCs w:val="18"/>
        </w:rPr>
        <w:t> </w:t>
      </w:r>
    </w:p>
    <w:tbl>
      <w:tblPr>
        <w:tblW w:w="5000" w:type="pct"/>
        <w:tblCellMar>
          <w:left w:w="0" w:type="dxa"/>
          <w:right w:w="0" w:type="dxa"/>
        </w:tblCellMar>
        <w:tblLook w:val="04A0" w:firstRow="1" w:lastRow="0" w:firstColumn="1" w:lastColumn="0" w:noHBand="0" w:noVBand="1"/>
      </w:tblPr>
      <w:tblGrid>
        <w:gridCol w:w="4807"/>
        <w:gridCol w:w="152"/>
        <w:gridCol w:w="820"/>
        <w:gridCol w:w="107"/>
        <w:gridCol w:w="130"/>
        <w:gridCol w:w="152"/>
        <w:gridCol w:w="821"/>
        <w:gridCol w:w="107"/>
        <w:gridCol w:w="130"/>
        <w:gridCol w:w="152"/>
        <w:gridCol w:w="821"/>
        <w:gridCol w:w="107"/>
      </w:tblGrid>
      <w:tr w:rsidR="009F0928" w14:paraId="0BC98C17" w14:textId="77777777">
        <w:tc>
          <w:tcPr>
            <w:tcW w:w="0" w:type="auto"/>
            <w:gridSpan w:val="12"/>
            <w:shd w:val="clear" w:color="auto" w:fill="auto"/>
            <w:vAlign w:val="center"/>
          </w:tcPr>
          <w:p w14:paraId="0BC98C16" w14:textId="77777777" w:rsidR="009F0928" w:rsidRDefault="009F0928">
            <w:pPr>
              <w:rPr>
                <w:rFonts w:ascii="Times New Roman" w:hAnsi="Times New Roman"/>
                <w:sz w:val="20"/>
                <w:szCs w:val="20"/>
              </w:rPr>
            </w:pPr>
          </w:p>
        </w:tc>
      </w:tr>
      <w:tr w:rsidR="009F0928" w14:paraId="0BC98C24" w14:textId="77777777">
        <w:tc>
          <w:tcPr>
            <w:tcW w:w="2950" w:type="pct"/>
            <w:shd w:val="clear" w:color="auto" w:fill="auto"/>
            <w:vAlign w:val="center"/>
          </w:tcPr>
          <w:p w14:paraId="0BC98C18" w14:textId="77777777" w:rsidR="009F0928" w:rsidRDefault="009F0928">
            <w:pPr>
              <w:rPr>
                <w:rFonts w:ascii="Times New Roman" w:hAnsi="Times New Roman"/>
                <w:sz w:val="20"/>
                <w:szCs w:val="20"/>
              </w:rPr>
            </w:pPr>
          </w:p>
        </w:tc>
        <w:tc>
          <w:tcPr>
            <w:tcW w:w="50" w:type="pct"/>
            <w:shd w:val="clear" w:color="auto" w:fill="auto"/>
            <w:vAlign w:val="center"/>
          </w:tcPr>
          <w:p w14:paraId="0BC98C19" w14:textId="77777777" w:rsidR="009F0928" w:rsidRDefault="009F0928">
            <w:pPr>
              <w:rPr>
                <w:rFonts w:ascii="Times New Roman" w:hAnsi="Times New Roman"/>
                <w:sz w:val="20"/>
                <w:szCs w:val="20"/>
              </w:rPr>
            </w:pPr>
          </w:p>
        </w:tc>
        <w:tc>
          <w:tcPr>
            <w:tcW w:w="550" w:type="pct"/>
            <w:shd w:val="clear" w:color="auto" w:fill="auto"/>
            <w:vAlign w:val="center"/>
          </w:tcPr>
          <w:p w14:paraId="0BC98C1A" w14:textId="77777777" w:rsidR="009F0928" w:rsidRDefault="009F0928">
            <w:pPr>
              <w:rPr>
                <w:rFonts w:ascii="Times New Roman" w:hAnsi="Times New Roman"/>
                <w:sz w:val="20"/>
                <w:szCs w:val="20"/>
              </w:rPr>
            </w:pPr>
          </w:p>
        </w:tc>
        <w:tc>
          <w:tcPr>
            <w:tcW w:w="50" w:type="pct"/>
            <w:shd w:val="clear" w:color="auto" w:fill="auto"/>
            <w:vAlign w:val="center"/>
          </w:tcPr>
          <w:p w14:paraId="0BC98C1B" w14:textId="77777777" w:rsidR="009F0928" w:rsidRDefault="009F0928">
            <w:pPr>
              <w:rPr>
                <w:rFonts w:ascii="Times New Roman" w:hAnsi="Times New Roman"/>
                <w:sz w:val="20"/>
                <w:szCs w:val="20"/>
              </w:rPr>
            </w:pPr>
          </w:p>
        </w:tc>
        <w:tc>
          <w:tcPr>
            <w:tcW w:w="50" w:type="pct"/>
            <w:shd w:val="clear" w:color="auto" w:fill="auto"/>
            <w:vAlign w:val="center"/>
          </w:tcPr>
          <w:p w14:paraId="0BC98C1C" w14:textId="77777777" w:rsidR="009F0928" w:rsidRDefault="009F0928">
            <w:pPr>
              <w:rPr>
                <w:rFonts w:ascii="Times New Roman" w:hAnsi="Times New Roman"/>
                <w:sz w:val="20"/>
                <w:szCs w:val="20"/>
              </w:rPr>
            </w:pPr>
          </w:p>
        </w:tc>
        <w:tc>
          <w:tcPr>
            <w:tcW w:w="50" w:type="pct"/>
            <w:shd w:val="clear" w:color="auto" w:fill="auto"/>
            <w:vAlign w:val="center"/>
          </w:tcPr>
          <w:p w14:paraId="0BC98C1D" w14:textId="77777777" w:rsidR="009F0928" w:rsidRDefault="009F0928">
            <w:pPr>
              <w:rPr>
                <w:rFonts w:ascii="Times New Roman" w:hAnsi="Times New Roman"/>
                <w:sz w:val="20"/>
                <w:szCs w:val="20"/>
              </w:rPr>
            </w:pPr>
          </w:p>
        </w:tc>
        <w:tc>
          <w:tcPr>
            <w:tcW w:w="550" w:type="pct"/>
            <w:shd w:val="clear" w:color="auto" w:fill="auto"/>
            <w:vAlign w:val="center"/>
          </w:tcPr>
          <w:p w14:paraId="0BC98C1E" w14:textId="77777777" w:rsidR="009F0928" w:rsidRDefault="009F0928">
            <w:pPr>
              <w:rPr>
                <w:rFonts w:ascii="Times New Roman" w:hAnsi="Times New Roman"/>
                <w:sz w:val="20"/>
                <w:szCs w:val="20"/>
              </w:rPr>
            </w:pPr>
          </w:p>
        </w:tc>
        <w:tc>
          <w:tcPr>
            <w:tcW w:w="50" w:type="pct"/>
            <w:shd w:val="clear" w:color="auto" w:fill="auto"/>
            <w:vAlign w:val="center"/>
          </w:tcPr>
          <w:p w14:paraId="0BC98C1F" w14:textId="77777777" w:rsidR="009F0928" w:rsidRDefault="009F0928">
            <w:pPr>
              <w:rPr>
                <w:rFonts w:ascii="Times New Roman" w:hAnsi="Times New Roman"/>
                <w:sz w:val="20"/>
                <w:szCs w:val="20"/>
              </w:rPr>
            </w:pPr>
          </w:p>
        </w:tc>
        <w:tc>
          <w:tcPr>
            <w:tcW w:w="50" w:type="pct"/>
            <w:shd w:val="clear" w:color="auto" w:fill="auto"/>
            <w:vAlign w:val="center"/>
          </w:tcPr>
          <w:p w14:paraId="0BC98C20" w14:textId="77777777" w:rsidR="009F0928" w:rsidRDefault="009F0928">
            <w:pPr>
              <w:rPr>
                <w:rFonts w:ascii="Times New Roman" w:hAnsi="Times New Roman"/>
                <w:sz w:val="20"/>
                <w:szCs w:val="20"/>
              </w:rPr>
            </w:pPr>
          </w:p>
        </w:tc>
        <w:tc>
          <w:tcPr>
            <w:tcW w:w="50" w:type="pct"/>
            <w:shd w:val="clear" w:color="auto" w:fill="auto"/>
            <w:vAlign w:val="center"/>
          </w:tcPr>
          <w:p w14:paraId="0BC98C21" w14:textId="77777777" w:rsidR="009F0928" w:rsidRDefault="009F0928">
            <w:pPr>
              <w:rPr>
                <w:rFonts w:ascii="Times New Roman" w:hAnsi="Times New Roman"/>
                <w:sz w:val="20"/>
                <w:szCs w:val="20"/>
              </w:rPr>
            </w:pPr>
          </w:p>
        </w:tc>
        <w:tc>
          <w:tcPr>
            <w:tcW w:w="550" w:type="pct"/>
            <w:shd w:val="clear" w:color="auto" w:fill="auto"/>
            <w:vAlign w:val="center"/>
          </w:tcPr>
          <w:p w14:paraId="0BC98C22" w14:textId="77777777" w:rsidR="009F0928" w:rsidRDefault="009F0928">
            <w:pPr>
              <w:rPr>
                <w:rFonts w:ascii="Times New Roman" w:hAnsi="Times New Roman"/>
                <w:sz w:val="20"/>
                <w:szCs w:val="20"/>
              </w:rPr>
            </w:pPr>
          </w:p>
        </w:tc>
        <w:tc>
          <w:tcPr>
            <w:tcW w:w="50" w:type="pct"/>
            <w:shd w:val="clear" w:color="auto" w:fill="auto"/>
            <w:vAlign w:val="center"/>
          </w:tcPr>
          <w:p w14:paraId="0BC98C23" w14:textId="77777777" w:rsidR="009F0928" w:rsidRDefault="009F0928">
            <w:pPr>
              <w:rPr>
                <w:rFonts w:ascii="Times New Roman" w:hAnsi="Times New Roman"/>
                <w:sz w:val="20"/>
                <w:szCs w:val="20"/>
              </w:rPr>
            </w:pPr>
          </w:p>
        </w:tc>
      </w:tr>
      <w:tr w:rsidR="009F0928" w14:paraId="0BC98C27" w14:textId="77777777">
        <w:tc>
          <w:tcPr>
            <w:tcW w:w="0" w:type="auto"/>
            <w:shd w:val="clear" w:color="auto" w:fill="auto"/>
            <w:tcMar>
              <w:top w:w="40" w:type="dxa"/>
              <w:left w:w="40" w:type="dxa"/>
              <w:bottom w:w="40" w:type="dxa"/>
              <w:right w:w="40" w:type="dxa"/>
            </w:tcMar>
            <w:vAlign w:val="bottom"/>
          </w:tcPr>
          <w:p w14:paraId="0BC98C25"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8C2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w:t>
            </w:r>
          </w:p>
        </w:tc>
      </w:tr>
      <w:tr w:rsidR="009F0928" w14:paraId="0BC98C2E" w14:textId="77777777">
        <w:tc>
          <w:tcPr>
            <w:tcW w:w="0" w:type="auto"/>
            <w:shd w:val="clear" w:color="auto" w:fill="auto"/>
            <w:tcMar>
              <w:top w:w="40" w:type="dxa"/>
              <w:left w:w="40" w:type="dxa"/>
              <w:bottom w:w="40" w:type="dxa"/>
              <w:right w:w="40" w:type="dxa"/>
            </w:tcMar>
            <w:vAlign w:val="bottom"/>
          </w:tcPr>
          <w:p w14:paraId="0BC98C28"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C29"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8C2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C2B"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0BC98C2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C2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2017</w:t>
            </w:r>
          </w:p>
        </w:tc>
      </w:tr>
      <w:tr w:rsidR="009F0928" w14:paraId="0BC98C31" w14:textId="77777777">
        <w:tc>
          <w:tcPr>
            <w:tcW w:w="0" w:type="auto"/>
            <w:shd w:val="clear" w:color="auto" w:fill="auto"/>
            <w:tcMar>
              <w:top w:w="40" w:type="dxa"/>
              <w:left w:w="40" w:type="dxa"/>
              <w:bottom w:w="40" w:type="dxa"/>
              <w:right w:w="40" w:type="dxa"/>
            </w:tcMar>
            <w:vAlign w:val="bottom"/>
          </w:tcPr>
          <w:p w14:paraId="0BC98C2F"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 </w:t>
            </w:r>
          </w:p>
        </w:tc>
        <w:tc>
          <w:tcPr>
            <w:tcW w:w="0" w:type="auto"/>
            <w:gridSpan w:val="11"/>
            <w:shd w:val="clear" w:color="auto" w:fill="auto"/>
            <w:tcMar>
              <w:top w:w="40" w:type="dxa"/>
              <w:left w:w="40" w:type="dxa"/>
              <w:bottom w:w="40" w:type="dxa"/>
            </w:tcMar>
            <w:vAlign w:val="bottom"/>
          </w:tcPr>
          <w:p w14:paraId="0BC98C3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(In millions, except per share amounts)</w:t>
            </w:r>
          </w:p>
        </w:tc>
      </w:tr>
      <w:tr w:rsidR="009F0928" w14:paraId="0BC98C3E" w14:textId="77777777">
        <w:tc>
          <w:tcPr>
            <w:tcW w:w="0" w:type="auto"/>
            <w:shd w:val="clear" w:color="auto" w:fill="E2E2E2"/>
            <w:tcMar>
              <w:top w:w="40" w:type="dxa"/>
              <w:left w:w="40" w:type="dxa"/>
              <w:bottom w:w="40" w:type="dxa"/>
              <w:right w:w="40" w:type="dxa"/>
            </w:tcMar>
            <w:vAlign w:val="bottom"/>
          </w:tcPr>
          <w:p w14:paraId="0BC98C32" w14:textId="77777777" w:rsidR="009F0928" w:rsidRDefault="002112BD">
            <w:pPr>
              <w:textAlignment w:val="bottom"/>
              <w:rPr>
                <w:rFonts w:ascii="Times New Roman" w:hAnsi="Times New Roman"/>
                <w:sz w:val="20"/>
                <w:szCs w:val="20"/>
              </w:rPr>
            </w:pPr>
            <w:r>
              <w:rPr>
                <w:rFonts w:ascii="Arial" w:eastAsia="宋体" w:hAnsi="Arial" w:cs="Arial"/>
                <w:sz w:val="20"/>
                <w:szCs w:val="20"/>
              </w:rPr>
              <w:t>Net revenues</w:t>
            </w:r>
          </w:p>
        </w:tc>
        <w:tc>
          <w:tcPr>
            <w:tcW w:w="0" w:type="auto"/>
            <w:shd w:val="clear" w:color="auto" w:fill="E2E2E2"/>
            <w:tcMar>
              <w:top w:w="40" w:type="dxa"/>
              <w:left w:w="40" w:type="dxa"/>
              <w:bottom w:w="40" w:type="dxa"/>
            </w:tcMar>
            <w:vAlign w:val="bottom"/>
          </w:tcPr>
          <w:p w14:paraId="0BC98C33"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8C3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10,800</w:t>
            </w:r>
          </w:p>
        </w:tc>
        <w:tc>
          <w:tcPr>
            <w:tcW w:w="0" w:type="auto"/>
            <w:shd w:val="clear" w:color="auto" w:fill="E2E2E2"/>
            <w:vAlign w:val="bottom"/>
          </w:tcPr>
          <w:p w14:paraId="0BC98C3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C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C37"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8C38"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10,746</w:t>
            </w:r>
          </w:p>
        </w:tc>
        <w:tc>
          <w:tcPr>
            <w:tcW w:w="0" w:type="auto"/>
            <w:shd w:val="clear" w:color="auto" w:fill="E2E2E2"/>
            <w:vAlign w:val="bottom"/>
          </w:tcPr>
          <w:p w14:paraId="0BC98C3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C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C3B"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8C3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9,927</w:t>
            </w:r>
          </w:p>
        </w:tc>
        <w:tc>
          <w:tcPr>
            <w:tcW w:w="0" w:type="auto"/>
            <w:shd w:val="clear" w:color="auto" w:fill="E2E2E2"/>
            <w:vAlign w:val="bottom"/>
          </w:tcPr>
          <w:p w14:paraId="0BC98C3D" w14:textId="77777777" w:rsidR="009F0928" w:rsidRDefault="009F0928">
            <w:pPr>
              <w:textAlignment w:val="bottom"/>
              <w:rPr>
                <w:rFonts w:ascii="Times New Roman" w:hAnsi="Times New Roman"/>
                <w:sz w:val="20"/>
                <w:szCs w:val="20"/>
              </w:rPr>
            </w:pPr>
          </w:p>
        </w:tc>
      </w:tr>
      <w:tr w:rsidR="009F0928" w14:paraId="0BC98C48" w14:textId="77777777">
        <w:tc>
          <w:tcPr>
            <w:tcW w:w="0" w:type="auto"/>
            <w:shd w:val="clear" w:color="auto" w:fill="auto"/>
            <w:tcMar>
              <w:top w:w="40" w:type="dxa"/>
              <w:left w:w="40" w:type="dxa"/>
              <w:bottom w:w="40" w:type="dxa"/>
              <w:right w:w="40" w:type="dxa"/>
            </w:tcMar>
            <w:vAlign w:val="bottom"/>
          </w:tcPr>
          <w:p w14:paraId="0BC98C3F" w14:textId="77777777" w:rsidR="009F0928" w:rsidRDefault="002112BD">
            <w:pPr>
              <w:textAlignment w:val="bottom"/>
              <w:rPr>
                <w:rFonts w:ascii="Times New Roman" w:hAnsi="Times New Roman"/>
                <w:sz w:val="20"/>
                <w:szCs w:val="20"/>
              </w:rPr>
            </w:pPr>
            <w:r>
              <w:rPr>
                <w:rFonts w:ascii="Arial" w:eastAsia="宋体" w:hAnsi="Arial" w:cs="Arial"/>
                <w:sz w:val="20"/>
                <w:szCs w:val="20"/>
              </w:rPr>
              <w:t>Cost of net revenues</w:t>
            </w:r>
          </w:p>
        </w:tc>
        <w:tc>
          <w:tcPr>
            <w:tcW w:w="0" w:type="auto"/>
            <w:gridSpan w:val="2"/>
            <w:tcBorders>
              <w:bottom w:val="single" w:sz="8" w:space="0" w:color="000000"/>
            </w:tcBorders>
            <w:shd w:val="clear" w:color="auto" w:fill="auto"/>
            <w:tcMar>
              <w:top w:w="40" w:type="dxa"/>
              <w:left w:w="40" w:type="dxa"/>
              <w:bottom w:w="40" w:type="dxa"/>
            </w:tcMar>
            <w:vAlign w:val="bottom"/>
          </w:tcPr>
          <w:p w14:paraId="0BC98C4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2,508</w:t>
            </w:r>
          </w:p>
        </w:tc>
        <w:tc>
          <w:tcPr>
            <w:tcW w:w="0" w:type="auto"/>
            <w:tcBorders>
              <w:bottom w:val="single" w:sz="8" w:space="0" w:color="000000"/>
            </w:tcBorders>
            <w:shd w:val="clear" w:color="auto" w:fill="auto"/>
            <w:vAlign w:val="bottom"/>
          </w:tcPr>
          <w:p w14:paraId="0BC98C4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C4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C43"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2,382</w:t>
            </w:r>
          </w:p>
        </w:tc>
        <w:tc>
          <w:tcPr>
            <w:tcW w:w="0" w:type="auto"/>
            <w:shd w:val="clear" w:color="auto" w:fill="auto"/>
            <w:vAlign w:val="bottom"/>
          </w:tcPr>
          <w:p w14:paraId="0BC98C4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C4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C46"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2,221</w:t>
            </w:r>
          </w:p>
        </w:tc>
        <w:tc>
          <w:tcPr>
            <w:tcW w:w="0" w:type="auto"/>
            <w:tcBorders>
              <w:bottom w:val="single" w:sz="8" w:space="0" w:color="000000"/>
            </w:tcBorders>
            <w:shd w:val="clear" w:color="auto" w:fill="auto"/>
            <w:vAlign w:val="bottom"/>
          </w:tcPr>
          <w:p w14:paraId="0BC98C47" w14:textId="77777777" w:rsidR="009F0928" w:rsidRDefault="009F0928">
            <w:pPr>
              <w:textAlignment w:val="bottom"/>
              <w:rPr>
                <w:rFonts w:ascii="Times New Roman" w:hAnsi="Times New Roman"/>
                <w:sz w:val="20"/>
                <w:szCs w:val="20"/>
              </w:rPr>
            </w:pPr>
          </w:p>
        </w:tc>
      </w:tr>
      <w:tr w:rsidR="009F0928" w14:paraId="0BC98C52" w14:textId="77777777">
        <w:tc>
          <w:tcPr>
            <w:tcW w:w="0" w:type="auto"/>
            <w:shd w:val="clear" w:color="auto" w:fill="E2E2E2"/>
            <w:tcMar>
              <w:top w:w="40" w:type="dxa"/>
              <w:left w:w="1200" w:type="dxa"/>
              <w:bottom w:w="40" w:type="dxa"/>
              <w:right w:w="40" w:type="dxa"/>
            </w:tcMar>
            <w:vAlign w:val="bottom"/>
          </w:tcPr>
          <w:p w14:paraId="0BC98C49" w14:textId="77777777" w:rsidR="009F0928" w:rsidRDefault="002112BD">
            <w:pPr>
              <w:textAlignment w:val="bottom"/>
              <w:rPr>
                <w:rFonts w:ascii="Times New Roman" w:hAnsi="Times New Roman"/>
                <w:sz w:val="20"/>
                <w:szCs w:val="20"/>
              </w:rPr>
            </w:pPr>
            <w:r>
              <w:rPr>
                <w:rFonts w:ascii="Arial" w:eastAsia="宋体" w:hAnsi="Arial" w:cs="Arial"/>
                <w:sz w:val="20"/>
                <w:szCs w:val="20"/>
              </w:rPr>
              <w:t>Gross profit</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8C4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8,292</w:t>
            </w:r>
          </w:p>
        </w:tc>
        <w:tc>
          <w:tcPr>
            <w:tcW w:w="0" w:type="auto"/>
            <w:tcBorders>
              <w:top w:val="single" w:sz="8" w:space="0" w:color="000000"/>
              <w:bottom w:val="single" w:sz="8" w:space="0" w:color="000000"/>
            </w:tcBorders>
            <w:shd w:val="clear" w:color="auto" w:fill="E2E2E2"/>
            <w:vAlign w:val="bottom"/>
          </w:tcPr>
          <w:p w14:paraId="0BC98C4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C4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8C4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8,364</w:t>
            </w:r>
          </w:p>
        </w:tc>
        <w:tc>
          <w:tcPr>
            <w:tcW w:w="0" w:type="auto"/>
            <w:tcBorders>
              <w:top w:val="single" w:sz="8" w:space="0" w:color="000000"/>
              <w:bottom w:val="single" w:sz="8" w:space="0" w:color="000000"/>
            </w:tcBorders>
            <w:shd w:val="clear" w:color="auto" w:fill="E2E2E2"/>
            <w:vAlign w:val="bottom"/>
          </w:tcPr>
          <w:p w14:paraId="0BC98C4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C4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8C5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7,706</w:t>
            </w:r>
          </w:p>
        </w:tc>
        <w:tc>
          <w:tcPr>
            <w:tcW w:w="0" w:type="auto"/>
            <w:tcBorders>
              <w:top w:val="single" w:sz="8" w:space="0" w:color="000000"/>
              <w:bottom w:val="single" w:sz="8" w:space="0" w:color="000000"/>
            </w:tcBorders>
            <w:shd w:val="clear" w:color="auto" w:fill="E2E2E2"/>
            <w:vAlign w:val="bottom"/>
          </w:tcPr>
          <w:p w14:paraId="0BC98C51" w14:textId="77777777" w:rsidR="009F0928" w:rsidRDefault="009F0928">
            <w:pPr>
              <w:textAlignment w:val="bottom"/>
              <w:rPr>
                <w:rFonts w:ascii="Times New Roman" w:hAnsi="Times New Roman"/>
                <w:sz w:val="20"/>
                <w:szCs w:val="20"/>
              </w:rPr>
            </w:pPr>
          </w:p>
        </w:tc>
      </w:tr>
      <w:tr w:rsidR="009F0928" w14:paraId="0BC98C5A" w14:textId="77777777">
        <w:tc>
          <w:tcPr>
            <w:tcW w:w="0" w:type="auto"/>
            <w:shd w:val="clear" w:color="auto" w:fill="auto"/>
            <w:tcMar>
              <w:top w:w="40" w:type="dxa"/>
              <w:left w:w="40" w:type="dxa"/>
              <w:bottom w:w="40" w:type="dxa"/>
              <w:right w:w="40" w:type="dxa"/>
            </w:tcMar>
            <w:vAlign w:val="bottom"/>
          </w:tcPr>
          <w:p w14:paraId="0BC98C53" w14:textId="77777777" w:rsidR="009F0928" w:rsidRDefault="002112BD">
            <w:pPr>
              <w:textAlignment w:val="bottom"/>
              <w:rPr>
                <w:rFonts w:ascii="Times New Roman" w:hAnsi="Times New Roman"/>
                <w:sz w:val="20"/>
                <w:szCs w:val="20"/>
              </w:rPr>
            </w:pPr>
            <w:r>
              <w:rPr>
                <w:rFonts w:ascii="Arial" w:eastAsia="宋体" w:hAnsi="Arial" w:cs="Arial"/>
                <w:sz w:val="20"/>
                <w:szCs w:val="20"/>
              </w:rPr>
              <w:t>Operating expenses:</w:t>
            </w:r>
          </w:p>
        </w:tc>
        <w:tc>
          <w:tcPr>
            <w:tcW w:w="0" w:type="auto"/>
            <w:gridSpan w:val="3"/>
            <w:shd w:val="clear" w:color="auto" w:fill="auto"/>
            <w:tcMar>
              <w:top w:w="40" w:type="dxa"/>
              <w:left w:w="40" w:type="dxa"/>
              <w:bottom w:w="40" w:type="dxa"/>
              <w:right w:w="40" w:type="dxa"/>
            </w:tcMar>
            <w:vAlign w:val="bottom"/>
          </w:tcPr>
          <w:p w14:paraId="0BC98C5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C5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C56" w14:textId="77777777" w:rsidR="009F0928" w:rsidRDefault="002112BD">
            <w:pPr>
              <w:jc w:val="right"/>
              <w:textAlignment w:val="bottom"/>
              <w:rPr>
                <w:rFonts w:ascii="Times New Roman" w:hAnsi="Times New Roman"/>
                <w:sz w:val="8"/>
                <w:szCs w:val="8"/>
              </w:rPr>
            </w:pPr>
            <w:r>
              <w:rPr>
                <w:rFonts w:ascii="Arial" w:eastAsia="宋体" w:hAnsi="Arial" w:cs="Arial"/>
                <w:sz w:val="8"/>
                <w:szCs w:val="8"/>
              </w:rPr>
              <w:t> </w:t>
            </w:r>
          </w:p>
        </w:tc>
        <w:tc>
          <w:tcPr>
            <w:tcW w:w="0" w:type="auto"/>
            <w:shd w:val="clear" w:color="auto" w:fill="auto"/>
            <w:vAlign w:val="bottom"/>
          </w:tcPr>
          <w:p w14:paraId="0BC98C5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C5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C5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C64" w14:textId="77777777">
        <w:tc>
          <w:tcPr>
            <w:tcW w:w="0" w:type="auto"/>
            <w:shd w:val="clear" w:color="auto" w:fill="E2E2E2"/>
            <w:tcMar>
              <w:top w:w="40" w:type="dxa"/>
              <w:left w:w="720" w:type="dxa"/>
              <w:bottom w:w="40" w:type="dxa"/>
              <w:right w:w="40" w:type="dxa"/>
            </w:tcMar>
            <w:vAlign w:val="bottom"/>
          </w:tcPr>
          <w:p w14:paraId="0BC98C5B" w14:textId="77777777" w:rsidR="009F0928" w:rsidRDefault="002112BD">
            <w:pPr>
              <w:textAlignment w:val="bottom"/>
              <w:rPr>
                <w:rFonts w:ascii="Times New Roman" w:hAnsi="Times New Roman"/>
                <w:sz w:val="20"/>
                <w:szCs w:val="20"/>
              </w:rPr>
            </w:pPr>
            <w:r>
              <w:rPr>
                <w:rFonts w:ascii="Arial" w:eastAsia="宋体" w:hAnsi="Arial" w:cs="Arial"/>
                <w:sz w:val="20"/>
                <w:szCs w:val="20"/>
              </w:rPr>
              <w:t>Sales and marketing</w:t>
            </w:r>
          </w:p>
        </w:tc>
        <w:tc>
          <w:tcPr>
            <w:tcW w:w="0" w:type="auto"/>
            <w:gridSpan w:val="2"/>
            <w:shd w:val="clear" w:color="auto" w:fill="E2E2E2"/>
            <w:tcMar>
              <w:top w:w="40" w:type="dxa"/>
              <w:left w:w="40" w:type="dxa"/>
              <w:bottom w:w="40" w:type="dxa"/>
            </w:tcMar>
            <w:vAlign w:val="bottom"/>
          </w:tcPr>
          <w:p w14:paraId="0BC98C5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3,194</w:t>
            </w:r>
          </w:p>
        </w:tc>
        <w:tc>
          <w:tcPr>
            <w:tcW w:w="0" w:type="auto"/>
            <w:shd w:val="clear" w:color="auto" w:fill="E2E2E2"/>
            <w:vAlign w:val="bottom"/>
          </w:tcPr>
          <w:p w14:paraId="0BC98C5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C5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C5F"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3,391</w:t>
            </w:r>
          </w:p>
        </w:tc>
        <w:tc>
          <w:tcPr>
            <w:tcW w:w="0" w:type="auto"/>
            <w:shd w:val="clear" w:color="auto" w:fill="E2E2E2"/>
            <w:vAlign w:val="bottom"/>
          </w:tcPr>
          <w:p w14:paraId="0BC98C6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C6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C62"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2,878</w:t>
            </w:r>
          </w:p>
        </w:tc>
        <w:tc>
          <w:tcPr>
            <w:tcW w:w="0" w:type="auto"/>
            <w:shd w:val="clear" w:color="auto" w:fill="E2E2E2"/>
            <w:vAlign w:val="bottom"/>
          </w:tcPr>
          <w:p w14:paraId="0BC98C63" w14:textId="77777777" w:rsidR="009F0928" w:rsidRDefault="009F0928">
            <w:pPr>
              <w:textAlignment w:val="bottom"/>
              <w:rPr>
                <w:rFonts w:ascii="Times New Roman" w:hAnsi="Times New Roman"/>
                <w:sz w:val="20"/>
                <w:szCs w:val="20"/>
              </w:rPr>
            </w:pPr>
          </w:p>
        </w:tc>
      </w:tr>
      <w:tr w:rsidR="009F0928" w14:paraId="0BC98C6E" w14:textId="77777777">
        <w:tc>
          <w:tcPr>
            <w:tcW w:w="0" w:type="auto"/>
            <w:shd w:val="clear" w:color="auto" w:fill="auto"/>
            <w:tcMar>
              <w:top w:w="40" w:type="dxa"/>
              <w:left w:w="720" w:type="dxa"/>
              <w:bottom w:w="40" w:type="dxa"/>
              <w:right w:w="40" w:type="dxa"/>
            </w:tcMar>
            <w:vAlign w:val="bottom"/>
          </w:tcPr>
          <w:p w14:paraId="0BC98C65" w14:textId="77777777" w:rsidR="009F0928" w:rsidRDefault="002112BD">
            <w:pPr>
              <w:textAlignment w:val="bottom"/>
              <w:rPr>
                <w:rFonts w:ascii="Times New Roman" w:hAnsi="Times New Roman"/>
                <w:sz w:val="20"/>
                <w:szCs w:val="20"/>
              </w:rPr>
            </w:pPr>
            <w:r>
              <w:rPr>
                <w:rFonts w:ascii="Arial" w:eastAsia="宋体" w:hAnsi="Arial" w:cs="Arial"/>
                <w:sz w:val="20"/>
                <w:szCs w:val="20"/>
              </w:rPr>
              <w:t>Product development</w:t>
            </w:r>
          </w:p>
        </w:tc>
        <w:tc>
          <w:tcPr>
            <w:tcW w:w="0" w:type="auto"/>
            <w:gridSpan w:val="2"/>
            <w:shd w:val="clear" w:color="auto" w:fill="auto"/>
            <w:tcMar>
              <w:top w:w="40" w:type="dxa"/>
              <w:left w:w="40" w:type="dxa"/>
              <w:bottom w:w="40" w:type="dxa"/>
            </w:tcMar>
            <w:vAlign w:val="bottom"/>
          </w:tcPr>
          <w:p w14:paraId="0BC98C66"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1,240</w:t>
            </w:r>
          </w:p>
        </w:tc>
        <w:tc>
          <w:tcPr>
            <w:tcW w:w="0" w:type="auto"/>
            <w:shd w:val="clear" w:color="auto" w:fill="auto"/>
            <w:vAlign w:val="bottom"/>
          </w:tcPr>
          <w:p w14:paraId="0BC98C6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C6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C6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1,285</w:t>
            </w:r>
          </w:p>
        </w:tc>
        <w:tc>
          <w:tcPr>
            <w:tcW w:w="0" w:type="auto"/>
            <w:shd w:val="clear" w:color="auto" w:fill="auto"/>
            <w:vAlign w:val="bottom"/>
          </w:tcPr>
          <w:p w14:paraId="0BC98C6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C6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C6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1,224</w:t>
            </w:r>
          </w:p>
        </w:tc>
        <w:tc>
          <w:tcPr>
            <w:tcW w:w="0" w:type="auto"/>
            <w:shd w:val="clear" w:color="auto" w:fill="auto"/>
            <w:vAlign w:val="bottom"/>
          </w:tcPr>
          <w:p w14:paraId="0BC98C6D" w14:textId="77777777" w:rsidR="009F0928" w:rsidRDefault="009F0928">
            <w:pPr>
              <w:textAlignment w:val="bottom"/>
              <w:rPr>
                <w:rFonts w:ascii="Times New Roman" w:hAnsi="Times New Roman"/>
                <w:sz w:val="20"/>
                <w:szCs w:val="20"/>
              </w:rPr>
            </w:pPr>
          </w:p>
        </w:tc>
      </w:tr>
      <w:tr w:rsidR="009F0928" w14:paraId="0BC98C78" w14:textId="77777777">
        <w:tc>
          <w:tcPr>
            <w:tcW w:w="0" w:type="auto"/>
            <w:shd w:val="clear" w:color="auto" w:fill="E2E2E2"/>
            <w:tcMar>
              <w:top w:w="40" w:type="dxa"/>
              <w:left w:w="720" w:type="dxa"/>
              <w:bottom w:w="40" w:type="dxa"/>
              <w:right w:w="40" w:type="dxa"/>
            </w:tcMar>
            <w:vAlign w:val="bottom"/>
          </w:tcPr>
          <w:p w14:paraId="0BC98C6F" w14:textId="77777777" w:rsidR="009F0928" w:rsidRDefault="002112BD">
            <w:pPr>
              <w:textAlignment w:val="bottom"/>
              <w:rPr>
                <w:rFonts w:ascii="Times New Roman" w:hAnsi="Times New Roman"/>
                <w:sz w:val="20"/>
                <w:szCs w:val="20"/>
              </w:rPr>
            </w:pPr>
            <w:r>
              <w:rPr>
                <w:rFonts w:ascii="Arial" w:eastAsia="宋体" w:hAnsi="Arial" w:cs="Arial"/>
                <w:sz w:val="20"/>
                <w:szCs w:val="20"/>
              </w:rPr>
              <w:t>General and administrative</w:t>
            </w:r>
          </w:p>
        </w:tc>
        <w:tc>
          <w:tcPr>
            <w:tcW w:w="0" w:type="auto"/>
            <w:gridSpan w:val="2"/>
            <w:shd w:val="clear" w:color="auto" w:fill="E2E2E2"/>
            <w:tcMar>
              <w:top w:w="40" w:type="dxa"/>
              <w:left w:w="40" w:type="dxa"/>
              <w:bottom w:w="40" w:type="dxa"/>
            </w:tcMar>
            <w:vAlign w:val="bottom"/>
          </w:tcPr>
          <w:p w14:paraId="0BC98C7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1,189</w:t>
            </w:r>
          </w:p>
        </w:tc>
        <w:tc>
          <w:tcPr>
            <w:tcW w:w="0" w:type="auto"/>
            <w:shd w:val="clear" w:color="auto" w:fill="E2E2E2"/>
            <w:vAlign w:val="bottom"/>
          </w:tcPr>
          <w:p w14:paraId="0BC98C7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C7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C73"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1,131</w:t>
            </w:r>
          </w:p>
        </w:tc>
        <w:tc>
          <w:tcPr>
            <w:tcW w:w="0" w:type="auto"/>
            <w:shd w:val="clear" w:color="auto" w:fill="E2E2E2"/>
            <w:vAlign w:val="bottom"/>
          </w:tcPr>
          <w:p w14:paraId="0BC98C7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C7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C76"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1,030</w:t>
            </w:r>
          </w:p>
        </w:tc>
        <w:tc>
          <w:tcPr>
            <w:tcW w:w="0" w:type="auto"/>
            <w:shd w:val="clear" w:color="auto" w:fill="E2E2E2"/>
            <w:vAlign w:val="bottom"/>
          </w:tcPr>
          <w:p w14:paraId="0BC98C77" w14:textId="77777777" w:rsidR="009F0928" w:rsidRDefault="009F0928">
            <w:pPr>
              <w:textAlignment w:val="bottom"/>
              <w:rPr>
                <w:rFonts w:ascii="Times New Roman" w:hAnsi="Times New Roman"/>
                <w:sz w:val="20"/>
                <w:szCs w:val="20"/>
              </w:rPr>
            </w:pPr>
          </w:p>
        </w:tc>
      </w:tr>
      <w:tr w:rsidR="009F0928" w14:paraId="0BC98C82" w14:textId="77777777">
        <w:tc>
          <w:tcPr>
            <w:tcW w:w="0" w:type="auto"/>
            <w:shd w:val="clear" w:color="auto" w:fill="auto"/>
            <w:tcMar>
              <w:top w:w="40" w:type="dxa"/>
              <w:left w:w="720" w:type="dxa"/>
              <w:bottom w:w="40" w:type="dxa"/>
              <w:right w:w="40" w:type="dxa"/>
            </w:tcMar>
            <w:vAlign w:val="bottom"/>
          </w:tcPr>
          <w:p w14:paraId="0BC98C79" w14:textId="77777777" w:rsidR="009F0928" w:rsidRDefault="002112BD">
            <w:pPr>
              <w:textAlignment w:val="bottom"/>
              <w:rPr>
                <w:rFonts w:ascii="Times New Roman" w:hAnsi="Times New Roman"/>
                <w:sz w:val="20"/>
                <w:szCs w:val="20"/>
              </w:rPr>
            </w:pPr>
            <w:r>
              <w:rPr>
                <w:rFonts w:ascii="Arial" w:eastAsia="宋体" w:hAnsi="Arial" w:cs="Arial"/>
                <w:sz w:val="20"/>
                <w:szCs w:val="20"/>
              </w:rPr>
              <w:t>Provision for transaction losses</w:t>
            </w:r>
          </w:p>
        </w:tc>
        <w:tc>
          <w:tcPr>
            <w:tcW w:w="0" w:type="auto"/>
            <w:gridSpan w:val="2"/>
            <w:shd w:val="clear" w:color="auto" w:fill="auto"/>
            <w:tcMar>
              <w:top w:w="40" w:type="dxa"/>
              <w:left w:w="40" w:type="dxa"/>
              <w:bottom w:w="40" w:type="dxa"/>
            </w:tcMar>
            <w:vAlign w:val="bottom"/>
          </w:tcPr>
          <w:p w14:paraId="0BC98C7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300</w:t>
            </w:r>
          </w:p>
        </w:tc>
        <w:tc>
          <w:tcPr>
            <w:tcW w:w="0" w:type="auto"/>
            <w:shd w:val="clear" w:color="auto" w:fill="auto"/>
            <w:vAlign w:val="bottom"/>
          </w:tcPr>
          <w:p w14:paraId="0BC98C7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C7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C7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286</w:t>
            </w:r>
          </w:p>
        </w:tc>
        <w:tc>
          <w:tcPr>
            <w:tcW w:w="0" w:type="auto"/>
            <w:shd w:val="clear" w:color="auto" w:fill="auto"/>
            <w:vAlign w:val="bottom"/>
          </w:tcPr>
          <w:p w14:paraId="0BC98C7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C7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C8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272</w:t>
            </w:r>
          </w:p>
        </w:tc>
        <w:tc>
          <w:tcPr>
            <w:tcW w:w="0" w:type="auto"/>
            <w:shd w:val="clear" w:color="auto" w:fill="auto"/>
            <w:vAlign w:val="bottom"/>
          </w:tcPr>
          <w:p w14:paraId="0BC98C81" w14:textId="77777777" w:rsidR="009F0928" w:rsidRDefault="009F0928">
            <w:pPr>
              <w:textAlignment w:val="bottom"/>
              <w:rPr>
                <w:rFonts w:ascii="Times New Roman" w:hAnsi="Times New Roman"/>
                <w:sz w:val="20"/>
                <w:szCs w:val="20"/>
              </w:rPr>
            </w:pPr>
          </w:p>
        </w:tc>
      </w:tr>
      <w:tr w:rsidR="009F0928" w14:paraId="0BC98C8C" w14:textId="77777777">
        <w:tc>
          <w:tcPr>
            <w:tcW w:w="0" w:type="auto"/>
            <w:shd w:val="clear" w:color="auto" w:fill="E2E2E2"/>
            <w:tcMar>
              <w:top w:w="40" w:type="dxa"/>
              <w:left w:w="720" w:type="dxa"/>
              <w:bottom w:w="40" w:type="dxa"/>
              <w:right w:w="40" w:type="dxa"/>
            </w:tcMar>
            <w:vAlign w:val="bottom"/>
          </w:tcPr>
          <w:p w14:paraId="0BC98C83" w14:textId="77777777" w:rsidR="009F0928" w:rsidRDefault="002112BD">
            <w:pPr>
              <w:textAlignment w:val="bottom"/>
              <w:rPr>
                <w:rFonts w:ascii="Times New Roman" w:hAnsi="Times New Roman"/>
                <w:sz w:val="20"/>
                <w:szCs w:val="20"/>
              </w:rPr>
            </w:pPr>
            <w:r>
              <w:rPr>
                <w:rFonts w:ascii="Arial" w:eastAsia="宋体" w:hAnsi="Arial" w:cs="Arial"/>
                <w:sz w:val="20"/>
                <w:szCs w:val="20"/>
              </w:rPr>
              <w:t>Amortization of acquired intangible assets</w:t>
            </w:r>
          </w:p>
        </w:tc>
        <w:tc>
          <w:tcPr>
            <w:tcW w:w="0" w:type="auto"/>
            <w:gridSpan w:val="2"/>
            <w:shd w:val="clear" w:color="auto" w:fill="E2E2E2"/>
            <w:tcMar>
              <w:top w:w="40" w:type="dxa"/>
              <w:left w:w="40" w:type="dxa"/>
              <w:bottom w:w="40" w:type="dxa"/>
            </w:tcMar>
            <w:vAlign w:val="bottom"/>
          </w:tcPr>
          <w:p w14:paraId="0BC98C8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48</w:t>
            </w:r>
          </w:p>
        </w:tc>
        <w:tc>
          <w:tcPr>
            <w:tcW w:w="0" w:type="auto"/>
            <w:shd w:val="clear" w:color="auto" w:fill="E2E2E2"/>
            <w:vAlign w:val="bottom"/>
          </w:tcPr>
          <w:p w14:paraId="0BC98C8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C8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C8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49</w:t>
            </w:r>
          </w:p>
        </w:tc>
        <w:tc>
          <w:tcPr>
            <w:tcW w:w="0" w:type="auto"/>
            <w:shd w:val="clear" w:color="auto" w:fill="E2E2E2"/>
            <w:vAlign w:val="bottom"/>
          </w:tcPr>
          <w:p w14:paraId="0BC98C8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C8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C8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38</w:t>
            </w:r>
          </w:p>
        </w:tc>
        <w:tc>
          <w:tcPr>
            <w:tcW w:w="0" w:type="auto"/>
            <w:shd w:val="clear" w:color="auto" w:fill="E2E2E2"/>
            <w:vAlign w:val="bottom"/>
          </w:tcPr>
          <w:p w14:paraId="0BC98C8B" w14:textId="77777777" w:rsidR="009F0928" w:rsidRDefault="009F0928">
            <w:pPr>
              <w:textAlignment w:val="bottom"/>
              <w:rPr>
                <w:rFonts w:ascii="Times New Roman" w:hAnsi="Times New Roman"/>
                <w:sz w:val="20"/>
                <w:szCs w:val="20"/>
              </w:rPr>
            </w:pPr>
          </w:p>
        </w:tc>
      </w:tr>
      <w:tr w:rsidR="009F0928" w14:paraId="0BC98C96" w14:textId="77777777">
        <w:tc>
          <w:tcPr>
            <w:tcW w:w="0" w:type="auto"/>
            <w:shd w:val="clear" w:color="auto" w:fill="auto"/>
            <w:tcMar>
              <w:top w:w="40" w:type="dxa"/>
              <w:left w:w="1200" w:type="dxa"/>
              <w:bottom w:w="40" w:type="dxa"/>
              <w:right w:w="40" w:type="dxa"/>
            </w:tcMar>
            <w:vAlign w:val="bottom"/>
          </w:tcPr>
          <w:p w14:paraId="0BC98C8D" w14:textId="77777777" w:rsidR="009F0928" w:rsidRDefault="002112BD">
            <w:pPr>
              <w:textAlignment w:val="bottom"/>
              <w:rPr>
                <w:rFonts w:ascii="Times New Roman" w:hAnsi="Times New Roman"/>
                <w:sz w:val="20"/>
                <w:szCs w:val="20"/>
              </w:rPr>
            </w:pPr>
            <w:r>
              <w:rPr>
                <w:rFonts w:ascii="Arial" w:eastAsia="宋体" w:hAnsi="Arial" w:cs="Arial"/>
                <w:sz w:val="20"/>
                <w:szCs w:val="20"/>
              </w:rPr>
              <w:t xml:space="preserve">Total </w:t>
            </w:r>
            <w:r>
              <w:rPr>
                <w:rFonts w:ascii="Arial" w:eastAsia="宋体" w:hAnsi="Arial" w:cs="Arial"/>
                <w:sz w:val="20"/>
                <w:szCs w:val="20"/>
              </w:rPr>
              <w:t>operating expenses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8C8E"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5,971</w:t>
            </w:r>
          </w:p>
        </w:tc>
        <w:tc>
          <w:tcPr>
            <w:tcW w:w="0" w:type="auto"/>
            <w:tcBorders>
              <w:top w:val="single" w:sz="8" w:space="0" w:color="000000"/>
              <w:bottom w:val="single" w:sz="8" w:space="0" w:color="000000"/>
            </w:tcBorders>
            <w:shd w:val="clear" w:color="auto" w:fill="auto"/>
            <w:vAlign w:val="bottom"/>
          </w:tcPr>
          <w:p w14:paraId="0BC98C8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C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8C9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6,142</w:t>
            </w:r>
          </w:p>
        </w:tc>
        <w:tc>
          <w:tcPr>
            <w:tcW w:w="0" w:type="auto"/>
            <w:tcBorders>
              <w:top w:val="single" w:sz="8" w:space="0" w:color="000000"/>
              <w:bottom w:val="single" w:sz="8" w:space="0" w:color="000000"/>
            </w:tcBorders>
            <w:shd w:val="clear" w:color="auto" w:fill="auto"/>
            <w:vAlign w:val="bottom"/>
          </w:tcPr>
          <w:p w14:paraId="0BC98C9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C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8C9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5,442</w:t>
            </w:r>
          </w:p>
        </w:tc>
        <w:tc>
          <w:tcPr>
            <w:tcW w:w="0" w:type="auto"/>
            <w:tcBorders>
              <w:top w:val="single" w:sz="8" w:space="0" w:color="000000"/>
              <w:bottom w:val="single" w:sz="8" w:space="0" w:color="000000"/>
            </w:tcBorders>
            <w:shd w:val="clear" w:color="auto" w:fill="auto"/>
            <w:vAlign w:val="bottom"/>
          </w:tcPr>
          <w:p w14:paraId="0BC98C95" w14:textId="77777777" w:rsidR="009F0928" w:rsidRDefault="009F0928">
            <w:pPr>
              <w:textAlignment w:val="bottom"/>
              <w:rPr>
                <w:rFonts w:ascii="Times New Roman" w:hAnsi="Times New Roman"/>
                <w:sz w:val="20"/>
                <w:szCs w:val="20"/>
              </w:rPr>
            </w:pPr>
          </w:p>
        </w:tc>
      </w:tr>
      <w:tr w:rsidR="009F0928" w14:paraId="0BC98CA0" w14:textId="77777777">
        <w:tc>
          <w:tcPr>
            <w:tcW w:w="0" w:type="auto"/>
            <w:shd w:val="clear" w:color="auto" w:fill="E2E2E2"/>
            <w:tcMar>
              <w:top w:w="40" w:type="dxa"/>
              <w:left w:w="40" w:type="dxa"/>
              <w:bottom w:w="40" w:type="dxa"/>
              <w:right w:w="40" w:type="dxa"/>
            </w:tcMar>
            <w:vAlign w:val="bottom"/>
          </w:tcPr>
          <w:p w14:paraId="0BC98C97" w14:textId="77777777" w:rsidR="009F0928" w:rsidRDefault="002112BD">
            <w:pPr>
              <w:textAlignment w:val="bottom"/>
              <w:rPr>
                <w:rFonts w:ascii="Times New Roman" w:hAnsi="Times New Roman"/>
                <w:sz w:val="20"/>
                <w:szCs w:val="20"/>
              </w:rPr>
            </w:pPr>
            <w:r>
              <w:rPr>
                <w:rFonts w:ascii="Arial" w:eastAsia="宋体" w:hAnsi="Arial" w:cs="Arial"/>
                <w:sz w:val="20"/>
                <w:szCs w:val="20"/>
              </w:rPr>
              <w:t>Income from operations</w:t>
            </w:r>
          </w:p>
        </w:tc>
        <w:tc>
          <w:tcPr>
            <w:tcW w:w="0" w:type="auto"/>
            <w:gridSpan w:val="2"/>
            <w:tcBorders>
              <w:top w:val="single" w:sz="8" w:space="0" w:color="000000"/>
            </w:tcBorders>
            <w:shd w:val="clear" w:color="auto" w:fill="E2E2E2"/>
            <w:tcMar>
              <w:top w:w="40" w:type="dxa"/>
              <w:left w:w="40" w:type="dxa"/>
              <w:bottom w:w="40" w:type="dxa"/>
            </w:tcMar>
            <w:vAlign w:val="bottom"/>
          </w:tcPr>
          <w:p w14:paraId="0BC98C98"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2,321</w:t>
            </w:r>
          </w:p>
        </w:tc>
        <w:tc>
          <w:tcPr>
            <w:tcW w:w="0" w:type="auto"/>
            <w:tcBorders>
              <w:top w:val="single" w:sz="8" w:space="0" w:color="000000"/>
            </w:tcBorders>
            <w:shd w:val="clear" w:color="auto" w:fill="E2E2E2"/>
            <w:vAlign w:val="bottom"/>
          </w:tcPr>
          <w:p w14:paraId="0BC98C9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C9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2E2E2"/>
            <w:tcMar>
              <w:top w:w="40" w:type="dxa"/>
              <w:left w:w="40" w:type="dxa"/>
              <w:bottom w:w="40" w:type="dxa"/>
            </w:tcMar>
            <w:vAlign w:val="bottom"/>
          </w:tcPr>
          <w:p w14:paraId="0BC98C9B"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2,222</w:t>
            </w:r>
          </w:p>
        </w:tc>
        <w:tc>
          <w:tcPr>
            <w:tcW w:w="0" w:type="auto"/>
            <w:tcBorders>
              <w:top w:val="single" w:sz="8" w:space="0" w:color="000000"/>
            </w:tcBorders>
            <w:shd w:val="clear" w:color="auto" w:fill="E2E2E2"/>
            <w:vAlign w:val="bottom"/>
          </w:tcPr>
          <w:p w14:paraId="0BC98C9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C9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2E2E2"/>
            <w:tcMar>
              <w:top w:w="40" w:type="dxa"/>
              <w:left w:w="40" w:type="dxa"/>
              <w:bottom w:w="40" w:type="dxa"/>
            </w:tcMar>
            <w:vAlign w:val="bottom"/>
          </w:tcPr>
          <w:p w14:paraId="0BC98C9E"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2,264</w:t>
            </w:r>
          </w:p>
        </w:tc>
        <w:tc>
          <w:tcPr>
            <w:tcW w:w="0" w:type="auto"/>
            <w:tcBorders>
              <w:top w:val="single" w:sz="8" w:space="0" w:color="000000"/>
            </w:tcBorders>
            <w:shd w:val="clear" w:color="auto" w:fill="E2E2E2"/>
            <w:vAlign w:val="bottom"/>
          </w:tcPr>
          <w:p w14:paraId="0BC98C9F" w14:textId="77777777" w:rsidR="009F0928" w:rsidRDefault="009F0928">
            <w:pPr>
              <w:textAlignment w:val="bottom"/>
              <w:rPr>
                <w:rFonts w:ascii="Times New Roman" w:hAnsi="Times New Roman"/>
                <w:sz w:val="20"/>
                <w:szCs w:val="20"/>
              </w:rPr>
            </w:pPr>
          </w:p>
        </w:tc>
      </w:tr>
      <w:tr w:rsidR="009F0928" w14:paraId="0BC98CAA" w14:textId="77777777">
        <w:tc>
          <w:tcPr>
            <w:tcW w:w="0" w:type="auto"/>
            <w:shd w:val="clear" w:color="auto" w:fill="auto"/>
            <w:tcMar>
              <w:top w:w="40" w:type="dxa"/>
              <w:left w:w="40" w:type="dxa"/>
              <w:bottom w:w="40" w:type="dxa"/>
              <w:right w:w="40" w:type="dxa"/>
            </w:tcMar>
            <w:vAlign w:val="bottom"/>
          </w:tcPr>
          <w:p w14:paraId="0BC98CA1" w14:textId="77777777" w:rsidR="009F0928" w:rsidRDefault="002112BD">
            <w:pPr>
              <w:textAlignment w:val="bottom"/>
              <w:rPr>
                <w:rFonts w:ascii="Times New Roman" w:hAnsi="Times New Roman"/>
                <w:sz w:val="20"/>
                <w:szCs w:val="20"/>
              </w:rPr>
            </w:pPr>
            <w:r>
              <w:rPr>
                <w:rFonts w:ascii="Arial" w:eastAsia="宋体" w:hAnsi="Arial" w:cs="Arial"/>
                <w:sz w:val="20"/>
                <w:szCs w:val="20"/>
              </w:rPr>
              <w:t>Interest and other, net</w:t>
            </w:r>
          </w:p>
        </w:tc>
        <w:tc>
          <w:tcPr>
            <w:tcW w:w="0" w:type="auto"/>
            <w:gridSpan w:val="2"/>
            <w:shd w:val="clear" w:color="auto" w:fill="auto"/>
            <w:tcMar>
              <w:top w:w="40" w:type="dxa"/>
              <w:left w:w="40" w:type="dxa"/>
              <w:bottom w:w="40" w:type="dxa"/>
            </w:tcMar>
            <w:vAlign w:val="bottom"/>
          </w:tcPr>
          <w:p w14:paraId="0BC98CA2"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(114</w:t>
            </w:r>
          </w:p>
        </w:tc>
        <w:tc>
          <w:tcPr>
            <w:tcW w:w="0" w:type="auto"/>
            <w:shd w:val="clear" w:color="auto" w:fill="auto"/>
            <w:tcMar>
              <w:top w:w="40" w:type="dxa"/>
              <w:bottom w:w="40" w:type="dxa"/>
              <w:right w:w="40" w:type="dxa"/>
            </w:tcMar>
            <w:vAlign w:val="bottom"/>
          </w:tcPr>
          <w:p w14:paraId="0BC98CA3"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CA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CA5"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496</w:t>
            </w:r>
          </w:p>
        </w:tc>
        <w:tc>
          <w:tcPr>
            <w:tcW w:w="0" w:type="auto"/>
            <w:shd w:val="clear" w:color="auto" w:fill="auto"/>
            <w:vAlign w:val="bottom"/>
          </w:tcPr>
          <w:p w14:paraId="0BC98CA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CA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CA8"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11</w:t>
            </w:r>
          </w:p>
        </w:tc>
        <w:tc>
          <w:tcPr>
            <w:tcW w:w="0" w:type="auto"/>
            <w:shd w:val="clear" w:color="auto" w:fill="auto"/>
            <w:vAlign w:val="bottom"/>
          </w:tcPr>
          <w:p w14:paraId="0BC98CA9" w14:textId="77777777" w:rsidR="009F0928" w:rsidRDefault="009F0928">
            <w:pPr>
              <w:textAlignment w:val="bottom"/>
              <w:rPr>
                <w:rFonts w:ascii="Times New Roman" w:hAnsi="Times New Roman"/>
                <w:sz w:val="20"/>
                <w:szCs w:val="20"/>
              </w:rPr>
            </w:pPr>
          </w:p>
        </w:tc>
      </w:tr>
      <w:tr w:rsidR="009F0928" w14:paraId="0BC98CB4" w14:textId="77777777">
        <w:tc>
          <w:tcPr>
            <w:tcW w:w="0" w:type="auto"/>
            <w:shd w:val="clear" w:color="auto" w:fill="E2E2E2"/>
            <w:tcMar>
              <w:top w:w="40" w:type="dxa"/>
              <w:left w:w="40" w:type="dxa"/>
              <w:bottom w:w="40" w:type="dxa"/>
              <w:right w:w="40" w:type="dxa"/>
            </w:tcMar>
            <w:vAlign w:val="bottom"/>
          </w:tcPr>
          <w:p w14:paraId="0BC98CAB" w14:textId="77777777" w:rsidR="009F0928" w:rsidRDefault="002112BD">
            <w:pPr>
              <w:textAlignment w:val="bottom"/>
              <w:rPr>
                <w:rFonts w:ascii="Times New Roman" w:hAnsi="Times New Roman"/>
                <w:sz w:val="20"/>
                <w:szCs w:val="20"/>
              </w:rPr>
            </w:pPr>
            <w:r>
              <w:rPr>
                <w:rFonts w:ascii="Arial" w:eastAsia="宋体" w:hAnsi="Arial" w:cs="Arial"/>
                <w:sz w:val="20"/>
                <w:szCs w:val="20"/>
              </w:rPr>
              <w:t>Income from continuing operations before income taxes</w:t>
            </w:r>
          </w:p>
        </w:tc>
        <w:tc>
          <w:tcPr>
            <w:tcW w:w="0" w:type="auto"/>
            <w:gridSpan w:val="2"/>
            <w:tcBorders>
              <w:top w:val="single" w:sz="8" w:space="0" w:color="000000"/>
            </w:tcBorders>
            <w:shd w:val="clear" w:color="auto" w:fill="E2E2E2"/>
            <w:tcMar>
              <w:top w:w="40" w:type="dxa"/>
              <w:left w:w="40" w:type="dxa"/>
              <w:bottom w:w="40" w:type="dxa"/>
            </w:tcMar>
            <w:vAlign w:val="bottom"/>
          </w:tcPr>
          <w:p w14:paraId="0BC98CA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2,207</w:t>
            </w:r>
          </w:p>
        </w:tc>
        <w:tc>
          <w:tcPr>
            <w:tcW w:w="0" w:type="auto"/>
            <w:tcBorders>
              <w:top w:val="single" w:sz="8" w:space="0" w:color="000000"/>
            </w:tcBorders>
            <w:shd w:val="clear" w:color="auto" w:fill="E2E2E2"/>
            <w:vAlign w:val="bottom"/>
          </w:tcPr>
          <w:p w14:paraId="0BC98CA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CA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2E2E2"/>
            <w:tcMar>
              <w:top w:w="40" w:type="dxa"/>
              <w:left w:w="40" w:type="dxa"/>
              <w:bottom w:w="40" w:type="dxa"/>
            </w:tcMar>
            <w:vAlign w:val="bottom"/>
          </w:tcPr>
          <w:p w14:paraId="0BC98CAF"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2,718</w:t>
            </w:r>
          </w:p>
        </w:tc>
        <w:tc>
          <w:tcPr>
            <w:tcW w:w="0" w:type="auto"/>
            <w:tcBorders>
              <w:top w:val="single" w:sz="8" w:space="0" w:color="000000"/>
            </w:tcBorders>
            <w:shd w:val="clear" w:color="auto" w:fill="E2E2E2"/>
            <w:vAlign w:val="bottom"/>
          </w:tcPr>
          <w:p w14:paraId="0BC98CB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CB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2E2E2"/>
            <w:tcMar>
              <w:top w:w="40" w:type="dxa"/>
              <w:left w:w="40" w:type="dxa"/>
              <w:bottom w:w="40" w:type="dxa"/>
            </w:tcMar>
            <w:vAlign w:val="bottom"/>
          </w:tcPr>
          <w:p w14:paraId="0BC98CB2"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2,275</w:t>
            </w:r>
          </w:p>
        </w:tc>
        <w:tc>
          <w:tcPr>
            <w:tcW w:w="0" w:type="auto"/>
            <w:tcBorders>
              <w:top w:val="single" w:sz="8" w:space="0" w:color="000000"/>
            </w:tcBorders>
            <w:shd w:val="clear" w:color="auto" w:fill="E2E2E2"/>
            <w:vAlign w:val="bottom"/>
          </w:tcPr>
          <w:p w14:paraId="0BC98CB3" w14:textId="77777777" w:rsidR="009F0928" w:rsidRDefault="009F0928">
            <w:pPr>
              <w:textAlignment w:val="bottom"/>
              <w:rPr>
                <w:rFonts w:ascii="Times New Roman" w:hAnsi="Times New Roman"/>
                <w:sz w:val="20"/>
                <w:szCs w:val="20"/>
              </w:rPr>
            </w:pPr>
          </w:p>
        </w:tc>
      </w:tr>
      <w:tr w:rsidR="009F0928" w14:paraId="0BC98CBE" w14:textId="77777777">
        <w:tc>
          <w:tcPr>
            <w:tcW w:w="0" w:type="auto"/>
            <w:shd w:val="clear" w:color="auto" w:fill="auto"/>
            <w:tcMar>
              <w:top w:w="40" w:type="dxa"/>
              <w:left w:w="40" w:type="dxa"/>
              <w:bottom w:w="40" w:type="dxa"/>
              <w:right w:w="40" w:type="dxa"/>
            </w:tcMar>
            <w:vAlign w:val="bottom"/>
          </w:tcPr>
          <w:p w14:paraId="0BC98CB5" w14:textId="77777777" w:rsidR="009F0928" w:rsidRDefault="002112BD">
            <w:pPr>
              <w:textAlignment w:val="bottom"/>
              <w:rPr>
                <w:rFonts w:ascii="Times New Roman" w:hAnsi="Times New Roman"/>
                <w:sz w:val="20"/>
                <w:szCs w:val="20"/>
              </w:rPr>
            </w:pPr>
            <w:r>
              <w:rPr>
                <w:rFonts w:ascii="Arial" w:eastAsia="宋体" w:hAnsi="Arial" w:cs="Arial"/>
                <w:sz w:val="20"/>
                <w:szCs w:val="20"/>
              </w:rPr>
              <w:t>Income tax provision</w:t>
            </w:r>
          </w:p>
        </w:tc>
        <w:tc>
          <w:tcPr>
            <w:tcW w:w="0" w:type="auto"/>
            <w:gridSpan w:val="2"/>
            <w:tcBorders>
              <w:bottom w:val="single" w:sz="8" w:space="0" w:color="000000"/>
            </w:tcBorders>
            <w:shd w:val="clear" w:color="auto" w:fill="auto"/>
            <w:tcMar>
              <w:top w:w="40" w:type="dxa"/>
              <w:left w:w="40" w:type="dxa"/>
              <w:bottom w:w="40" w:type="dxa"/>
            </w:tcMar>
            <w:vAlign w:val="bottom"/>
          </w:tcPr>
          <w:p w14:paraId="0BC98CB6"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(415</w:t>
            </w:r>
          </w:p>
        </w:tc>
        <w:tc>
          <w:tcPr>
            <w:tcW w:w="0" w:type="auto"/>
            <w:tcBorders>
              <w:bottom w:val="single" w:sz="8" w:space="0" w:color="000000"/>
            </w:tcBorders>
            <w:shd w:val="clear" w:color="auto" w:fill="auto"/>
            <w:tcMar>
              <w:top w:w="40" w:type="dxa"/>
              <w:bottom w:w="40" w:type="dxa"/>
              <w:right w:w="40" w:type="dxa"/>
            </w:tcMar>
            <w:vAlign w:val="bottom"/>
          </w:tcPr>
          <w:p w14:paraId="0BC98CB7"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CB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CB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(190</w:t>
            </w:r>
          </w:p>
        </w:tc>
        <w:tc>
          <w:tcPr>
            <w:tcW w:w="0" w:type="auto"/>
            <w:tcBorders>
              <w:bottom w:val="single" w:sz="8" w:space="0" w:color="000000"/>
            </w:tcBorders>
            <w:shd w:val="clear" w:color="auto" w:fill="auto"/>
            <w:tcMar>
              <w:top w:w="40" w:type="dxa"/>
              <w:bottom w:w="40" w:type="dxa"/>
              <w:right w:w="40" w:type="dxa"/>
            </w:tcMar>
            <w:vAlign w:val="bottom"/>
          </w:tcPr>
          <w:p w14:paraId="0BC98CBA"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CB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CB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(3,288</w:t>
            </w:r>
          </w:p>
        </w:tc>
        <w:tc>
          <w:tcPr>
            <w:tcW w:w="0" w:type="auto"/>
            <w:tcBorders>
              <w:bottom w:val="single" w:sz="8" w:space="0" w:color="000000"/>
            </w:tcBorders>
            <w:shd w:val="clear" w:color="auto" w:fill="auto"/>
            <w:tcMar>
              <w:top w:w="40" w:type="dxa"/>
              <w:bottom w:w="40" w:type="dxa"/>
              <w:right w:w="40" w:type="dxa"/>
            </w:tcMar>
            <w:vAlign w:val="bottom"/>
          </w:tcPr>
          <w:p w14:paraId="0BC98CBD"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CCB" w14:textId="77777777">
        <w:tc>
          <w:tcPr>
            <w:tcW w:w="0" w:type="auto"/>
            <w:shd w:val="clear" w:color="auto" w:fill="E2E2E2"/>
            <w:tcMar>
              <w:top w:w="40" w:type="dxa"/>
              <w:left w:w="40" w:type="dxa"/>
              <w:bottom w:w="40" w:type="dxa"/>
              <w:right w:w="40" w:type="dxa"/>
            </w:tcMar>
            <w:vAlign w:val="bottom"/>
          </w:tcPr>
          <w:p w14:paraId="0BC98CBF" w14:textId="77777777" w:rsidR="009F0928" w:rsidRDefault="002112BD">
            <w:pPr>
              <w:textAlignment w:val="bottom"/>
              <w:rPr>
                <w:rFonts w:ascii="Times New Roman" w:hAnsi="Times New Roman"/>
                <w:sz w:val="20"/>
                <w:szCs w:val="20"/>
              </w:rPr>
            </w:pPr>
            <w:r>
              <w:rPr>
                <w:rFonts w:ascii="Arial" w:eastAsia="宋体" w:hAnsi="Arial" w:cs="Arial"/>
                <w:sz w:val="20"/>
                <w:szCs w:val="20"/>
              </w:rPr>
              <w:t>Income (loss) from continuing operations</w:t>
            </w:r>
          </w:p>
        </w:tc>
        <w:tc>
          <w:tcPr>
            <w:tcW w:w="0" w:type="auto"/>
            <w:shd w:val="clear" w:color="auto" w:fill="E2E2E2"/>
            <w:tcMar>
              <w:top w:w="40" w:type="dxa"/>
              <w:left w:w="40" w:type="dxa"/>
              <w:bottom w:w="40" w:type="dxa"/>
            </w:tcMar>
            <w:vAlign w:val="bottom"/>
          </w:tcPr>
          <w:p w14:paraId="0BC98CC0"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8CC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1,792</w:t>
            </w:r>
          </w:p>
        </w:tc>
        <w:tc>
          <w:tcPr>
            <w:tcW w:w="0" w:type="auto"/>
            <w:shd w:val="clear" w:color="auto" w:fill="E2E2E2"/>
            <w:vAlign w:val="bottom"/>
          </w:tcPr>
          <w:p w14:paraId="0BC98CC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CC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CC4"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8CC5"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2,528</w:t>
            </w:r>
          </w:p>
        </w:tc>
        <w:tc>
          <w:tcPr>
            <w:tcW w:w="0" w:type="auto"/>
            <w:shd w:val="clear" w:color="auto" w:fill="E2E2E2"/>
            <w:vAlign w:val="bottom"/>
          </w:tcPr>
          <w:p w14:paraId="0BC98CC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CC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CC8"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8CC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(1,013</w:t>
            </w:r>
          </w:p>
        </w:tc>
        <w:tc>
          <w:tcPr>
            <w:tcW w:w="0" w:type="auto"/>
            <w:shd w:val="clear" w:color="auto" w:fill="E2E2E2"/>
            <w:tcMar>
              <w:top w:w="40" w:type="dxa"/>
              <w:bottom w:w="40" w:type="dxa"/>
              <w:right w:w="40" w:type="dxa"/>
            </w:tcMar>
            <w:vAlign w:val="bottom"/>
          </w:tcPr>
          <w:p w14:paraId="0BC98CCA"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CD5" w14:textId="77777777">
        <w:tc>
          <w:tcPr>
            <w:tcW w:w="0" w:type="auto"/>
            <w:shd w:val="clear" w:color="auto" w:fill="auto"/>
            <w:tcMar>
              <w:top w:w="40" w:type="dxa"/>
              <w:left w:w="40" w:type="dxa"/>
              <w:bottom w:w="40" w:type="dxa"/>
              <w:right w:w="40" w:type="dxa"/>
            </w:tcMar>
            <w:vAlign w:val="bottom"/>
          </w:tcPr>
          <w:p w14:paraId="0BC98CCC" w14:textId="77777777" w:rsidR="009F0928" w:rsidRDefault="002112BD">
            <w:pPr>
              <w:textAlignment w:val="bottom"/>
              <w:rPr>
                <w:rFonts w:ascii="Times New Roman" w:hAnsi="Times New Roman"/>
                <w:sz w:val="20"/>
                <w:szCs w:val="20"/>
              </w:rPr>
            </w:pPr>
            <w:r>
              <w:rPr>
                <w:rFonts w:ascii="Arial" w:eastAsia="宋体" w:hAnsi="Arial" w:cs="Arial"/>
                <w:sz w:val="20"/>
                <w:szCs w:val="20"/>
              </w:rPr>
              <w:t>Income (loss) from discontinued operations, net of income taxes</w:t>
            </w:r>
          </w:p>
        </w:tc>
        <w:tc>
          <w:tcPr>
            <w:tcW w:w="0" w:type="auto"/>
            <w:gridSpan w:val="2"/>
            <w:tcBorders>
              <w:bottom w:val="single" w:sz="8" w:space="0" w:color="000000"/>
            </w:tcBorders>
            <w:shd w:val="clear" w:color="auto" w:fill="auto"/>
            <w:tcMar>
              <w:top w:w="40" w:type="dxa"/>
              <w:left w:w="40" w:type="dxa"/>
              <w:bottom w:w="40" w:type="dxa"/>
            </w:tcMar>
            <w:vAlign w:val="bottom"/>
          </w:tcPr>
          <w:p w14:paraId="0BC98CC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(6</w:t>
            </w:r>
          </w:p>
        </w:tc>
        <w:tc>
          <w:tcPr>
            <w:tcW w:w="0" w:type="auto"/>
            <w:tcBorders>
              <w:bottom w:val="single" w:sz="8" w:space="0" w:color="000000"/>
            </w:tcBorders>
            <w:shd w:val="clear" w:color="auto" w:fill="auto"/>
            <w:tcMar>
              <w:top w:w="40" w:type="dxa"/>
              <w:bottom w:w="40" w:type="dxa"/>
              <w:right w:w="40" w:type="dxa"/>
            </w:tcMar>
            <w:vAlign w:val="bottom"/>
          </w:tcPr>
          <w:p w14:paraId="0BC98CCE"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C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CD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w:t>
            </w:r>
          </w:p>
        </w:tc>
        <w:tc>
          <w:tcPr>
            <w:tcW w:w="0" w:type="auto"/>
            <w:tcBorders>
              <w:bottom w:val="single" w:sz="8" w:space="0" w:color="000000"/>
            </w:tcBorders>
            <w:shd w:val="clear" w:color="auto" w:fill="auto"/>
            <w:vAlign w:val="bottom"/>
          </w:tcPr>
          <w:p w14:paraId="0BC98CD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CD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CD3"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w:t>
            </w:r>
          </w:p>
        </w:tc>
        <w:tc>
          <w:tcPr>
            <w:tcW w:w="0" w:type="auto"/>
            <w:tcBorders>
              <w:bottom w:val="single" w:sz="8" w:space="0" w:color="000000"/>
            </w:tcBorders>
            <w:shd w:val="clear" w:color="auto" w:fill="auto"/>
            <w:tcMar>
              <w:top w:w="40" w:type="dxa"/>
              <w:bottom w:w="40" w:type="dxa"/>
              <w:right w:w="40" w:type="dxa"/>
            </w:tcMar>
            <w:vAlign w:val="bottom"/>
          </w:tcPr>
          <w:p w14:paraId="0BC98CD4"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CE2" w14:textId="77777777">
        <w:tc>
          <w:tcPr>
            <w:tcW w:w="0" w:type="auto"/>
            <w:shd w:val="clear" w:color="auto" w:fill="E2E2E2"/>
            <w:tcMar>
              <w:top w:w="40" w:type="dxa"/>
              <w:left w:w="40" w:type="dxa"/>
              <w:bottom w:w="40" w:type="dxa"/>
              <w:right w:w="40" w:type="dxa"/>
            </w:tcMar>
            <w:vAlign w:val="bottom"/>
          </w:tcPr>
          <w:p w14:paraId="0BC98CD6" w14:textId="77777777" w:rsidR="009F0928" w:rsidRDefault="002112BD">
            <w:pPr>
              <w:textAlignment w:val="bottom"/>
              <w:rPr>
                <w:rFonts w:ascii="Times New Roman" w:hAnsi="Times New Roman"/>
                <w:sz w:val="20"/>
                <w:szCs w:val="20"/>
              </w:rPr>
            </w:pPr>
            <w:r>
              <w:rPr>
                <w:rFonts w:ascii="Arial" w:eastAsia="宋体" w:hAnsi="Arial" w:cs="Arial"/>
                <w:sz w:val="20"/>
                <w:szCs w:val="20"/>
              </w:rPr>
              <w:t>Net income (loss)</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CD7"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CD8"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1,786</w:t>
            </w:r>
          </w:p>
        </w:tc>
        <w:tc>
          <w:tcPr>
            <w:tcW w:w="0" w:type="auto"/>
            <w:tcBorders>
              <w:top w:val="single" w:sz="8" w:space="0" w:color="000000"/>
              <w:bottom w:val="double" w:sz="6" w:space="0" w:color="000000"/>
            </w:tcBorders>
            <w:shd w:val="clear" w:color="auto" w:fill="E2E2E2"/>
            <w:vAlign w:val="bottom"/>
          </w:tcPr>
          <w:p w14:paraId="0BC98CD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CD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CDB"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CD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2,530</w:t>
            </w:r>
          </w:p>
        </w:tc>
        <w:tc>
          <w:tcPr>
            <w:tcW w:w="0" w:type="auto"/>
            <w:tcBorders>
              <w:top w:val="single" w:sz="8" w:space="0" w:color="000000"/>
              <w:bottom w:val="double" w:sz="6" w:space="0" w:color="000000"/>
            </w:tcBorders>
            <w:shd w:val="clear" w:color="auto" w:fill="E2E2E2"/>
            <w:vAlign w:val="bottom"/>
          </w:tcPr>
          <w:p w14:paraId="0BC98CD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C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CDF"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CE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(1,017</w:t>
            </w:r>
          </w:p>
        </w:tc>
        <w:tc>
          <w:tcPr>
            <w:tcW w:w="0" w:type="auto"/>
            <w:tcBorders>
              <w:top w:val="single" w:sz="8" w:space="0" w:color="000000"/>
              <w:bottom w:val="double" w:sz="6" w:space="0" w:color="000000"/>
            </w:tcBorders>
            <w:shd w:val="clear" w:color="auto" w:fill="E2E2E2"/>
            <w:tcMar>
              <w:top w:w="40" w:type="dxa"/>
              <w:bottom w:w="40" w:type="dxa"/>
              <w:right w:w="40" w:type="dxa"/>
            </w:tcMar>
            <w:vAlign w:val="bottom"/>
          </w:tcPr>
          <w:p w14:paraId="0BC98CE1"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CE9" w14:textId="77777777">
        <w:tc>
          <w:tcPr>
            <w:tcW w:w="0" w:type="auto"/>
            <w:shd w:val="clear" w:color="auto" w:fill="auto"/>
            <w:tcMar>
              <w:top w:w="40" w:type="dxa"/>
              <w:left w:w="40" w:type="dxa"/>
              <w:bottom w:w="40" w:type="dxa"/>
              <w:right w:w="40" w:type="dxa"/>
            </w:tcMar>
            <w:vAlign w:val="bottom"/>
          </w:tcPr>
          <w:p w14:paraId="0BC98C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CE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CE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C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CE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CE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CF0" w14:textId="77777777">
        <w:tc>
          <w:tcPr>
            <w:tcW w:w="0" w:type="auto"/>
            <w:shd w:val="clear" w:color="auto" w:fill="E2E2E2"/>
            <w:tcMar>
              <w:top w:w="40" w:type="dxa"/>
              <w:left w:w="40" w:type="dxa"/>
              <w:bottom w:w="40" w:type="dxa"/>
              <w:right w:w="40" w:type="dxa"/>
            </w:tcMar>
            <w:vAlign w:val="bottom"/>
          </w:tcPr>
          <w:p w14:paraId="0BC98CEA" w14:textId="77777777" w:rsidR="009F0928" w:rsidRDefault="002112BD">
            <w:pPr>
              <w:textAlignment w:val="bottom"/>
              <w:rPr>
                <w:rFonts w:ascii="Times New Roman" w:hAnsi="Times New Roman"/>
                <w:sz w:val="20"/>
                <w:szCs w:val="20"/>
              </w:rPr>
            </w:pPr>
            <w:r>
              <w:rPr>
                <w:rFonts w:ascii="Arial" w:eastAsia="宋体" w:hAnsi="Arial" w:cs="Arial"/>
                <w:sz w:val="20"/>
                <w:szCs w:val="20"/>
              </w:rPr>
              <w:t xml:space="preserve">Income </w:t>
            </w:r>
            <w:r>
              <w:rPr>
                <w:rFonts w:ascii="Arial" w:eastAsia="宋体" w:hAnsi="Arial" w:cs="Arial"/>
                <w:sz w:val="20"/>
                <w:szCs w:val="20"/>
              </w:rPr>
              <w:t>(loss) per share - basic:</w:t>
            </w:r>
          </w:p>
        </w:tc>
        <w:tc>
          <w:tcPr>
            <w:tcW w:w="0" w:type="auto"/>
            <w:gridSpan w:val="3"/>
            <w:shd w:val="clear" w:color="auto" w:fill="E2E2E2"/>
            <w:tcMar>
              <w:top w:w="40" w:type="dxa"/>
              <w:left w:w="40" w:type="dxa"/>
              <w:bottom w:w="40" w:type="dxa"/>
              <w:right w:w="40" w:type="dxa"/>
            </w:tcMar>
            <w:vAlign w:val="bottom"/>
          </w:tcPr>
          <w:p w14:paraId="0BC98CEB" w14:textId="77777777" w:rsidR="009F0928" w:rsidRDefault="002112BD">
            <w:pPr>
              <w:textAlignment w:val="bottom"/>
              <w:rPr>
                <w:rFonts w:ascii="Times New Roman" w:hAnsi="Times New Roman"/>
                <w:sz w:val="8"/>
                <w:szCs w:val="8"/>
              </w:rPr>
            </w:pPr>
            <w:r>
              <w:rPr>
                <w:rFonts w:ascii="Arial" w:eastAsia="宋体" w:hAnsi="Arial" w:cs="Arial"/>
                <w:sz w:val="8"/>
                <w:szCs w:val="8"/>
              </w:rPr>
              <w:t> </w:t>
            </w:r>
          </w:p>
        </w:tc>
        <w:tc>
          <w:tcPr>
            <w:tcW w:w="0" w:type="auto"/>
            <w:shd w:val="clear" w:color="auto" w:fill="E2E2E2"/>
            <w:tcMar>
              <w:top w:w="40" w:type="dxa"/>
              <w:left w:w="40" w:type="dxa"/>
              <w:bottom w:w="40" w:type="dxa"/>
              <w:right w:w="40" w:type="dxa"/>
            </w:tcMar>
            <w:vAlign w:val="bottom"/>
          </w:tcPr>
          <w:p w14:paraId="0BC98CE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CED" w14:textId="77777777" w:rsidR="009F0928" w:rsidRDefault="002112BD">
            <w:pPr>
              <w:textAlignment w:val="bottom"/>
              <w:rPr>
                <w:rFonts w:ascii="Times New Roman" w:hAnsi="Times New Roman"/>
                <w:sz w:val="8"/>
                <w:szCs w:val="8"/>
              </w:rPr>
            </w:pPr>
            <w:r>
              <w:rPr>
                <w:rFonts w:ascii="Arial" w:eastAsia="宋体" w:hAnsi="Arial" w:cs="Arial"/>
                <w:sz w:val="8"/>
                <w:szCs w:val="8"/>
              </w:rPr>
              <w:t> </w:t>
            </w:r>
          </w:p>
        </w:tc>
        <w:tc>
          <w:tcPr>
            <w:tcW w:w="0" w:type="auto"/>
            <w:shd w:val="clear" w:color="auto" w:fill="E2E2E2"/>
            <w:tcMar>
              <w:top w:w="40" w:type="dxa"/>
              <w:left w:w="40" w:type="dxa"/>
              <w:bottom w:w="40" w:type="dxa"/>
              <w:right w:w="40" w:type="dxa"/>
            </w:tcMar>
            <w:vAlign w:val="bottom"/>
          </w:tcPr>
          <w:p w14:paraId="0BC98CE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CE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CFD" w14:textId="77777777">
        <w:tc>
          <w:tcPr>
            <w:tcW w:w="0" w:type="auto"/>
            <w:shd w:val="clear" w:color="auto" w:fill="auto"/>
            <w:tcMar>
              <w:top w:w="40" w:type="dxa"/>
              <w:left w:w="720" w:type="dxa"/>
              <w:bottom w:w="40" w:type="dxa"/>
              <w:right w:w="40" w:type="dxa"/>
            </w:tcMar>
            <w:vAlign w:val="bottom"/>
          </w:tcPr>
          <w:p w14:paraId="0BC98CF1" w14:textId="77777777" w:rsidR="009F0928" w:rsidRDefault="002112BD">
            <w:pPr>
              <w:textAlignment w:val="bottom"/>
              <w:rPr>
                <w:rFonts w:ascii="Times New Roman" w:hAnsi="Times New Roman"/>
                <w:sz w:val="20"/>
                <w:szCs w:val="20"/>
              </w:rPr>
            </w:pPr>
            <w:r>
              <w:rPr>
                <w:rFonts w:ascii="Arial" w:eastAsia="宋体" w:hAnsi="Arial" w:cs="Arial"/>
                <w:sz w:val="20"/>
                <w:szCs w:val="20"/>
              </w:rPr>
              <w:t>Continuing operations</w:t>
            </w:r>
          </w:p>
        </w:tc>
        <w:tc>
          <w:tcPr>
            <w:tcW w:w="0" w:type="auto"/>
            <w:shd w:val="clear" w:color="auto" w:fill="auto"/>
            <w:tcMar>
              <w:top w:w="40" w:type="dxa"/>
              <w:left w:w="40" w:type="dxa"/>
              <w:bottom w:w="40" w:type="dxa"/>
            </w:tcMar>
            <w:vAlign w:val="bottom"/>
          </w:tcPr>
          <w:p w14:paraId="0BC98CF2"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bottom w:w="40" w:type="dxa"/>
            </w:tcMar>
            <w:vAlign w:val="bottom"/>
          </w:tcPr>
          <w:p w14:paraId="0BC98CF3"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2.11</w:t>
            </w:r>
          </w:p>
        </w:tc>
        <w:tc>
          <w:tcPr>
            <w:tcW w:w="0" w:type="auto"/>
            <w:shd w:val="clear" w:color="auto" w:fill="auto"/>
            <w:vAlign w:val="bottom"/>
          </w:tcPr>
          <w:p w14:paraId="0BC98CF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CF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CF6"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bottom w:w="40" w:type="dxa"/>
            </w:tcMar>
            <w:vAlign w:val="bottom"/>
          </w:tcPr>
          <w:p w14:paraId="0BC98CF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2.58</w:t>
            </w:r>
          </w:p>
        </w:tc>
        <w:tc>
          <w:tcPr>
            <w:tcW w:w="0" w:type="auto"/>
            <w:shd w:val="clear" w:color="auto" w:fill="auto"/>
            <w:vAlign w:val="bottom"/>
          </w:tcPr>
          <w:p w14:paraId="0BC98CF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C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CFA"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bottom w:w="40" w:type="dxa"/>
            </w:tcMar>
            <w:vAlign w:val="bottom"/>
          </w:tcPr>
          <w:p w14:paraId="0BC98CFB"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(0.95</w:t>
            </w:r>
          </w:p>
        </w:tc>
        <w:tc>
          <w:tcPr>
            <w:tcW w:w="0" w:type="auto"/>
            <w:shd w:val="clear" w:color="auto" w:fill="auto"/>
            <w:tcMar>
              <w:top w:w="40" w:type="dxa"/>
              <w:bottom w:w="40" w:type="dxa"/>
              <w:right w:w="40" w:type="dxa"/>
            </w:tcMar>
            <w:vAlign w:val="bottom"/>
          </w:tcPr>
          <w:p w14:paraId="0BC98CFC"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D07" w14:textId="77777777">
        <w:tc>
          <w:tcPr>
            <w:tcW w:w="0" w:type="auto"/>
            <w:shd w:val="clear" w:color="auto" w:fill="E2E2E2"/>
            <w:tcMar>
              <w:top w:w="40" w:type="dxa"/>
              <w:left w:w="720" w:type="dxa"/>
              <w:bottom w:w="40" w:type="dxa"/>
              <w:right w:w="40" w:type="dxa"/>
            </w:tcMar>
            <w:vAlign w:val="bottom"/>
          </w:tcPr>
          <w:p w14:paraId="0BC98CFE" w14:textId="77777777" w:rsidR="009F0928" w:rsidRDefault="002112BD">
            <w:pPr>
              <w:textAlignment w:val="bottom"/>
              <w:rPr>
                <w:rFonts w:ascii="Times New Roman" w:hAnsi="Times New Roman"/>
                <w:sz w:val="20"/>
                <w:szCs w:val="20"/>
              </w:rPr>
            </w:pPr>
            <w:r>
              <w:rPr>
                <w:rFonts w:ascii="Arial" w:eastAsia="宋体" w:hAnsi="Arial" w:cs="Arial"/>
                <w:sz w:val="20"/>
                <w:szCs w:val="20"/>
              </w:rPr>
              <w:t>Discontinued operations</w:t>
            </w:r>
          </w:p>
        </w:tc>
        <w:tc>
          <w:tcPr>
            <w:tcW w:w="0" w:type="auto"/>
            <w:gridSpan w:val="2"/>
            <w:shd w:val="clear" w:color="auto" w:fill="E2E2E2"/>
            <w:tcMar>
              <w:top w:w="40" w:type="dxa"/>
              <w:left w:w="40" w:type="dxa"/>
              <w:bottom w:w="40" w:type="dxa"/>
            </w:tcMar>
            <w:vAlign w:val="bottom"/>
          </w:tcPr>
          <w:p w14:paraId="0BC98CFF"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(0.01</w:t>
            </w:r>
          </w:p>
        </w:tc>
        <w:tc>
          <w:tcPr>
            <w:tcW w:w="0" w:type="auto"/>
            <w:shd w:val="clear" w:color="auto" w:fill="E2E2E2"/>
            <w:tcMar>
              <w:top w:w="40" w:type="dxa"/>
              <w:bottom w:w="40" w:type="dxa"/>
              <w:right w:w="40" w:type="dxa"/>
            </w:tcMar>
            <w:vAlign w:val="bottom"/>
          </w:tcPr>
          <w:p w14:paraId="0BC98D00"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left w:w="40" w:type="dxa"/>
              <w:bottom w:w="40" w:type="dxa"/>
              <w:right w:w="40" w:type="dxa"/>
            </w:tcMar>
            <w:vAlign w:val="bottom"/>
          </w:tcPr>
          <w:p w14:paraId="0BC98D0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D02"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vAlign w:val="bottom"/>
          </w:tcPr>
          <w:p w14:paraId="0BC98D0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D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D05"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E2E2E2"/>
            <w:vAlign w:val="bottom"/>
          </w:tcPr>
          <w:p w14:paraId="0BC98D06" w14:textId="77777777" w:rsidR="009F0928" w:rsidRDefault="009F0928">
            <w:pPr>
              <w:textAlignment w:val="bottom"/>
              <w:rPr>
                <w:rFonts w:ascii="Times New Roman" w:hAnsi="Times New Roman"/>
                <w:sz w:val="20"/>
                <w:szCs w:val="20"/>
              </w:rPr>
            </w:pPr>
          </w:p>
        </w:tc>
      </w:tr>
      <w:tr w:rsidR="009F0928" w14:paraId="0BC98D14" w14:textId="77777777">
        <w:tc>
          <w:tcPr>
            <w:tcW w:w="0" w:type="auto"/>
            <w:shd w:val="clear" w:color="auto" w:fill="auto"/>
            <w:tcMar>
              <w:top w:w="40" w:type="dxa"/>
              <w:left w:w="40" w:type="dxa"/>
              <w:bottom w:w="40" w:type="dxa"/>
              <w:right w:w="40" w:type="dxa"/>
            </w:tcMar>
            <w:vAlign w:val="bottom"/>
          </w:tcPr>
          <w:p w14:paraId="0BC98D08" w14:textId="77777777" w:rsidR="009F0928" w:rsidRDefault="002112BD">
            <w:pPr>
              <w:textAlignment w:val="bottom"/>
              <w:rPr>
                <w:rFonts w:ascii="Times New Roman" w:hAnsi="Times New Roman"/>
                <w:sz w:val="20"/>
                <w:szCs w:val="20"/>
              </w:rPr>
            </w:pPr>
            <w:r>
              <w:rPr>
                <w:rFonts w:ascii="Arial" w:eastAsia="宋体" w:hAnsi="Arial" w:cs="Arial"/>
                <w:sz w:val="20"/>
                <w:szCs w:val="20"/>
              </w:rPr>
              <w:t>Net income (loss) per share - basic</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D09"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D0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2.10</w:t>
            </w:r>
          </w:p>
        </w:tc>
        <w:tc>
          <w:tcPr>
            <w:tcW w:w="0" w:type="auto"/>
            <w:tcBorders>
              <w:top w:val="single" w:sz="8" w:space="0" w:color="000000"/>
              <w:bottom w:val="double" w:sz="6" w:space="0" w:color="000000"/>
            </w:tcBorders>
            <w:shd w:val="clear" w:color="auto" w:fill="auto"/>
            <w:vAlign w:val="bottom"/>
          </w:tcPr>
          <w:p w14:paraId="0BC98D0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D0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D0D"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D0E"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2.58</w:t>
            </w:r>
          </w:p>
        </w:tc>
        <w:tc>
          <w:tcPr>
            <w:tcW w:w="0" w:type="auto"/>
            <w:tcBorders>
              <w:top w:val="single" w:sz="8" w:space="0" w:color="000000"/>
              <w:bottom w:val="double" w:sz="6" w:space="0" w:color="000000"/>
            </w:tcBorders>
            <w:shd w:val="clear" w:color="auto" w:fill="auto"/>
            <w:vAlign w:val="bottom"/>
          </w:tcPr>
          <w:p w14:paraId="0BC98D0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D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8D11"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8D12"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(0.95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BC98D13"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D1B" w14:textId="77777777">
        <w:tc>
          <w:tcPr>
            <w:tcW w:w="0" w:type="auto"/>
            <w:shd w:val="clear" w:color="auto" w:fill="E2E2E2"/>
            <w:tcMar>
              <w:top w:w="40" w:type="dxa"/>
              <w:left w:w="40" w:type="dxa"/>
              <w:bottom w:w="40" w:type="dxa"/>
              <w:right w:w="40" w:type="dxa"/>
            </w:tcMar>
            <w:vAlign w:val="bottom"/>
          </w:tcPr>
          <w:p w14:paraId="0BC98D1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D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D1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D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D1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D1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D22" w14:textId="77777777">
        <w:tc>
          <w:tcPr>
            <w:tcW w:w="0" w:type="auto"/>
            <w:shd w:val="clear" w:color="auto" w:fill="auto"/>
            <w:tcMar>
              <w:top w:w="40" w:type="dxa"/>
              <w:left w:w="40" w:type="dxa"/>
              <w:bottom w:w="40" w:type="dxa"/>
              <w:right w:w="40" w:type="dxa"/>
            </w:tcMar>
            <w:vAlign w:val="bottom"/>
          </w:tcPr>
          <w:p w14:paraId="0BC98D1C" w14:textId="77777777" w:rsidR="009F0928" w:rsidRDefault="002112BD">
            <w:pPr>
              <w:textAlignment w:val="bottom"/>
              <w:rPr>
                <w:rFonts w:ascii="Times New Roman" w:hAnsi="Times New Roman"/>
                <w:sz w:val="20"/>
                <w:szCs w:val="20"/>
              </w:rPr>
            </w:pPr>
            <w:r>
              <w:rPr>
                <w:rFonts w:ascii="Arial" w:eastAsia="宋体" w:hAnsi="Arial" w:cs="Arial"/>
                <w:sz w:val="20"/>
                <w:szCs w:val="20"/>
              </w:rPr>
              <w:t>Income (loss) per share - diluted:</w:t>
            </w:r>
          </w:p>
        </w:tc>
        <w:tc>
          <w:tcPr>
            <w:tcW w:w="0" w:type="auto"/>
            <w:gridSpan w:val="3"/>
            <w:shd w:val="clear" w:color="auto" w:fill="auto"/>
            <w:tcMar>
              <w:top w:w="40" w:type="dxa"/>
              <w:left w:w="40" w:type="dxa"/>
              <w:bottom w:w="40" w:type="dxa"/>
              <w:right w:w="40" w:type="dxa"/>
            </w:tcMar>
            <w:vAlign w:val="bottom"/>
          </w:tcPr>
          <w:p w14:paraId="0BC98D1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D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D1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D2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D2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D2F" w14:textId="77777777">
        <w:tc>
          <w:tcPr>
            <w:tcW w:w="0" w:type="auto"/>
            <w:shd w:val="clear" w:color="auto" w:fill="E2E2E2"/>
            <w:tcMar>
              <w:top w:w="40" w:type="dxa"/>
              <w:left w:w="720" w:type="dxa"/>
              <w:bottom w:w="40" w:type="dxa"/>
              <w:right w:w="40" w:type="dxa"/>
            </w:tcMar>
            <w:vAlign w:val="bottom"/>
          </w:tcPr>
          <w:p w14:paraId="0BC98D23" w14:textId="77777777" w:rsidR="009F0928" w:rsidRDefault="002112BD">
            <w:pPr>
              <w:textAlignment w:val="bottom"/>
              <w:rPr>
                <w:rFonts w:ascii="Times New Roman" w:hAnsi="Times New Roman"/>
                <w:sz w:val="20"/>
                <w:szCs w:val="20"/>
              </w:rPr>
            </w:pPr>
            <w:r>
              <w:rPr>
                <w:rFonts w:ascii="Arial" w:eastAsia="宋体" w:hAnsi="Arial" w:cs="Arial"/>
                <w:sz w:val="20"/>
                <w:szCs w:val="20"/>
              </w:rPr>
              <w:t>Continuing operations</w:t>
            </w:r>
          </w:p>
        </w:tc>
        <w:tc>
          <w:tcPr>
            <w:tcW w:w="0" w:type="auto"/>
            <w:shd w:val="clear" w:color="auto" w:fill="E2E2E2"/>
            <w:tcMar>
              <w:top w:w="40" w:type="dxa"/>
              <w:left w:w="40" w:type="dxa"/>
              <w:bottom w:w="40" w:type="dxa"/>
            </w:tcMar>
            <w:vAlign w:val="bottom"/>
          </w:tcPr>
          <w:p w14:paraId="0BC98D24"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8D25"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2.10</w:t>
            </w:r>
          </w:p>
        </w:tc>
        <w:tc>
          <w:tcPr>
            <w:tcW w:w="0" w:type="auto"/>
            <w:shd w:val="clear" w:color="auto" w:fill="E2E2E2"/>
            <w:vAlign w:val="bottom"/>
          </w:tcPr>
          <w:p w14:paraId="0BC98D2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D2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D28"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8D2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2.55</w:t>
            </w:r>
          </w:p>
        </w:tc>
        <w:tc>
          <w:tcPr>
            <w:tcW w:w="0" w:type="auto"/>
            <w:shd w:val="clear" w:color="auto" w:fill="E2E2E2"/>
            <w:vAlign w:val="bottom"/>
          </w:tcPr>
          <w:p w14:paraId="0BC98D2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D2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D2C"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8D2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(0.95</w:t>
            </w:r>
          </w:p>
        </w:tc>
        <w:tc>
          <w:tcPr>
            <w:tcW w:w="0" w:type="auto"/>
            <w:shd w:val="clear" w:color="auto" w:fill="E2E2E2"/>
            <w:tcMar>
              <w:top w:w="40" w:type="dxa"/>
              <w:bottom w:w="40" w:type="dxa"/>
              <w:right w:w="40" w:type="dxa"/>
            </w:tcMar>
            <w:vAlign w:val="bottom"/>
          </w:tcPr>
          <w:p w14:paraId="0BC98D2E"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D39" w14:textId="77777777">
        <w:tc>
          <w:tcPr>
            <w:tcW w:w="0" w:type="auto"/>
            <w:shd w:val="clear" w:color="auto" w:fill="auto"/>
            <w:tcMar>
              <w:top w:w="40" w:type="dxa"/>
              <w:left w:w="720" w:type="dxa"/>
              <w:bottom w:w="40" w:type="dxa"/>
              <w:right w:w="40" w:type="dxa"/>
            </w:tcMar>
            <w:vAlign w:val="bottom"/>
          </w:tcPr>
          <w:p w14:paraId="0BC98D30" w14:textId="77777777" w:rsidR="009F0928" w:rsidRDefault="002112BD">
            <w:pPr>
              <w:textAlignment w:val="bottom"/>
              <w:rPr>
                <w:rFonts w:ascii="Times New Roman" w:hAnsi="Times New Roman"/>
                <w:sz w:val="20"/>
                <w:szCs w:val="20"/>
              </w:rPr>
            </w:pPr>
            <w:r>
              <w:rPr>
                <w:rFonts w:ascii="Arial" w:eastAsia="宋体" w:hAnsi="Arial" w:cs="Arial"/>
                <w:sz w:val="20"/>
                <w:szCs w:val="20"/>
              </w:rPr>
              <w:t>Discontinued operations</w:t>
            </w:r>
          </w:p>
        </w:tc>
        <w:tc>
          <w:tcPr>
            <w:tcW w:w="0" w:type="auto"/>
            <w:gridSpan w:val="2"/>
            <w:shd w:val="clear" w:color="auto" w:fill="auto"/>
            <w:tcMar>
              <w:top w:w="40" w:type="dxa"/>
              <w:left w:w="40" w:type="dxa"/>
              <w:bottom w:w="40" w:type="dxa"/>
            </w:tcMar>
            <w:vAlign w:val="bottom"/>
          </w:tcPr>
          <w:p w14:paraId="0BC98D3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(0.01</w:t>
            </w:r>
          </w:p>
        </w:tc>
        <w:tc>
          <w:tcPr>
            <w:tcW w:w="0" w:type="auto"/>
            <w:shd w:val="clear" w:color="auto" w:fill="auto"/>
            <w:tcMar>
              <w:top w:w="40" w:type="dxa"/>
              <w:bottom w:w="40" w:type="dxa"/>
              <w:right w:w="40" w:type="dxa"/>
            </w:tcMar>
            <w:vAlign w:val="bottom"/>
          </w:tcPr>
          <w:p w14:paraId="0BC98D32"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D3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D3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vAlign w:val="bottom"/>
          </w:tcPr>
          <w:p w14:paraId="0BC98D3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D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D3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auto"/>
            <w:vAlign w:val="bottom"/>
          </w:tcPr>
          <w:p w14:paraId="0BC98D38" w14:textId="77777777" w:rsidR="009F0928" w:rsidRDefault="009F0928">
            <w:pPr>
              <w:textAlignment w:val="bottom"/>
              <w:rPr>
                <w:rFonts w:ascii="Times New Roman" w:hAnsi="Times New Roman"/>
                <w:sz w:val="20"/>
                <w:szCs w:val="20"/>
              </w:rPr>
            </w:pPr>
          </w:p>
        </w:tc>
      </w:tr>
      <w:tr w:rsidR="009F0928" w14:paraId="0BC98D46" w14:textId="77777777">
        <w:tc>
          <w:tcPr>
            <w:tcW w:w="0" w:type="auto"/>
            <w:shd w:val="clear" w:color="auto" w:fill="E2E2E2"/>
            <w:tcMar>
              <w:top w:w="40" w:type="dxa"/>
              <w:left w:w="40" w:type="dxa"/>
              <w:bottom w:w="40" w:type="dxa"/>
              <w:right w:w="40" w:type="dxa"/>
            </w:tcMar>
            <w:vAlign w:val="bottom"/>
          </w:tcPr>
          <w:p w14:paraId="0BC98D3A" w14:textId="77777777" w:rsidR="009F0928" w:rsidRDefault="002112BD">
            <w:pPr>
              <w:textAlignment w:val="bottom"/>
              <w:rPr>
                <w:rFonts w:ascii="Times New Roman" w:hAnsi="Times New Roman"/>
                <w:sz w:val="20"/>
                <w:szCs w:val="20"/>
              </w:rPr>
            </w:pPr>
            <w:r>
              <w:rPr>
                <w:rFonts w:ascii="Arial" w:eastAsia="宋体" w:hAnsi="Arial" w:cs="Arial"/>
                <w:sz w:val="20"/>
                <w:szCs w:val="20"/>
              </w:rPr>
              <w:t>Net income (loss) per share - diluted</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D3B"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D3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2.09</w:t>
            </w:r>
          </w:p>
        </w:tc>
        <w:tc>
          <w:tcPr>
            <w:tcW w:w="0" w:type="auto"/>
            <w:tcBorders>
              <w:top w:val="single" w:sz="8" w:space="0" w:color="000000"/>
              <w:bottom w:val="double" w:sz="6" w:space="0" w:color="000000"/>
            </w:tcBorders>
            <w:shd w:val="clear" w:color="auto" w:fill="E2E2E2"/>
            <w:vAlign w:val="bottom"/>
          </w:tcPr>
          <w:p w14:paraId="0BC98D3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D3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D3F"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D4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2.55</w:t>
            </w:r>
          </w:p>
        </w:tc>
        <w:tc>
          <w:tcPr>
            <w:tcW w:w="0" w:type="auto"/>
            <w:tcBorders>
              <w:top w:val="single" w:sz="8" w:space="0" w:color="000000"/>
              <w:bottom w:val="double" w:sz="6" w:space="0" w:color="000000"/>
            </w:tcBorders>
            <w:shd w:val="clear" w:color="auto" w:fill="E2E2E2"/>
            <w:vAlign w:val="bottom"/>
          </w:tcPr>
          <w:p w14:paraId="0BC98D4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D4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D43"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D4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(0.95</w:t>
            </w:r>
          </w:p>
        </w:tc>
        <w:tc>
          <w:tcPr>
            <w:tcW w:w="0" w:type="auto"/>
            <w:tcBorders>
              <w:top w:val="single" w:sz="8" w:space="0" w:color="000000"/>
              <w:bottom w:val="double" w:sz="6" w:space="0" w:color="000000"/>
            </w:tcBorders>
            <w:shd w:val="clear" w:color="auto" w:fill="E2E2E2"/>
            <w:tcMar>
              <w:top w:w="40" w:type="dxa"/>
              <w:bottom w:w="40" w:type="dxa"/>
              <w:right w:w="40" w:type="dxa"/>
            </w:tcMar>
            <w:vAlign w:val="bottom"/>
          </w:tcPr>
          <w:p w14:paraId="0BC98D45"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D4D" w14:textId="77777777">
        <w:tc>
          <w:tcPr>
            <w:tcW w:w="0" w:type="auto"/>
            <w:shd w:val="clear" w:color="auto" w:fill="auto"/>
            <w:tcMar>
              <w:top w:w="40" w:type="dxa"/>
              <w:left w:w="40" w:type="dxa"/>
              <w:bottom w:w="40" w:type="dxa"/>
              <w:right w:w="40" w:type="dxa"/>
            </w:tcMar>
            <w:vAlign w:val="bottom"/>
          </w:tcPr>
          <w:p w14:paraId="0BC98D4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D4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D4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D4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D4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D4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D54" w14:textId="77777777">
        <w:tc>
          <w:tcPr>
            <w:tcW w:w="0" w:type="auto"/>
            <w:shd w:val="clear" w:color="auto" w:fill="E2E2E2"/>
            <w:tcMar>
              <w:top w:w="40" w:type="dxa"/>
              <w:left w:w="40" w:type="dxa"/>
              <w:bottom w:w="40" w:type="dxa"/>
              <w:right w:w="40" w:type="dxa"/>
            </w:tcMar>
            <w:vAlign w:val="bottom"/>
          </w:tcPr>
          <w:p w14:paraId="0BC98D4E" w14:textId="77777777" w:rsidR="009F0928" w:rsidRDefault="002112BD">
            <w:pPr>
              <w:textAlignment w:val="bottom"/>
              <w:rPr>
                <w:rFonts w:ascii="Times New Roman" w:hAnsi="Times New Roman"/>
                <w:sz w:val="20"/>
                <w:szCs w:val="20"/>
              </w:rPr>
            </w:pPr>
            <w:r>
              <w:rPr>
                <w:rFonts w:ascii="Arial" w:eastAsia="宋体" w:hAnsi="Arial" w:cs="Arial"/>
                <w:sz w:val="20"/>
                <w:szCs w:val="20"/>
              </w:rPr>
              <w:t>Weighted average shares:</w:t>
            </w:r>
          </w:p>
        </w:tc>
        <w:tc>
          <w:tcPr>
            <w:tcW w:w="0" w:type="auto"/>
            <w:gridSpan w:val="3"/>
            <w:shd w:val="clear" w:color="auto" w:fill="E2E2E2"/>
            <w:tcMar>
              <w:top w:w="40" w:type="dxa"/>
              <w:left w:w="40" w:type="dxa"/>
              <w:bottom w:w="40" w:type="dxa"/>
              <w:right w:w="40" w:type="dxa"/>
            </w:tcMar>
            <w:vAlign w:val="bottom"/>
          </w:tcPr>
          <w:p w14:paraId="0BC98D4F" w14:textId="77777777" w:rsidR="009F0928" w:rsidRDefault="002112BD">
            <w:pPr>
              <w:textAlignment w:val="bottom"/>
              <w:rPr>
                <w:rFonts w:ascii="Times New Roman" w:hAnsi="Times New Roman"/>
                <w:sz w:val="8"/>
                <w:szCs w:val="8"/>
              </w:rPr>
            </w:pPr>
            <w:r>
              <w:rPr>
                <w:rFonts w:ascii="Arial" w:eastAsia="宋体" w:hAnsi="Arial" w:cs="Arial"/>
                <w:sz w:val="8"/>
                <w:szCs w:val="8"/>
              </w:rPr>
              <w:t> </w:t>
            </w:r>
          </w:p>
        </w:tc>
        <w:tc>
          <w:tcPr>
            <w:tcW w:w="0" w:type="auto"/>
            <w:shd w:val="clear" w:color="auto" w:fill="E2E2E2"/>
            <w:tcMar>
              <w:top w:w="40" w:type="dxa"/>
              <w:left w:w="40" w:type="dxa"/>
              <w:bottom w:w="40" w:type="dxa"/>
              <w:right w:w="40" w:type="dxa"/>
            </w:tcMar>
            <w:vAlign w:val="bottom"/>
          </w:tcPr>
          <w:p w14:paraId="0BC98D5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D51" w14:textId="77777777" w:rsidR="009F0928" w:rsidRDefault="002112BD">
            <w:pPr>
              <w:textAlignment w:val="bottom"/>
              <w:rPr>
                <w:rFonts w:ascii="Times New Roman" w:hAnsi="Times New Roman"/>
                <w:sz w:val="8"/>
                <w:szCs w:val="8"/>
              </w:rPr>
            </w:pPr>
            <w:r>
              <w:rPr>
                <w:rFonts w:ascii="Arial" w:eastAsia="宋体" w:hAnsi="Arial" w:cs="Arial"/>
                <w:sz w:val="8"/>
                <w:szCs w:val="8"/>
              </w:rPr>
              <w:t> </w:t>
            </w:r>
          </w:p>
        </w:tc>
        <w:tc>
          <w:tcPr>
            <w:tcW w:w="0" w:type="auto"/>
            <w:shd w:val="clear" w:color="auto" w:fill="E2E2E2"/>
            <w:tcMar>
              <w:top w:w="40" w:type="dxa"/>
              <w:left w:w="40" w:type="dxa"/>
              <w:bottom w:w="40" w:type="dxa"/>
              <w:right w:w="40" w:type="dxa"/>
            </w:tcMar>
            <w:vAlign w:val="bottom"/>
          </w:tcPr>
          <w:p w14:paraId="0BC98D5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D5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D5E" w14:textId="77777777">
        <w:tc>
          <w:tcPr>
            <w:tcW w:w="0" w:type="auto"/>
            <w:shd w:val="clear" w:color="auto" w:fill="auto"/>
            <w:tcMar>
              <w:top w:w="40" w:type="dxa"/>
              <w:left w:w="720" w:type="dxa"/>
              <w:bottom w:w="40" w:type="dxa"/>
              <w:right w:w="40" w:type="dxa"/>
            </w:tcMar>
            <w:vAlign w:val="bottom"/>
          </w:tcPr>
          <w:p w14:paraId="0BC98D55" w14:textId="77777777" w:rsidR="009F0928" w:rsidRDefault="002112BD">
            <w:pPr>
              <w:textAlignment w:val="bottom"/>
              <w:rPr>
                <w:rFonts w:ascii="Times New Roman" w:hAnsi="Times New Roman"/>
                <w:sz w:val="20"/>
                <w:szCs w:val="20"/>
              </w:rPr>
            </w:pPr>
            <w:r>
              <w:rPr>
                <w:rFonts w:ascii="Arial" w:eastAsia="宋体" w:hAnsi="Arial" w:cs="Arial"/>
                <w:sz w:val="20"/>
                <w:szCs w:val="20"/>
              </w:rPr>
              <w:t>Basic</w:t>
            </w:r>
          </w:p>
        </w:tc>
        <w:tc>
          <w:tcPr>
            <w:tcW w:w="0" w:type="auto"/>
            <w:gridSpan w:val="2"/>
            <w:tcBorders>
              <w:bottom w:val="double" w:sz="6" w:space="0" w:color="000000"/>
            </w:tcBorders>
            <w:shd w:val="clear" w:color="auto" w:fill="auto"/>
            <w:tcMar>
              <w:top w:w="40" w:type="dxa"/>
              <w:left w:w="40" w:type="dxa"/>
              <w:bottom w:w="40" w:type="dxa"/>
            </w:tcMar>
            <w:vAlign w:val="bottom"/>
          </w:tcPr>
          <w:p w14:paraId="0BC98D56"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849</w:t>
            </w:r>
          </w:p>
        </w:tc>
        <w:tc>
          <w:tcPr>
            <w:tcW w:w="0" w:type="auto"/>
            <w:tcBorders>
              <w:bottom w:val="double" w:sz="6" w:space="0" w:color="000000"/>
            </w:tcBorders>
            <w:shd w:val="clear" w:color="auto" w:fill="auto"/>
            <w:vAlign w:val="bottom"/>
          </w:tcPr>
          <w:p w14:paraId="0BC98D5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D5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BC98D5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980</w:t>
            </w:r>
          </w:p>
        </w:tc>
        <w:tc>
          <w:tcPr>
            <w:tcW w:w="0" w:type="auto"/>
            <w:tcBorders>
              <w:bottom w:val="double" w:sz="6" w:space="0" w:color="000000"/>
            </w:tcBorders>
            <w:shd w:val="clear" w:color="auto" w:fill="auto"/>
            <w:vAlign w:val="bottom"/>
          </w:tcPr>
          <w:p w14:paraId="0BC98D5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D5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BC98D5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1,064</w:t>
            </w:r>
          </w:p>
        </w:tc>
        <w:tc>
          <w:tcPr>
            <w:tcW w:w="0" w:type="auto"/>
            <w:tcBorders>
              <w:bottom w:val="double" w:sz="6" w:space="0" w:color="000000"/>
            </w:tcBorders>
            <w:shd w:val="clear" w:color="auto" w:fill="auto"/>
            <w:vAlign w:val="bottom"/>
          </w:tcPr>
          <w:p w14:paraId="0BC98D5D" w14:textId="77777777" w:rsidR="009F0928" w:rsidRDefault="009F0928">
            <w:pPr>
              <w:textAlignment w:val="bottom"/>
              <w:rPr>
                <w:rFonts w:ascii="Times New Roman" w:hAnsi="Times New Roman"/>
                <w:sz w:val="20"/>
                <w:szCs w:val="20"/>
              </w:rPr>
            </w:pPr>
          </w:p>
        </w:tc>
      </w:tr>
      <w:tr w:rsidR="009F0928" w14:paraId="0BC98D68" w14:textId="77777777">
        <w:tc>
          <w:tcPr>
            <w:tcW w:w="0" w:type="auto"/>
            <w:shd w:val="clear" w:color="auto" w:fill="E2E2E2"/>
            <w:tcMar>
              <w:top w:w="40" w:type="dxa"/>
              <w:left w:w="720" w:type="dxa"/>
              <w:bottom w:w="40" w:type="dxa"/>
              <w:right w:w="40" w:type="dxa"/>
            </w:tcMar>
            <w:vAlign w:val="bottom"/>
          </w:tcPr>
          <w:p w14:paraId="0BC98D5F" w14:textId="77777777" w:rsidR="009F0928" w:rsidRDefault="002112BD">
            <w:pPr>
              <w:textAlignment w:val="bottom"/>
              <w:rPr>
                <w:rFonts w:ascii="Times New Roman" w:hAnsi="Times New Roman"/>
                <w:sz w:val="20"/>
                <w:szCs w:val="20"/>
              </w:rPr>
            </w:pPr>
            <w:r>
              <w:rPr>
                <w:rFonts w:ascii="Arial" w:eastAsia="宋体" w:hAnsi="Arial" w:cs="Arial"/>
                <w:sz w:val="20"/>
                <w:szCs w:val="20"/>
              </w:rPr>
              <w:t>Diluted</w:t>
            </w:r>
          </w:p>
        </w:tc>
        <w:tc>
          <w:tcPr>
            <w:tcW w:w="0" w:type="auto"/>
            <w:gridSpan w:val="2"/>
            <w:tcBorders>
              <w:top w:val="double" w:sz="6" w:space="0" w:color="000000"/>
              <w:bottom w:val="double" w:sz="6" w:space="0" w:color="000000"/>
            </w:tcBorders>
            <w:shd w:val="clear" w:color="auto" w:fill="E2E2E2"/>
            <w:tcMar>
              <w:top w:w="40" w:type="dxa"/>
              <w:left w:w="40" w:type="dxa"/>
              <w:bottom w:w="40" w:type="dxa"/>
            </w:tcMar>
            <w:vAlign w:val="bottom"/>
          </w:tcPr>
          <w:p w14:paraId="0BC98D6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856</w:t>
            </w:r>
          </w:p>
        </w:tc>
        <w:tc>
          <w:tcPr>
            <w:tcW w:w="0" w:type="auto"/>
            <w:tcBorders>
              <w:top w:val="double" w:sz="6" w:space="0" w:color="000000"/>
              <w:bottom w:val="double" w:sz="6" w:space="0" w:color="000000"/>
            </w:tcBorders>
            <w:shd w:val="clear" w:color="auto" w:fill="E2E2E2"/>
            <w:vAlign w:val="bottom"/>
          </w:tcPr>
          <w:p w14:paraId="0BC98D6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D6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E2E2E2"/>
            <w:tcMar>
              <w:top w:w="40" w:type="dxa"/>
              <w:left w:w="40" w:type="dxa"/>
              <w:bottom w:w="40" w:type="dxa"/>
            </w:tcMar>
            <w:vAlign w:val="bottom"/>
          </w:tcPr>
          <w:p w14:paraId="0BC98D63"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991</w:t>
            </w:r>
          </w:p>
        </w:tc>
        <w:tc>
          <w:tcPr>
            <w:tcW w:w="0" w:type="auto"/>
            <w:tcBorders>
              <w:bottom w:val="double" w:sz="6" w:space="0" w:color="000000"/>
            </w:tcBorders>
            <w:shd w:val="clear" w:color="auto" w:fill="E2E2E2"/>
            <w:vAlign w:val="bottom"/>
          </w:tcPr>
          <w:p w14:paraId="0BC98D6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D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E2E2E2"/>
            <w:tcMar>
              <w:top w:w="40" w:type="dxa"/>
              <w:left w:w="40" w:type="dxa"/>
              <w:bottom w:w="40" w:type="dxa"/>
            </w:tcMar>
            <w:vAlign w:val="bottom"/>
          </w:tcPr>
          <w:p w14:paraId="0BC98D66"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1,064</w:t>
            </w:r>
          </w:p>
        </w:tc>
        <w:tc>
          <w:tcPr>
            <w:tcW w:w="0" w:type="auto"/>
            <w:tcBorders>
              <w:top w:val="double" w:sz="6" w:space="0" w:color="000000"/>
              <w:bottom w:val="double" w:sz="6" w:space="0" w:color="000000"/>
            </w:tcBorders>
            <w:shd w:val="clear" w:color="auto" w:fill="E2E2E2"/>
            <w:vAlign w:val="bottom"/>
          </w:tcPr>
          <w:p w14:paraId="0BC98D67" w14:textId="77777777" w:rsidR="009F0928" w:rsidRDefault="009F0928">
            <w:pPr>
              <w:textAlignment w:val="bottom"/>
              <w:rPr>
                <w:rFonts w:ascii="Times New Roman" w:hAnsi="Times New Roman"/>
                <w:sz w:val="20"/>
                <w:szCs w:val="20"/>
              </w:rPr>
            </w:pPr>
          </w:p>
        </w:tc>
      </w:tr>
    </w:tbl>
    <w:p w14:paraId="0BC98D69" w14:textId="77777777" w:rsidR="009F0928" w:rsidRDefault="009F0928">
      <w:pPr>
        <w:spacing w:line="288" w:lineRule="auto"/>
        <w:jc w:val="center"/>
        <w:rPr>
          <w:rFonts w:ascii="Times New Roman" w:hAnsi="Times New Roman"/>
          <w:sz w:val="20"/>
          <w:szCs w:val="20"/>
        </w:rPr>
      </w:pPr>
    </w:p>
    <w:p w14:paraId="0BC98D6A" w14:textId="77777777" w:rsidR="009F0928" w:rsidRDefault="002112BD">
      <w:pPr>
        <w:spacing w:line="288" w:lineRule="auto"/>
        <w:jc w:val="center"/>
        <w:rPr>
          <w:rFonts w:ascii="Times New Roman" w:hAnsi="Times New Roman"/>
          <w:sz w:val="20"/>
          <w:szCs w:val="20"/>
        </w:rPr>
      </w:pPr>
      <w:r>
        <w:rPr>
          <w:rFonts w:ascii="Arial" w:eastAsia="宋体" w:hAnsi="Arial" w:cs="Arial"/>
          <w:sz w:val="20"/>
          <w:szCs w:val="20"/>
        </w:rPr>
        <w:t xml:space="preserve">The accompanying notes are an integral part of these consolidated financial statements. </w:t>
      </w:r>
    </w:p>
    <w:p w14:paraId="0BC98D6B" w14:textId="77777777" w:rsidR="009F0928" w:rsidRDefault="009F0928">
      <w:pPr>
        <w:spacing w:line="288" w:lineRule="auto"/>
        <w:jc w:val="center"/>
        <w:rPr>
          <w:rFonts w:ascii="Times New Roman" w:hAnsi="Times New Roman"/>
          <w:sz w:val="20"/>
          <w:szCs w:val="20"/>
        </w:rPr>
      </w:pPr>
    </w:p>
    <w:p w14:paraId="0BC98D6C" w14:textId="77777777" w:rsidR="009F0928" w:rsidRDefault="009F0928">
      <w:pPr>
        <w:rPr>
          <w:rFonts w:ascii="Times New Roman" w:hAnsi="Times New Roman"/>
          <w:sz w:val="20"/>
          <w:szCs w:val="20"/>
        </w:rPr>
      </w:pPr>
    </w:p>
    <w:p w14:paraId="0BC98D6D"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F-4</w:t>
      </w:r>
    </w:p>
    <w:p w14:paraId="0BC98D6E" w14:textId="77777777" w:rsidR="009F0928" w:rsidRDefault="002112BD">
      <w:r>
        <w:rPr>
          <w:rFonts w:ascii="Times New Roman" w:hAnsi="Times New Roman"/>
          <w:sz w:val="18"/>
          <w:szCs w:val="18"/>
        </w:rPr>
        <w:pict w14:anchorId="0BC9B4FE">
          <v:rect id="_x0000_i1090" style="width:415.3pt;height:1.5pt" o:hralign="center" o:hrstd="t" o:hr="t" fillcolor="#a0a0a0" stroked="f"/>
        </w:pict>
      </w:r>
    </w:p>
    <w:p w14:paraId="0BC98D6F" w14:textId="77777777" w:rsidR="009F0928" w:rsidRDefault="009F0928">
      <w:pPr>
        <w:spacing w:line="288" w:lineRule="auto"/>
        <w:rPr>
          <w:rFonts w:ascii="Times New Roman" w:hAnsi="Times New Roman"/>
          <w:sz w:val="20"/>
          <w:szCs w:val="20"/>
        </w:rPr>
      </w:pPr>
    </w:p>
    <w:p w14:paraId="0BC98D70" w14:textId="77777777" w:rsidR="009F0928" w:rsidRDefault="009F0928">
      <w:pPr>
        <w:rPr>
          <w:rFonts w:ascii="Times New Roman" w:hAnsi="Times New Roman"/>
          <w:sz w:val="20"/>
          <w:szCs w:val="20"/>
        </w:rPr>
      </w:pPr>
    </w:p>
    <w:p w14:paraId="0BC98D71"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8D72"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CONSOLIDATED STATEMENT OF COMPREHENSIVE INCOME</w:t>
      </w:r>
    </w:p>
    <w:tbl>
      <w:tblPr>
        <w:tblW w:w="5000" w:type="pct"/>
        <w:jc w:val="center"/>
        <w:tblCellMar>
          <w:left w:w="0" w:type="dxa"/>
          <w:right w:w="0" w:type="dxa"/>
        </w:tblCellMar>
        <w:tblLook w:val="04A0" w:firstRow="1" w:lastRow="0" w:firstColumn="1" w:lastColumn="0" w:noHBand="0" w:noVBand="1"/>
      </w:tblPr>
      <w:tblGrid>
        <w:gridCol w:w="4807"/>
        <w:gridCol w:w="152"/>
        <w:gridCol w:w="820"/>
        <w:gridCol w:w="107"/>
        <w:gridCol w:w="130"/>
        <w:gridCol w:w="152"/>
        <w:gridCol w:w="821"/>
        <w:gridCol w:w="107"/>
        <w:gridCol w:w="130"/>
        <w:gridCol w:w="152"/>
        <w:gridCol w:w="821"/>
        <w:gridCol w:w="107"/>
      </w:tblGrid>
      <w:tr w:rsidR="009F0928" w14:paraId="0BC98D74" w14:textId="77777777">
        <w:trPr>
          <w:jc w:val="center"/>
        </w:trPr>
        <w:tc>
          <w:tcPr>
            <w:tcW w:w="0" w:type="auto"/>
            <w:gridSpan w:val="12"/>
            <w:shd w:val="clear" w:color="auto" w:fill="auto"/>
            <w:vAlign w:val="center"/>
          </w:tcPr>
          <w:p w14:paraId="0BC98D73" w14:textId="77777777" w:rsidR="009F0928" w:rsidRDefault="009F0928">
            <w:pPr>
              <w:rPr>
                <w:rFonts w:ascii="Times New Roman" w:hAnsi="Times New Roman"/>
                <w:sz w:val="20"/>
                <w:szCs w:val="20"/>
              </w:rPr>
            </w:pPr>
          </w:p>
        </w:tc>
      </w:tr>
      <w:tr w:rsidR="009F0928" w14:paraId="0BC98D81" w14:textId="77777777">
        <w:trPr>
          <w:jc w:val="center"/>
        </w:trPr>
        <w:tc>
          <w:tcPr>
            <w:tcW w:w="2950" w:type="pct"/>
            <w:shd w:val="clear" w:color="auto" w:fill="auto"/>
            <w:vAlign w:val="center"/>
          </w:tcPr>
          <w:p w14:paraId="0BC98D75" w14:textId="77777777" w:rsidR="009F0928" w:rsidRDefault="009F0928">
            <w:pPr>
              <w:rPr>
                <w:rFonts w:ascii="Times New Roman" w:hAnsi="Times New Roman"/>
                <w:sz w:val="20"/>
                <w:szCs w:val="20"/>
              </w:rPr>
            </w:pPr>
          </w:p>
        </w:tc>
        <w:tc>
          <w:tcPr>
            <w:tcW w:w="50" w:type="pct"/>
            <w:shd w:val="clear" w:color="auto" w:fill="auto"/>
            <w:vAlign w:val="center"/>
          </w:tcPr>
          <w:p w14:paraId="0BC98D76" w14:textId="77777777" w:rsidR="009F0928" w:rsidRDefault="009F0928">
            <w:pPr>
              <w:rPr>
                <w:rFonts w:ascii="Times New Roman" w:hAnsi="Times New Roman"/>
                <w:sz w:val="20"/>
                <w:szCs w:val="20"/>
              </w:rPr>
            </w:pPr>
          </w:p>
        </w:tc>
        <w:tc>
          <w:tcPr>
            <w:tcW w:w="550" w:type="pct"/>
            <w:shd w:val="clear" w:color="auto" w:fill="auto"/>
            <w:vAlign w:val="center"/>
          </w:tcPr>
          <w:p w14:paraId="0BC98D77" w14:textId="77777777" w:rsidR="009F0928" w:rsidRDefault="009F0928">
            <w:pPr>
              <w:rPr>
                <w:rFonts w:ascii="Times New Roman" w:hAnsi="Times New Roman"/>
                <w:sz w:val="20"/>
                <w:szCs w:val="20"/>
              </w:rPr>
            </w:pPr>
          </w:p>
        </w:tc>
        <w:tc>
          <w:tcPr>
            <w:tcW w:w="50" w:type="pct"/>
            <w:shd w:val="clear" w:color="auto" w:fill="auto"/>
            <w:vAlign w:val="center"/>
          </w:tcPr>
          <w:p w14:paraId="0BC98D78" w14:textId="77777777" w:rsidR="009F0928" w:rsidRDefault="009F0928">
            <w:pPr>
              <w:rPr>
                <w:rFonts w:ascii="Times New Roman" w:hAnsi="Times New Roman"/>
                <w:sz w:val="20"/>
                <w:szCs w:val="20"/>
              </w:rPr>
            </w:pPr>
          </w:p>
        </w:tc>
        <w:tc>
          <w:tcPr>
            <w:tcW w:w="50" w:type="pct"/>
            <w:shd w:val="clear" w:color="auto" w:fill="auto"/>
            <w:vAlign w:val="center"/>
          </w:tcPr>
          <w:p w14:paraId="0BC98D79" w14:textId="77777777" w:rsidR="009F0928" w:rsidRDefault="009F0928">
            <w:pPr>
              <w:rPr>
                <w:rFonts w:ascii="Times New Roman" w:hAnsi="Times New Roman"/>
                <w:sz w:val="20"/>
                <w:szCs w:val="20"/>
              </w:rPr>
            </w:pPr>
          </w:p>
        </w:tc>
        <w:tc>
          <w:tcPr>
            <w:tcW w:w="50" w:type="pct"/>
            <w:shd w:val="clear" w:color="auto" w:fill="auto"/>
            <w:vAlign w:val="center"/>
          </w:tcPr>
          <w:p w14:paraId="0BC98D7A" w14:textId="77777777" w:rsidR="009F0928" w:rsidRDefault="009F0928">
            <w:pPr>
              <w:rPr>
                <w:rFonts w:ascii="Times New Roman" w:hAnsi="Times New Roman"/>
                <w:sz w:val="20"/>
                <w:szCs w:val="20"/>
              </w:rPr>
            </w:pPr>
          </w:p>
        </w:tc>
        <w:tc>
          <w:tcPr>
            <w:tcW w:w="550" w:type="pct"/>
            <w:shd w:val="clear" w:color="auto" w:fill="auto"/>
            <w:vAlign w:val="center"/>
          </w:tcPr>
          <w:p w14:paraId="0BC98D7B" w14:textId="77777777" w:rsidR="009F0928" w:rsidRDefault="009F0928">
            <w:pPr>
              <w:rPr>
                <w:rFonts w:ascii="Times New Roman" w:hAnsi="Times New Roman"/>
                <w:sz w:val="20"/>
                <w:szCs w:val="20"/>
              </w:rPr>
            </w:pPr>
          </w:p>
        </w:tc>
        <w:tc>
          <w:tcPr>
            <w:tcW w:w="50" w:type="pct"/>
            <w:shd w:val="clear" w:color="auto" w:fill="auto"/>
            <w:vAlign w:val="center"/>
          </w:tcPr>
          <w:p w14:paraId="0BC98D7C" w14:textId="77777777" w:rsidR="009F0928" w:rsidRDefault="009F0928">
            <w:pPr>
              <w:rPr>
                <w:rFonts w:ascii="Times New Roman" w:hAnsi="Times New Roman"/>
                <w:sz w:val="20"/>
                <w:szCs w:val="20"/>
              </w:rPr>
            </w:pPr>
          </w:p>
        </w:tc>
        <w:tc>
          <w:tcPr>
            <w:tcW w:w="50" w:type="pct"/>
            <w:shd w:val="clear" w:color="auto" w:fill="auto"/>
            <w:vAlign w:val="center"/>
          </w:tcPr>
          <w:p w14:paraId="0BC98D7D" w14:textId="77777777" w:rsidR="009F0928" w:rsidRDefault="009F0928">
            <w:pPr>
              <w:rPr>
                <w:rFonts w:ascii="Times New Roman" w:hAnsi="Times New Roman"/>
                <w:sz w:val="20"/>
                <w:szCs w:val="20"/>
              </w:rPr>
            </w:pPr>
          </w:p>
        </w:tc>
        <w:tc>
          <w:tcPr>
            <w:tcW w:w="50" w:type="pct"/>
            <w:shd w:val="clear" w:color="auto" w:fill="auto"/>
            <w:vAlign w:val="center"/>
          </w:tcPr>
          <w:p w14:paraId="0BC98D7E" w14:textId="77777777" w:rsidR="009F0928" w:rsidRDefault="009F0928">
            <w:pPr>
              <w:rPr>
                <w:rFonts w:ascii="Times New Roman" w:hAnsi="Times New Roman"/>
                <w:sz w:val="20"/>
                <w:szCs w:val="20"/>
              </w:rPr>
            </w:pPr>
          </w:p>
        </w:tc>
        <w:tc>
          <w:tcPr>
            <w:tcW w:w="550" w:type="pct"/>
            <w:shd w:val="clear" w:color="auto" w:fill="auto"/>
            <w:vAlign w:val="center"/>
          </w:tcPr>
          <w:p w14:paraId="0BC98D7F" w14:textId="77777777" w:rsidR="009F0928" w:rsidRDefault="009F0928">
            <w:pPr>
              <w:rPr>
                <w:rFonts w:ascii="Times New Roman" w:hAnsi="Times New Roman"/>
                <w:sz w:val="20"/>
                <w:szCs w:val="20"/>
              </w:rPr>
            </w:pPr>
          </w:p>
        </w:tc>
        <w:tc>
          <w:tcPr>
            <w:tcW w:w="50" w:type="pct"/>
            <w:shd w:val="clear" w:color="auto" w:fill="auto"/>
            <w:vAlign w:val="center"/>
          </w:tcPr>
          <w:p w14:paraId="0BC98D80" w14:textId="77777777" w:rsidR="009F0928" w:rsidRDefault="009F0928">
            <w:pPr>
              <w:rPr>
                <w:rFonts w:ascii="Times New Roman" w:hAnsi="Times New Roman"/>
                <w:sz w:val="20"/>
                <w:szCs w:val="20"/>
              </w:rPr>
            </w:pPr>
          </w:p>
        </w:tc>
      </w:tr>
      <w:tr w:rsidR="009F0928" w14:paraId="0BC98D84" w14:textId="77777777">
        <w:trPr>
          <w:jc w:val="center"/>
        </w:trPr>
        <w:tc>
          <w:tcPr>
            <w:tcW w:w="0" w:type="auto"/>
            <w:shd w:val="clear" w:color="auto" w:fill="auto"/>
            <w:tcMar>
              <w:top w:w="40" w:type="dxa"/>
              <w:left w:w="40" w:type="dxa"/>
              <w:bottom w:w="40" w:type="dxa"/>
              <w:right w:w="40" w:type="dxa"/>
            </w:tcMar>
            <w:vAlign w:val="bottom"/>
          </w:tcPr>
          <w:p w14:paraId="0BC98D8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8D8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w:t>
            </w:r>
          </w:p>
        </w:tc>
      </w:tr>
      <w:tr w:rsidR="009F0928" w14:paraId="0BC98D8B" w14:textId="77777777">
        <w:trPr>
          <w:jc w:val="center"/>
        </w:trPr>
        <w:tc>
          <w:tcPr>
            <w:tcW w:w="0" w:type="auto"/>
            <w:shd w:val="clear" w:color="auto" w:fill="auto"/>
            <w:tcMar>
              <w:top w:w="40" w:type="dxa"/>
              <w:left w:w="40" w:type="dxa"/>
              <w:bottom w:w="40" w:type="dxa"/>
              <w:right w:w="40" w:type="dxa"/>
            </w:tcMar>
            <w:vAlign w:val="bottom"/>
          </w:tcPr>
          <w:p w14:paraId="0BC98D85"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D8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8D8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D88"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0BC98D8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D8A"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2017</w:t>
            </w:r>
          </w:p>
        </w:tc>
      </w:tr>
      <w:tr w:rsidR="009F0928" w14:paraId="0BC98D8E" w14:textId="77777777">
        <w:trPr>
          <w:jc w:val="center"/>
        </w:trPr>
        <w:tc>
          <w:tcPr>
            <w:tcW w:w="0" w:type="auto"/>
            <w:shd w:val="clear" w:color="auto" w:fill="auto"/>
            <w:tcMar>
              <w:top w:w="40" w:type="dxa"/>
              <w:left w:w="40" w:type="dxa"/>
              <w:bottom w:w="40" w:type="dxa"/>
              <w:right w:w="40" w:type="dxa"/>
            </w:tcMar>
            <w:vAlign w:val="bottom"/>
          </w:tcPr>
          <w:p w14:paraId="0BC98D8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w:t>
            </w:r>
          </w:p>
        </w:tc>
        <w:tc>
          <w:tcPr>
            <w:tcW w:w="0" w:type="auto"/>
            <w:gridSpan w:val="11"/>
            <w:shd w:val="clear" w:color="auto" w:fill="auto"/>
            <w:tcMar>
              <w:top w:w="40" w:type="dxa"/>
              <w:left w:w="40" w:type="dxa"/>
              <w:bottom w:w="40" w:type="dxa"/>
            </w:tcMar>
            <w:vAlign w:val="bottom"/>
          </w:tcPr>
          <w:p w14:paraId="0BC98D8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(In millions)</w:t>
            </w:r>
          </w:p>
        </w:tc>
      </w:tr>
      <w:tr w:rsidR="009F0928" w14:paraId="0BC98D9B" w14:textId="77777777">
        <w:trPr>
          <w:jc w:val="center"/>
        </w:trPr>
        <w:tc>
          <w:tcPr>
            <w:tcW w:w="0" w:type="auto"/>
            <w:shd w:val="clear" w:color="auto" w:fill="E2E2E2"/>
            <w:tcMar>
              <w:top w:w="40" w:type="dxa"/>
              <w:left w:w="40" w:type="dxa"/>
              <w:bottom w:w="40" w:type="dxa"/>
              <w:right w:w="40" w:type="dxa"/>
            </w:tcMar>
            <w:vAlign w:val="bottom"/>
          </w:tcPr>
          <w:p w14:paraId="0BC98D8F" w14:textId="77777777" w:rsidR="009F0928" w:rsidRDefault="002112BD">
            <w:pPr>
              <w:textAlignment w:val="bottom"/>
              <w:rPr>
                <w:rFonts w:ascii="Times New Roman" w:hAnsi="Times New Roman"/>
                <w:sz w:val="20"/>
                <w:szCs w:val="20"/>
              </w:rPr>
            </w:pPr>
            <w:r>
              <w:rPr>
                <w:rFonts w:ascii="Arial" w:eastAsia="宋体" w:hAnsi="Arial" w:cs="Arial"/>
                <w:sz w:val="20"/>
                <w:szCs w:val="20"/>
              </w:rPr>
              <w:t>Net income (loss)</w:t>
            </w:r>
          </w:p>
        </w:tc>
        <w:tc>
          <w:tcPr>
            <w:tcW w:w="0" w:type="auto"/>
            <w:tcBorders>
              <w:bottom w:val="single" w:sz="8" w:space="0" w:color="000000"/>
            </w:tcBorders>
            <w:shd w:val="clear" w:color="auto" w:fill="E2E2E2"/>
            <w:tcMar>
              <w:top w:w="40" w:type="dxa"/>
              <w:left w:w="40" w:type="dxa"/>
              <w:bottom w:w="40" w:type="dxa"/>
            </w:tcMar>
            <w:vAlign w:val="bottom"/>
          </w:tcPr>
          <w:p w14:paraId="0BC98D90"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E2E2E2"/>
            <w:tcMar>
              <w:top w:w="40" w:type="dxa"/>
              <w:bottom w:w="40" w:type="dxa"/>
            </w:tcMar>
            <w:vAlign w:val="bottom"/>
          </w:tcPr>
          <w:p w14:paraId="0BC98D9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1,786</w:t>
            </w:r>
          </w:p>
        </w:tc>
        <w:tc>
          <w:tcPr>
            <w:tcW w:w="0" w:type="auto"/>
            <w:tcBorders>
              <w:bottom w:val="single" w:sz="8" w:space="0" w:color="000000"/>
            </w:tcBorders>
            <w:shd w:val="clear" w:color="auto" w:fill="E2E2E2"/>
            <w:vAlign w:val="bottom"/>
          </w:tcPr>
          <w:p w14:paraId="0BC98D9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D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E2E2E2"/>
            <w:tcMar>
              <w:top w:w="40" w:type="dxa"/>
              <w:left w:w="40" w:type="dxa"/>
              <w:bottom w:w="40" w:type="dxa"/>
            </w:tcMar>
            <w:vAlign w:val="bottom"/>
          </w:tcPr>
          <w:p w14:paraId="0BC98D94"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E2E2E2"/>
            <w:tcMar>
              <w:top w:w="40" w:type="dxa"/>
              <w:bottom w:w="40" w:type="dxa"/>
            </w:tcMar>
            <w:vAlign w:val="bottom"/>
          </w:tcPr>
          <w:p w14:paraId="0BC98D95"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2,530</w:t>
            </w:r>
          </w:p>
        </w:tc>
        <w:tc>
          <w:tcPr>
            <w:tcW w:w="0" w:type="auto"/>
            <w:tcBorders>
              <w:bottom w:val="single" w:sz="8" w:space="0" w:color="000000"/>
            </w:tcBorders>
            <w:shd w:val="clear" w:color="auto" w:fill="E2E2E2"/>
            <w:vAlign w:val="bottom"/>
          </w:tcPr>
          <w:p w14:paraId="0BC98D9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D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E2E2E2"/>
            <w:tcMar>
              <w:top w:w="40" w:type="dxa"/>
              <w:left w:w="40" w:type="dxa"/>
              <w:bottom w:w="40" w:type="dxa"/>
            </w:tcMar>
            <w:vAlign w:val="bottom"/>
          </w:tcPr>
          <w:p w14:paraId="0BC98D98"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E2E2E2"/>
            <w:tcMar>
              <w:top w:w="40" w:type="dxa"/>
              <w:bottom w:w="40" w:type="dxa"/>
            </w:tcMar>
            <w:vAlign w:val="bottom"/>
          </w:tcPr>
          <w:p w14:paraId="0BC98D9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(1,017</w:t>
            </w:r>
          </w:p>
        </w:tc>
        <w:tc>
          <w:tcPr>
            <w:tcW w:w="0" w:type="auto"/>
            <w:tcBorders>
              <w:bottom w:val="single" w:sz="8" w:space="0" w:color="000000"/>
            </w:tcBorders>
            <w:shd w:val="clear" w:color="auto" w:fill="E2E2E2"/>
            <w:tcMar>
              <w:top w:w="40" w:type="dxa"/>
              <w:bottom w:w="40" w:type="dxa"/>
              <w:right w:w="40" w:type="dxa"/>
            </w:tcMar>
            <w:vAlign w:val="bottom"/>
          </w:tcPr>
          <w:p w14:paraId="0BC98D9A"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DA5" w14:textId="77777777">
        <w:trPr>
          <w:jc w:val="center"/>
        </w:trPr>
        <w:tc>
          <w:tcPr>
            <w:tcW w:w="0" w:type="auto"/>
            <w:shd w:val="clear" w:color="auto" w:fill="auto"/>
            <w:tcMar>
              <w:top w:w="40" w:type="dxa"/>
              <w:left w:w="40" w:type="dxa"/>
              <w:bottom w:w="40" w:type="dxa"/>
              <w:right w:w="40" w:type="dxa"/>
            </w:tcMar>
            <w:vAlign w:val="bottom"/>
          </w:tcPr>
          <w:p w14:paraId="0BC98D9C" w14:textId="77777777" w:rsidR="009F0928" w:rsidRDefault="002112BD">
            <w:pPr>
              <w:textAlignment w:val="bottom"/>
              <w:rPr>
                <w:rFonts w:ascii="Times New Roman" w:hAnsi="Times New Roman"/>
                <w:sz w:val="20"/>
                <w:szCs w:val="20"/>
              </w:rPr>
            </w:pPr>
            <w:r>
              <w:rPr>
                <w:rFonts w:ascii="Arial" w:eastAsia="宋体" w:hAnsi="Arial" w:cs="Arial"/>
                <w:sz w:val="20"/>
                <w:szCs w:val="20"/>
              </w:rPr>
              <w:t>Other comprehensive income (loss), net of reclassification adjustments:</w:t>
            </w:r>
          </w:p>
        </w:tc>
        <w:tc>
          <w:tcPr>
            <w:tcW w:w="0" w:type="auto"/>
            <w:gridSpan w:val="2"/>
            <w:shd w:val="clear" w:color="auto" w:fill="auto"/>
            <w:tcMar>
              <w:top w:w="40" w:type="dxa"/>
              <w:left w:w="40" w:type="dxa"/>
              <w:bottom w:w="40" w:type="dxa"/>
            </w:tcMar>
            <w:vAlign w:val="bottom"/>
          </w:tcPr>
          <w:p w14:paraId="0BC98D9D" w14:textId="77777777" w:rsidR="009F0928" w:rsidRDefault="002112BD">
            <w:pPr>
              <w:jc w:val="right"/>
              <w:textAlignment w:val="bottom"/>
              <w:rPr>
                <w:rFonts w:ascii="Times New Roman" w:hAnsi="Times New Roman"/>
                <w:sz w:val="8"/>
                <w:szCs w:val="8"/>
              </w:rPr>
            </w:pPr>
            <w:r>
              <w:rPr>
                <w:rFonts w:ascii="Arial" w:eastAsia="宋体" w:hAnsi="Arial" w:cs="Arial"/>
                <w:sz w:val="8"/>
                <w:szCs w:val="8"/>
              </w:rPr>
              <w:t> </w:t>
            </w:r>
          </w:p>
        </w:tc>
        <w:tc>
          <w:tcPr>
            <w:tcW w:w="0" w:type="auto"/>
            <w:shd w:val="clear" w:color="auto" w:fill="auto"/>
            <w:vAlign w:val="bottom"/>
          </w:tcPr>
          <w:p w14:paraId="0BC98D9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D9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DA0" w14:textId="77777777" w:rsidR="009F0928" w:rsidRDefault="002112BD">
            <w:pPr>
              <w:jc w:val="right"/>
              <w:textAlignment w:val="bottom"/>
              <w:rPr>
                <w:rFonts w:ascii="Times New Roman" w:hAnsi="Times New Roman"/>
                <w:sz w:val="8"/>
                <w:szCs w:val="8"/>
              </w:rPr>
            </w:pPr>
            <w:r>
              <w:rPr>
                <w:rFonts w:ascii="Arial" w:eastAsia="宋体" w:hAnsi="Arial" w:cs="Arial"/>
                <w:sz w:val="8"/>
                <w:szCs w:val="8"/>
              </w:rPr>
              <w:t> </w:t>
            </w:r>
          </w:p>
        </w:tc>
        <w:tc>
          <w:tcPr>
            <w:tcW w:w="0" w:type="auto"/>
            <w:shd w:val="clear" w:color="auto" w:fill="auto"/>
            <w:vAlign w:val="bottom"/>
          </w:tcPr>
          <w:p w14:paraId="0BC98DA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DA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DA3" w14:textId="77777777" w:rsidR="009F0928" w:rsidRDefault="002112BD">
            <w:pPr>
              <w:jc w:val="right"/>
              <w:textAlignment w:val="bottom"/>
              <w:rPr>
                <w:rFonts w:ascii="Times New Roman" w:hAnsi="Times New Roman"/>
                <w:sz w:val="8"/>
                <w:szCs w:val="8"/>
              </w:rPr>
            </w:pPr>
            <w:r>
              <w:rPr>
                <w:rFonts w:ascii="Arial" w:eastAsia="宋体" w:hAnsi="Arial" w:cs="Arial"/>
                <w:sz w:val="8"/>
                <w:szCs w:val="8"/>
              </w:rPr>
              <w:t> </w:t>
            </w:r>
          </w:p>
        </w:tc>
        <w:tc>
          <w:tcPr>
            <w:tcW w:w="0" w:type="auto"/>
            <w:shd w:val="clear" w:color="auto" w:fill="auto"/>
            <w:vAlign w:val="bottom"/>
          </w:tcPr>
          <w:p w14:paraId="0BC98DA4" w14:textId="77777777" w:rsidR="009F0928" w:rsidRDefault="009F0928">
            <w:pPr>
              <w:textAlignment w:val="bottom"/>
              <w:rPr>
                <w:rFonts w:ascii="Times New Roman" w:hAnsi="Times New Roman"/>
                <w:sz w:val="20"/>
                <w:szCs w:val="20"/>
              </w:rPr>
            </w:pPr>
          </w:p>
        </w:tc>
      </w:tr>
      <w:tr w:rsidR="009F0928" w14:paraId="0BC98DAF" w14:textId="77777777">
        <w:trPr>
          <w:jc w:val="center"/>
        </w:trPr>
        <w:tc>
          <w:tcPr>
            <w:tcW w:w="0" w:type="auto"/>
            <w:shd w:val="clear" w:color="auto" w:fill="E2E2E2"/>
            <w:tcMar>
              <w:top w:w="40" w:type="dxa"/>
              <w:left w:w="720" w:type="dxa"/>
              <w:bottom w:w="40" w:type="dxa"/>
              <w:right w:w="40" w:type="dxa"/>
            </w:tcMar>
            <w:vAlign w:val="bottom"/>
          </w:tcPr>
          <w:p w14:paraId="0BC98DA6" w14:textId="77777777" w:rsidR="009F0928" w:rsidRDefault="002112BD">
            <w:pPr>
              <w:textAlignment w:val="bottom"/>
              <w:rPr>
                <w:rFonts w:ascii="Times New Roman" w:hAnsi="Times New Roman"/>
                <w:sz w:val="20"/>
                <w:szCs w:val="20"/>
              </w:rPr>
            </w:pPr>
            <w:r>
              <w:rPr>
                <w:rFonts w:ascii="Arial" w:eastAsia="宋体" w:hAnsi="Arial" w:cs="Arial"/>
                <w:sz w:val="20"/>
                <w:szCs w:val="20"/>
              </w:rPr>
              <w:t>Foreign currency translation adjustment</w:t>
            </w:r>
          </w:p>
        </w:tc>
        <w:tc>
          <w:tcPr>
            <w:tcW w:w="0" w:type="auto"/>
            <w:gridSpan w:val="2"/>
            <w:shd w:val="clear" w:color="auto" w:fill="E2E2E2"/>
            <w:tcMar>
              <w:top w:w="40" w:type="dxa"/>
              <w:left w:w="40" w:type="dxa"/>
              <w:bottom w:w="40" w:type="dxa"/>
            </w:tcMar>
            <w:vAlign w:val="bottom"/>
          </w:tcPr>
          <w:p w14:paraId="0BC98DA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(99</w:t>
            </w:r>
          </w:p>
        </w:tc>
        <w:tc>
          <w:tcPr>
            <w:tcW w:w="0" w:type="auto"/>
            <w:shd w:val="clear" w:color="auto" w:fill="E2E2E2"/>
            <w:tcMar>
              <w:top w:w="40" w:type="dxa"/>
              <w:bottom w:w="40" w:type="dxa"/>
              <w:right w:w="40" w:type="dxa"/>
            </w:tcMar>
            <w:vAlign w:val="bottom"/>
          </w:tcPr>
          <w:p w14:paraId="0BC98DA8"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left w:w="40" w:type="dxa"/>
              <w:bottom w:w="40" w:type="dxa"/>
              <w:right w:w="40" w:type="dxa"/>
            </w:tcMar>
            <w:vAlign w:val="bottom"/>
          </w:tcPr>
          <w:p w14:paraId="0BC98D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DA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(286</w:t>
            </w:r>
          </w:p>
        </w:tc>
        <w:tc>
          <w:tcPr>
            <w:tcW w:w="0" w:type="auto"/>
            <w:shd w:val="clear" w:color="auto" w:fill="E2E2E2"/>
            <w:tcMar>
              <w:top w:w="40" w:type="dxa"/>
              <w:bottom w:w="40" w:type="dxa"/>
              <w:right w:w="40" w:type="dxa"/>
            </w:tcMar>
            <w:vAlign w:val="bottom"/>
          </w:tcPr>
          <w:p w14:paraId="0BC98DAB"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left w:w="40" w:type="dxa"/>
              <w:bottom w:w="40" w:type="dxa"/>
              <w:right w:w="40" w:type="dxa"/>
            </w:tcMar>
            <w:vAlign w:val="bottom"/>
          </w:tcPr>
          <w:p w14:paraId="0BC98DA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DA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978</w:t>
            </w:r>
          </w:p>
        </w:tc>
        <w:tc>
          <w:tcPr>
            <w:tcW w:w="0" w:type="auto"/>
            <w:shd w:val="clear" w:color="auto" w:fill="E2E2E2"/>
            <w:vAlign w:val="bottom"/>
          </w:tcPr>
          <w:p w14:paraId="0BC98DAE" w14:textId="77777777" w:rsidR="009F0928" w:rsidRDefault="009F0928">
            <w:pPr>
              <w:textAlignment w:val="bottom"/>
              <w:rPr>
                <w:rFonts w:ascii="Times New Roman" w:hAnsi="Times New Roman"/>
                <w:sz w:val="20"/>
                <w:szCs w:val="20"/>
              </w:rPr>
            </w:pPr>
          </w:p>
        </w:tc>
      </w:tr>
      <w:tr w:rsidR="009F0928" w14:paraId="0BC98DB9" w14:textId="77777777">
        <w:trPr>
          <w:jc w:val="center"/>
        </w:trPr>
        <w:tc>
          <w:tcPr>
            <w:tcW w:w="0" w:type="auto"/>
            <w:shd w:val="clear" w:color="auto" w:fill="auto"/>
            <w:tcMar>
              <w:top w:w="40" w:type="dxa"/>
              <w:left w:w="720" w:type="dxa"/>
              <w:bottom w:w="40" w:type="dxa"/>
              <w:right w:w="40" w:type="dxa"/>
            </w:tcMar>
            <w:vAlign w:val="bottom"/>
          </w:tcPr>
          <w:p w14:paraId="0BC98DB0" w14:textId="77777777" w:rsidR="009F0928" w:rsidRDefault="002112BD">
            <w:pPr>
              <w:textAlignment w:val="bottom"/>
              <w:rPr>
                <w:rFonts w:ascii="Times New Roman" w:hAnsi="Times New Roman"/>
                <w:sz w:val="20"/>
                <w:szCs w:val="20"/>
              </w:rPr>
            </w:pPr>
            <w:r>
              <w:rPr>
                <w:rFonts w:ascii="Arial" w:eastAsia="宋体" w:hAnsi="Arial" w:cs="Arial"/>
                <w:sz w:val="20"/>
                <w:szCs w:val="20"/>
              </w:rPr>
              <w:t xml:space="preserve">Unrealized gains (losses) on </w:t>
            </w:r>
            <w:r>
              <w:rPr>
                <w:rFonts w:ascii="Arial" w:eastAsia="宋体" w:hAnsi="Arial" w:cs="Arial"/>
                <w:sz w:val="20"/>
                <w:szCs w:val="20"/>
              </w:rPr>
              <w:t>investments, net</w:t>
            </w:r>
          </w:p>
        </w:tc>
        <w:tc>
          <w:tcPr>
            <w:tcW w:w="0" w:type="auto"/>
            <w:gridSpan w:val="2"/>
            <w:shd w:val="clear" w:color="auto" w:fill="auto"/>
            <w:tcMar>
              <w:top w:w="40" w:type="dxa"/>
              <w:left w:w="40" w:type="dxa"/>
              <w:bottom w:w="40" w:type="dxa"/>
            </w:tcMar>
            <w:vAlign w:val="bottom"/>
          </w:tcPr>
          <w:p w14:paraId="0BC98DB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61</w:t>
            </w:r>
          </w:p>
        </w:tc>
        <w:tc>
          <w:tcPr>
            <w:tcW w:w="0" w:type="auto"/>
            <w:shd w:val="clear" w:color="auto" w:fill="auto"/>
            <w:vAlign w:val="bottom"/>
          </w:tcPr>
          <w:p w14:paraId="0BC98DB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D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DB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(41</w:t>
            </w:r>
          </w:p>
        </w:tc>
        <w:tc>
          <w:tcPr>
            <w:tcW w:w="0" w:type="auto"/>
            <w:shd w:val="clear" w:color="auto" w:fill="auto"/>
            <w:tcMar>
              <w:top w:w="40" w:type="dxa"/>
              <w:bottom w:w="40" w:type="dxa"/>
              <w:right w:w="40" w:type="dxa"/>
            </w:tcMar>
            <w:vAlign w:val="bottom"/>
          </w:tcPr>
          <w:p w14:paraId="0BC98DB5"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D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DB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(66</w:t>
            </w:r>
          </w:p>
        </w:tc>
        <w:tc>
          <w:tcPr>
            <w:tcW w:w="0" w:type="auto"/>
            <w:shd w:val="clear" w:color="auto" w:fill="auto"/>
            <w:tcMar>
              <w:top w:w="40" w:type="dxa"/>
              <w:bottom w:w="40" w:type="dxa"/>
              <w:right w:w="40" w:type="dxa"/>
            </w:tcMar>
            <w:vAlign w:val="bottom"/>
          </w:tcPr>
          <w:p w14:paraId="0BC98DB8"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DC3" w14:textId="77777777">
        <w:trPr>
          <w:jc w:val="center"/>
        </w:trPr>
        <w:tc>
          <w:tcPr>
            <w:tcW w:w="0" w:type="auto"/>
            <w:shd w:val="clear" w:color="auto" w:fill="E2E2E2"/>
            <w:tcMar>
              <w:top w:w="40" w:type="dxa"/>
              <w:left w:w="720" w:type="dxa"/>
              <w:bottom w:w="40" w:type="dxa"/>
              <w:right w:w="40" w:type="dxa"/>
            </w:tcMar>
            <w:vAlign w:val="bottom"/>
          </w:tcPr>
          <w:p w14:paraId="0BC98DBA" w14:textId="77777777" w:rsidR="009F0928" w:rsidRDefault="002112BD">
            <w:pPr>
              <w:textAlignment w:val="bottom"/>
              <w:rPr>
                <w:rFonts w:ascii="Times New Roman" w:hAnsi="Times New Roman"/>
                <w:sz w:val="20"/>
                <w:szCs w:val="20"/>
              </w:rPr>
            </w:pPr>
            <w:r>
              <w:rPr>
                <w:rFonts w:ascii="Arial" w:eastAsia="宋体" w:hAnsi="Arial" w:cs="Arial"/>
                <w:sz w:val="20"/>
                <w:szCs w:val="20"/>
              </w:rPr>
              <w:t>Tax benefit (expense) on unrealized gains (losses) on investments, net</w:t>
            </w:r>
          </w:p>
        </w:tc>
        <w:tc>
          <w:tcPr>
            <w:tcW w:w="0" w:type="auto"/>
            <w:gridSpan w:val="2"/>
            <w:shd w:val="clear" w:color="auto" w:fill="E2E2E2"/>
            <w:tcMar>
              <w:top w:w="40" w:type="dxa"/>
              <w:left w:w="40" w:type="dxa"/>
              <w:bottom w:w="40" w:type="dxa"/>
            </w:tcMar>
            <w:vAlign w:val="bottom"/>
          </w:tcPr>
          <w:p w14:paraId="0BC98DBB"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(16</w:t>
            </w:r>
          </w:p>
        </w:tc>
        <w:tc>
          <w:tcPr>
            <w:tcW w:w="0" w:type="auto"/>
            <w:shd w:val="clear" w:color="auto" w:fill="E2E2E2"/>
            <w:tcMar>
              <w:top w:w="40" w:type="dxa"/>
              <w:bottom w:w="40" w:type="dxa"/>
              <w:right w:w="40" w:type="dxa"/>
            </w:tcMar>
            <w:vAlign w:val="bottom"/>
          </w:tcPr>
          <w:p w14:paraId="0BC98DBC"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left w:w="40" w:type="dxa"/>
              <w:bottom w:w="40" w:type="dxa"/>
              <w:right w:w="40" w:type="dxa"/>
            </w:tcMar>
            <w:vAlign w:val="bottom"/>
          </w:tcPr>
          <w:p w14:paraId="0BC98DB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DBE"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10</w:t>
            </w:r>
          </w:p>
        </w:tc>
        <w:tc>
          <w:tcPr>
            <w:tcW w:w="0" w:type="auto"/>
            <w:shd w:val="clear" w:color="auto" w:fill="E2E2E2"/>
            <w:vAlign w:val="bottom"/>
          </w:tcPr>
          <w:p w14:paraId="0BC98DB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D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DC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23</w:t>
            </w:r>
          </w:p>
        </w:tc>
        <w:tc>
          <w:tcPr>
            <w:tcW w:w="0" w:type="auto"/>
            <w:shd w:val="clear" w:color="auto" w:fill="E2E2E2"/>
            <w:vAlign w:val="bottom"/>
          </w:tcPr>
          <w:p w14:paraId="0BC98DC2" w14:textId="77777777" w:rsidR="009F0928" w:rsidRDefault="009F0928">
            <w:pPr>
              <w:textAlignment w:val="bottom"/>
              <w:rPr>
                <w:rFonts w:ascii="Times New Roman" w:hAnsi="Times New Roman"/>
                <w:sz w:val="20"/>
                <w:szCs w:val="20"/>
              </w:rPr>
            </w:pPr>
          </w:p>
        </w:tc>
      </w:tr>
      <w:tr w:rsidR="009F0928" w14:paraId="0BC98DCD" w14:textId="77777777">
        <w:trPr>
          <w:jc w:val="center"/>
        </w:trPr>
        <w:tc>
          <w:tcPr>
            <w:tcW w:w="0" w:type="auto"/>
            <w:shd w:val="clear" w:color="auto" w:fill="auto"/>
            <w:tcMar>
              <w:top w:w="40" w:type="dxa"/>
              <w:left w:w="720" w:type="dxa"/>
              <w:bottom w:w="40" w:type="dxa"/>
              <w:right w:w="40" w:type="dxa"/>
            </w:tcMar>
            <w:vAlign w:val="bottom"/>
          </w:tcPr>
          <w:p w14:paraId="0BC98DC4" w14:textId="77777777" w:rsidR="009F0928" w:rsidRDefault="002112BD">
            <w:pPr>
              <w:textAlignment w:val="bottom"/>
              <w:rPr>
                <w:rFonts w:ascii="Times New Roman" w:hAnsi="Times New Roman"/>
                <w:sz w:val="20"/>
                <w:szCs w:val="20"/>
              </w:rPr>
            </w:pPr>
            <w:r>
              <w:rPr>
                <w:rFonts w:ascii="Arial" w:eastAsia="宋体" w:hAnsi="Arial" w:cs="Arial"/>
                <w:sz w:val="20"/>
                <w:szCs w:val="20"/>
              </w:rPr>
              <w:t>Unrealized gains (losses) on hedging activities, net</w:t>
            </w:r>
          </w:p>
        </w:tc>
        <w:tc>
          <w:tcPr>
            <w:tcW w:w="0" w:type="auto"/>
            <w:gridSpan w:val="2"/>
            <w:shd w:val="clear" w:color="auto" w:fill="auto"/>
            <w:tcMar>
              <w:top w:w="40" w:type="dxa"/>
              <w:left w:w="40" w:type="dxa"/>
              <w:bottom w:w="40" w:type="dxa"/>
            </w:tcMar>
            <w:vAlign w:val="bottom"/>
          </w:tcPr>
          <w:p w14:paraId="0BC98DC5"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(77</w:t>
            </w:r>
          </w:p>
        </w:tc>
        <w:tc>
          <w:tcPr>
            <w:tcW w:w="0" w:type="auto"/>
            <w:shd w:val="clear" w:color="auto" w:fill="auto"/>
            <w:tcMar>
              <w:top w:w="40" w:type="dxa"/>
              <w:bottom w:w="40" w:type="dxa"/>
              <w:right w:w="40" w:type="dxa"/>
            </w:tcMar>
            <w:vAlign w:val="bottom"/>
          </w:tcPr>
          <w:p w14:paraId="0BC98DC6"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DC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DC8"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125</w:t>
            </w:r>
          </w:p>
        </w:tc>
        <w:tc>
          <w:tcPr>
            <w:tcW w:w="0" w:type="auto"/>
            <w:shd w:val="clear" w:color="auto" w:fill="auto"/>
            <w:vAlign w:val="bottom"/>
          </w:tcPr>
          <w:p w14:paraId="0BC98DC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DC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DCB"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(111</w:t>
            </w:r>
          </w:p>
        </w:tc>
        <w:tc>
          <w:tcPr>
            <w:tcW w:w="0" w:type="auto"/>
            <w:shd w:val="clear" w:color="auto" w:fill="auto"/>
            <w:tcMar>
              <w:top w:w="40" w:type="dxa"/>
              <w:bottom w:w="40" w:type="dxa"/>
              <w:right w:w="40" w:type="dxa"/>
            </w:tcMar>
            <w:vAlign w:val="bottom"/>
          </w:tcPr>
          <w:p w14:paraId="0BC98DCC"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DD7" w14:textId="77777777">
        <w:trPr>
          <w:jc w:val="center"/>
        </w:trPr>
        <w:tc>
          <w:tcPr>
            <w:tcW w:w="0" w:type="auto"/>
            <w:shd w:val="clear" w:color="auto" w:fill="E2E2E2"/>
            <w:tcMar>
              <w:top w:w="40" w:type="dxa"/>
              <w:left w:w="720" w:type="dxa"/>
              <w:bottom w:w="40" w:type="dxa"/>
              <w:right w:w="40" w:type="dxa"/>
            </w:tcMar>
            <w:vAlign w:val="bottom"/>
          </w:tcPr>
          <w:p w14:paraId="0BC98DCE" w14:textId="77777777" w:rsidR="009F0928" w:rsidRDefault="002112BD">
            <w:pPr>
              <w:textAlignment w:val="bottom"/>
              <w:rPr>
                <w:rFonts w:ascii="Times New Roman" w:hAnsi="Times New Roman"/>
                <w:sz w:val="20"/>
                <w:szCs w:val="20"/>
              </w:rPr>
            </w:pPr>
            <w:r>
              <w:rPr>
                <w:rFonts w:ascii="Arial" w:eastAsia="宋体" w:hAnsi="Arial" w:cs="Arial"/>
                <w:sz w:val="20"/>
                <w:szCs w:val="20"/>
              </w:rPr>
              <w:t xml:space="preserve">Tax benefit (expense) on unrealized gains </w:t>
            </w:r>
            <w:r>
              <w:rPr>
                <w:rFonts w:ascii="Arial" w:eastAsia="宋体" w:hAnsi="Arial" w:cs="Arial"/>
                <w:sz w:val="20"/>
                <w:szCs w:val="20"/>
              </w:rPr>
              <w:t>(losses) on hedging activities, net</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DCF"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17</w:t>
            </w:r>
          </w:p>
        </w:tc>
        <w:tc>
          <w:tcPr>
            <w:tcW w:w="0" w:type="auto"/>
            <w:tcBorders>
              <w:bottom w:val="single" w:sz="8" w:space="0" w:color="000000"/>
            </w:tcBorders>
            <w:shd w:val="clear" w:color="auto" w:fill="E2E2E2"/>
            <w:vAlign w:val="bottom"/>
          </w:tcPr>
          <w:p w14:paraId="0BC98DD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DD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DD2"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(27</w:t>
            </w:r>
          </w:p>
        </w:tc>
        <w:tc>
          <w:tcPr>
            <w:tcW w:w="0" w:type="auto"/>
            <w:tcBorders>
              <w:bottom w:val="single" w:sz="8" w:space="0" w:color="000000"/>
            </w:tcBorders>
            <w:shd w:val="clear" w:color="auto" w:fill="E2E2E2"/>
            <w:tcMar>
              <w:top w:w="40" w:type="dxa"/>
              <w:bottom w:w="40" w:type="dxa"/>
              <w:right w:w="40" w:type="dxa"/>
            </w:tcMar>
            <w:vAlign w:val="bottom"/>
          </w:tcPr>
          <w:p w14:paraId="0BC98DD3"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left w:w="40" w:type="dxa"/>
              <w:bottom w:w="40" w:type="dxa"/>
              <w:right w:w="40" w:type="dxa"/>
            </w:tcMar>
            <w:vAlign w:val="bottom"/>
          </w:tcPr>
          <w:p w14:paraId="0BC98DD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DD5"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17</w:t>
            </w:r>
          </w:p>
        </w:tc>
        <w:tc>
          <w:tcPr>
            <w:tcW w:w="0" w:type="auto"/>
            <w:tcBorders>
              <w:bottom w:val="single" w:sz="8" w:space="0" w:color="000000"/>
            </w:tcBorders>
            <w:shd w:val="clear" w:color="auto" w:fill="E2E2E2"/>
            <w:vAlign w:val="bottom"/>
          </w:tcPr>
          <w:p w14:paraId="0BC98DD6" w14:textId="77777777" w:rsidR="009F0928" w:rsidRDefault="009F0928">
            <w:pPr>
              <w:textAlignment w:val="bottom"/>
              <w:rPr>
                <w:rFonts w:ascii="Times New Roman" w:hAnsi="Times New Roman"/>
                <w:sz w:val="20"/>
                <w:szCs w:val="20"/>
              </w:rPr>
            </w:pPr>
          </w:p>
        </w:tc>
      </w:tr>
      <w:tr w:rsidR="009F0928" w14:paraId="0BC98DE1" w14:textId="77777777">
        <w:trPr>
          <w:jc w:val="center"/>
        </w:trPr>
        <w:tc>
          <w:tcPr>
            <w:tcW w:w="0" w:type="auto"/>
            <w:shd w:val="clear" w:color="auto" w:fill="auto"/>
            <w:tcMar>
              <w:top w:w="40" w:type="dxa"/>
              <w:left w:w="40" w:type="dxa"/>
              <w:bottom w:w="40" w:type="dxa"/>
              <w:right w:w="40" w:type="dxa"/>
            </w:tcMar>
            <w:vAlign w:val="bottom"/>
          </w:tcPr>
          <w:p w14:paraId="0BC98DD8" w14:textId="77777777" w:rsidR="009F0928" w:rsidRDefault="002112BD">
            <w:pPr>
              <w:textAlignment w:val="bottom"/>
              <w:rPr>
                <w:rFonts w:ascii="Times New Roman" w:hAnsi="Times New Roman"/>
                <w:sz w:val="20"/>
                <w:szCs w:val="20"/>
              </w:rPr>
            </w:pPr>
            <w:r>
              <w:rPr>
                <w:rFonts w:ascii="Arial" w:eastAsia="宋体" w:hAnsi="Arial" w:cs="Arial"/>
                <w:sz w:val="20"/>
                <w:szCs w:val="20"/>
              </w:rPr>
              <w:t>Other comprehensive income (loss), net of tax</w:t>
            </w:r>
          </w:p>
        </w:tc>
        <w:tc>
          <w:tcPr>
            <w:tcW w:w="0" w:type="auto"/>
            <w:gridSpan w:val="2"/>
            <w:tcBorders>
              <w:bottom w:val="single" w:sz="8" w:space="0" w:color="000000"/>
            </w:tcBorders>
            <w:shd w:val="clear" w:color="auto" w:fill="auto"/>
            <w:tcMar>
              <w:top w:w="40" w:type="dxa"/>
              <w:left w:w="40" w:type="dxa"/>
              <w:bottom w:w="40" w:type="dxa"/>
            </w:tcMar>
            <w:vAlign w:val="bottom"/>
          </w:tcPr>
          <w:p w14:paraId="0BC98DD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(114</w:t>
            </w:r>
          </w:p>
        </w:tc>
        <w:tc>
          <w:tcPr>
            <w:tcW w:w="0" w:type="auto"/>
            <w:tcBorders>
              <w:bottom w:val="single" w:sz="8" w:space="0" w:color="000000"/>
            </w:tcBorders>
            <w:shd w:val="clear" w:color="auto" w:fill="auto"/>
            <w:tcMar>
              <w:top w:w="40" w:type="dxa"/>
              <w:bottom w:w="40" w:type="dxa"/>
              <w:right w:w="40" w:type="dxa"/>
            </w:tcMar>
            <w:vAlign w:val="bottom"/>
          </w:tcPr>
          <w:p w14:paraId="0BC98DDA"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DD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DD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(219</w:t>
            </w:r>
          </w:p>
        </w:tc>
        <w:tc>
          <w:tcPr>
            <w:tcW w:w="0" w:type="auto"/>
            <w:tcBorders>
              <w:bottom w:val="single" w:sz="8" w:space="0" w:color="000000"/>
            </w:tcBorders>
            <w:shd w:val="clear" w:color="auto" w:fill="auto"/>
            <w:tcMar>
              <w:top w:w="40" w:type="dxa"/>
              <w:bottom w:w="40" w:type="dxa"/>
              <w:right w:w="40" w:type="dxa"/>
            </w:tcMar>
            <w:vAlign w:val="bottom"/>
          </w:tcPr>
          <w:p w14:paraId="0BC98DDD"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D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DDF"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841</w:t>
            </w:r>
          </w:p>
        </w:tc>
        <w:tc>
          <w:tcPr>
            <w:tcW w:w="0" w:type="auto"/>
            <w:tcBorders>
              <w:bottom w:val="single" w:sz="8" w:space="0" w:color="000000"/>
            </w:tcBorders>
            <w:shd w:val="clear" w:color="auto" w:fill="auto"/>
            <w:vAlign w:val="bottom"/>
          </w:tcPr>
          <w:p w14:paraId="0BC98DE0" w14:textId="77777777" w:rsidR="009F0928" w:rsidRDefault="009F0928">
            <w:pPr>
              <w:textAlignment w:val="bottom"/>
              <w:rPr>
                <w:rFonts w:ascii="Times New Roman" w:hAnsi="Times New Roman"/>
                <w:sz w:val="20"/>
                <w:szCs w:val="20"/>
              </w:rPr>
            </w:pPr>
          </w:p>
        </w:tc>
      </w:tr>
      <w:tr w:rsidR="009F0928" w14:paraId="0BC98DEE" w14:textId="77777777">
        <w:trPr>
          <w:jc w:val="center"/>
        </w:trPr>
        <w:tc>
          <w:tcPr>
            <w:tcW w:w="0" w:type="auto"/>
            <w:shd w:val="clear" w:color="auto" w:fill="E2E2E2"/>
            <w:tcMar>
              <w:top w:w="40" w:type="dxa"/>
              <w:left w:w="40" w:type="dxa"/>
              <w:bottom w:w="40" w:type="dxa"/>
              <w:right w:w="40" w:type="dxa"/>
            </w:tcMar>
            <w:vAlign w:val="bottom"/>
          </w:tcPr>
          <w:p w14:paraId="0BC98DE2" w14:textId="77777777" w:rsidR="009F0928" w:rsidRDefault="002112BD">
            <w:pPr>
              <w:textAlignment w:val="bottom"/>
              <w:rPr>
                <w:rFonts w:ascii="Times New Roman" w:hAnsi="Times New Roman"/>
                <w:sz w:val="20"/>
                <w:szCs w:val="20"/>
              </w:rPr>
            </w:pPr>
            <w:r>
              <w:rPr>
                <w:rFonts w:ascii="Arial" w:eastAsia="宋体" w:hAnsi="Arial" w:cs="Arial"/>
                <w:sz w:val="20"/>
                <w:szCs w:val="20"/>
              </w:rPr>
              <w:t>Comprehensive income (loss)</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DE3"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DE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1,672</w:t>
            </w:r>
          </w:p>
        </w:tc>
        <w:tc>
          <w:tcPr>
            <w:tcW w:w="0" w:type="auto"/>
            <w:tcBorders>
              <w:top w:val="single" w:sz="8" w:space="0" w:color="000000"/>
              <w:bottom w:val="double" w:sz="6" w:space="0" w:color="000000"/>
            </w:tcBorders>
            <w:shd w:val="clear" w:color="auto" w:fill="E2E2E2"/>
            <w:vAlign w:val="bottom"/>
          </w:tcPr>
          <w:p w14:paraId="0BC98DE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D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DE7"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DE8"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2,311</w:t>
            </w:r>
          </w:p>
        </w:tc>
        <w:tc>
          <w:tcPr>
            <w:tcW w:w="0" w:type="auto"/>
            <w:tcBorders>
              <w:top w:val="single" w:sz="8" w:space="0" w:color="000000"/>
              <w:bottom w:val="double" w:sz="6" w:space="0" w:color="000000"/>
            </w:tcBorders>
            <w:shd w:val="clear" w:color="auto" w:fill="E2E2E2"/>
            <w:vAlign w:val="bottom"/>
          </w:tcPr>
          <w:p w14:paraId="0BC98DE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DE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DEB"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DE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(176</w:t>
            </w:r>
          </w:p>
        </w:tc>
        <w:tc>
          <w:tcPr>
            <w:tcW w:w="0" w:type="auto"/>
            <w:tcBorders>
              <w:top w:val="single" w:sz="8" w:space="0" w:color="000000"/>
              <w:bottom w:val="double" w:sz="6" w:space="0" w:color="000000"/>
            </w:tcBorders>
            <w:shd w:val="clear" w:color="auto" w:fill="E2E2E2"/>
            <w:tcMar>
              <w:top w:w="40" w:type="dxa"/>
              <w:bottom w:w="40" w:type="dxa"/>
              <w:right w:w="40" w:type="dxa"/>
            </w:tcMar>
            <w:vAlign w:val="bottom"/>
          </w:tcPr>
          <w:p w14:paraId="0BC98DED"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bl>
    <w:p w14:paraId="0BC98DEF" w14:textId="77777777" w:rsidR="009F0928" w:rsidRDefault="009F0928">
      <w:pPr>
        <w:spacing w:line="288" w:lineRule="auto"/>
        <w:jc w:val="center"/>
        <w:rPr>
          <w:rFonts w:ascii="Times New Roman" w:hAnsi="Times New Roman"/>
          <w:sz w:val="20"/>
          <w:szCs w:val="20"/>
        </w:rPr>
      </w:pPr>
    </w:p>
    <w:p w14:paraId="0BC98DF0" w14:textId="77777777" w:rsidR="009F0928" w:rsidRDefault="002112BD">
      <w:pPr>
        <w:spacing w:line="288" w:lineRule="auto"/>
        <w:jc w:val="center"/>
        <w:rPr>
          <w:rFonts w:ascii="Times New Roman" w:hAnsi="Times New Roman"/>
          <w:sz w:val="20"/>
          <w:szCs w:val="20"/>
        </w:rPr>
      </w:pPr>
      <w:r>
        <w:rPr>
          <w:rFonts w:ascii="Arial" w:eastAsia="宋体" w:hAnsi="Arial" w:cs="Arial"/>
          <w:sz w:val="20"/>
          <w:szCs w:val="20"/>
        </w:rPr>
        <w:t xml:space="preserve">The accompanying notes are an integral part of these consolidated financial statements. </w:t>
      </w:r>
    </w:p>
    <w:p w14:paraId="0BC98DF1" w14:textId="77777777" w:rsidR="009F0928" w:rsidRDefault="009F0928">
      <w:pPr>
        <w:spacing w:line="288" w:lineRule="auto"/>
        <w:jc w:val="center"/>
        <w:rPr>
          <w:rFonts w:ascii="Times New Roman" w:hAnsi="Times New Roman"/>
          <w:sz w:val="20"/>
          <w:szCs w:val="20"/>
        </w:rPr>
      </w:pPr>
    </w:p>
    <w:p w14:paraId="0BC98DF2" w14:textId="77777777" w:rsidR="009F0928" w:rsidRDefault="009F0928">
      <w:pPr>
        <w:rPr>
          <w:rFonts w:ascii="Times New Roman" w:hAnsi="Times New Roman"/>
          <w:sz w:val="20"/>
          <w:szCs w:val="20"/>
        </w:rPr>
      </w:pPr>
    </w:p>
    <w:p w14:paraId="0BC98DF3"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F-5</w:t>
      </w:r>
    </w:p>
    <w:p w14:paraId="0BC98DF4" w14:textId="77777777" w:rsidR="009F0928" w:rsidRDefault="002112BD">
      <w:r>
        <w:rPr>
          <w:rFonts w:ascii="Times New Roman" w:hAnsi="Times New Roman"/>
          <w:sz w:val="18"/>
          <w:szCs w:val="18"/>
        </w:rPr>
        <w:pict w14:anchorId="0BC9B4FF">
          <v:rect id="_x0000_i1091" style="width:415.3pt;height:1.5pt" o:hralign="center" o:hrstd="t" o:hr="t" fillcolor="#a0a0a0" stroked="f"/>
        </w:pict>
      </w:r>
    </w:p>
    <w:p w14:paraId="0BC98DF5" w14:textId="77777777" w:rsidR="009F0928" w:rsidRDefault="009F0928">
      <w:pPr>
        <w:spacing w:line="288" w:lineRule="auto"/>
        <w:rPr>
          <w:rFonts w:ascii="Times New Roman" w:hAnsi="Times New Roman"/>
          <w:sz w:val="20"/>
          <w:szCs w:val="20"/>
        </w:rPr>
      </w:pPr>
    </w:p>
    <w:p w14:paraId="0BC98DF6" w14:textId="77777777" w:rsidR="009F0928" w:rsidRDefault="009F0928">
      <w:pPr>
        <w:rPr>
          <w:rFonts w:ascii="Times New Roman" w:hAnsi="Times New Roman"/>
          <w:sz w:val="20"/>
          <w:szCs w:val="20"/>
        </w:rPr>
      </w:pPr>
    </w:p>
    <w:p w14:paraId="0BC98DF7"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eBay Inc. </w:t>
      </w:r>
    </w:p>
    <w:p w14:paraId="0BC98DF8"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CONSOLIDATED STATEMENT OF STOCKHOLDERS’ EQUITY </w:t>
      </w:r>
    </w:p>
    <w:tbl>
      <w:tblPr>
        <w:tblW w:w="5000" w:type="pct"/>
        <w:jc w:val="center"/>
        <w:tblCellMar>
          <w:left w:w="0" w:type="dxa"/>
          <w:right w:w="0" w:type="dxa"/>
        </w:tblCellMar>
        <w:tblLook w:val="04A0" w:firstRow="1" w:lastRow="0" w:firstColumn="1" w:lastColumn="0" w:noHBand="0" w:noVBand="1"/>
      </w:tblPr>
      <w:tblGrid>
        <w:gridCol w:w="4806"/>
        <w:gridCol w:w="153"/>
        <w:gridCol w:w="820"/>
        <w:gridCol w:w="107"/>
        <w:gridCol w:w="130"/>
        <w:gridCol w:w="153"/>
        <w:gridCol w:w="820"/>
        <w:gridCol w:w="107"/>
        <w:gridCol w:w="130"/>
        <w:gridCol w:w="153"/>
        <w:gridCol w:w="820"/>
        <w:gridCol w:w="107"/>
      </w:tblGrid>
      <w:tr w:rsidR="009F0928" w14:paraId="0BC98DFA" w14:textId="77777777">
        <w:trPr>
          <w:jc w:val="center"/>
        </w:trPr>
        <w:tc>
          <w:tcPr>
            <w:tcW w:w="0" w:type="auto"/>
            <w:gridSpan w:val="12"/>
            <w:shd w:val="clear" w:color="auto" w:fill="auto"/>
            <w:vAlign w:val="center"/>
          </w:tcPr>
          <w:p w14:paraId="0BC98DF9" w14:textId="77777777" w:rsidR="009F0928" w:rsidRDefault="009F0928">
            <w:pPr>
              <w:rPr>
                <w:rFonts w:ascii="Times New Roman" w:hAnsi="Times New Roman"/>
                <w:sz w:val="20"/>
                <w:szCs w:val="20"/>
              </w:rPr>
            </w:pPr>
          </w:p>
        </w:tc>
      </w:tr>
      <w:tr w:rsidR="009F0928" w14:paraId="0BC98E07" w14:textId="77777777">
        <w:trPr>
          <w:jc w:val="center"/>
        </w:trPr>
        <w:tc>
          <w:tcPr>
            <w:tcW w:w="2950" w:type="pct"/>
            <w:shd w:val="clear" w:color="auto" w:fill="auto"/>
            <w:vAlign w:val="center"/>
          </w:tcPr>
          <w:p w14:paraId="0BC98DFB" w14:textId="77777777" w:rsidR="009F0928" w:rsidRDefault="009F0928">
            <w:pPr>
              <w:rPr>
                <w:rFonts w:ascii="Times New Roman" w:hAnsi="Times New Roman"/>
                <w:sz w:val="20"/>
                <w:szCs w:val="20"/>
              </w:rPr>
            </w:pPr>
          </w:p>
        </w:tc>
        <w:tc>
          <w:tcPr>
            <w:tcW w:w="50" w:type="pct"/>
            <w:shd w:val="clear" w:color="auto" w:fill="auto"/>
            <w:vAlign w:val="center"/>
          </w:tcPr>
          <w:p w14:paraId="0BC98DFC" w14:textId="77777777" w:rsidR="009F0928" w:rsidRDefault="009F0928">
            <w:pPr>
              <w:rPr>
                <w:rFonts w:ascii="Times New Roman" w:hAnsi="Times New Roman"/>
                <w:sz w:val="20"/>
                <w:szCs w:val="20"/>
              </w:rPr>
            </w:pPr>
          </w:p>
        </w:tc>
        <w:tc>
          <w:tcPr>
            <w:tcW w:w="550" w:type="pct"/>
            <w:shd w:val="clear" w:color="auto" w:fill="auto"/>
            <w:vAlign w:val="center"/>
          </w:tcPr>
          <w:p w14:paraId="0BC98DFD" w14:textId="77777777" w:rsidR="009F0928" w:rsidRDefault="009F0928">
            <w:pPr>
              <w:rPr>
                <w:rFonts w:ascii="Times New Roman" w:hAnsi="Times New Roman"/>
                <w:sz w:val="20"/>
                <w:szCs w:val="20"/>
              </w:rPr>
            </w:pPr>
          </w:p>
        </w:tc>
        <w:tc>
          <w:tcPr>
            <w:tcW w:w="50" w:type="pct"/>
            <w:shd w:val="clear" w:color="auto" w:fill="auto"/>
            <w:vAlign w:val="center"/>
          </w:tcPr>
          <w:p w14:paraId="0BC98DFE" w14:textId="77777777" w:rsidR="009F0928" w:rsidRDefault="009F0928">
            <w:pPr>
              <w:rPr>
                <w:rFonts w:ascii="Times New Roman" w:hAnsi="Times New Roman"/>
                <w:sz w:val="20"/>
                <w:szCs w:val="20"/>
              </w:rPr>
            </w:pPr>
          </w:p>
        </w:tc>
        <w:tc>
          <w:tcPr>
            <w:tcW w:w="50" w:type="pct"/>
            <w:shd w:val="clear" w:color="auto" w:fill="auto"/>
            <w:vAlign w:val="center"/>
          </w:tcPr>
          <w:p w14:paraId="0BC98DFF" w14:textId="77777777" w:rsidR="009F0928" w:rsidRDefault="009F0928">
            <w:pPr>
              <w:rPr>
                <w:rFonts w:ascii="Times New Roman" w:hAnsi="Times New Roman"/>
                <w:sz w:val="20"/>
                <w:szCs w:val="20"/>
              </w:rPr>
            </w:pPr>
          </w:p>
        </w:tc>
        <w:tc>
          <w:tcPr>
            <w:tcW w:w="50" w:type="pct"/>
            <w:shd w:val="clear" w:color="auto" w:fill="auto"/>
            <w:vAlign w:val="center"/>
          </w:tcPr>
          <w:p w14:paraId="0BC98E00" w14:textId="77777777" w:rsidR="009F0928" w:rsidRDefault="009F0928">
            <w:pPr>
              <w:rPr>
                <w:rFonts w:ascii="Times New Roman" w:hAnsi="Times New Roman"/>
                <w:sz w:val="20"/>
                <w:szCs w:val="20"/>
              </w:rPr>
            </w:pPr>
          </w:p>
        </w:tc>
        <w:tc>
          <w:tcPr>
            <w:tcW w:w="550" w:type="pct"/>
            <w:shd w:val="clear" w:color="auto" w:fill="auto"/>
            <w:vAlign w:val="center"/>
          </w:tcPr>
          <w:p w14:paraId="0BC98E01" w14:textId="77777777" w:rsidR="009F0928" w:rsidRDefault="009F0928">
            <w:pPr>
              <w:rPr>
                <w:rFonts w:ascii="Times New Roman" w:hAnsi="Times New Roman"/>
                <w:sz w:val="20"/>
                <w:szCs w:val="20"/>
              </w:rPr>
            </w:pPr>
          </w:p>
        </w:tc>
        <w:tc>
          <w:tcPr>
            <w:tcW w:w="50" w:type="pct"/>
            <w:shd w:val="clear" w:color="auto" w:fill="auto"/>
            <w:vAlign w:val="center"/>
          </w:tcPr>
          <w:p w14:paraId="0BC98E02" w14:textId="77777777" w:rsidR="009F0928" w:rsidRDefault="009F0928">
            <w:pPr>
              <w:rPr>
                <w:rFonts w:ascii="Times New Roman" w:hAnsi="Times New Roman"/>
                <w:sz w:val="20"/>
                <w:szCs w:val="20"/>
              </w:rPr>
            </w:pPr>
          </w:p>
        </w:tc>
        <w:tc>
          <w:tcPr>
            <w:tcW w:w="50" w:type="pct"/>
            <w:shd w:val="clear" w:color="auto" w:fill="auto"/>
            <w:vAlign w:val="center"/>
          </w:tcPr>
          <w:p w14:paraId="0BC98E03" w14:textId="77777777" w:rsidR="009F0928" w:rsidRDefault="009F0928">
            <w:pPr>
              <w:rPr>
                <w:rFonts w:ascii="Times New Roman" w:hAnsi="Times New Roman"/>
                <w:sz w:val="20"/>
                <w:szCs w:val="20"/>
              </w:rPr>
            </w:pPr>
          </w:p>
        </w:tc>
        <w:tc>
          <w:tcPr>
            <w:tcW w:w="50" w:type="pct"/>
            <w:shd w:val="clear" w:color="auto" w:fill="auto"/>
            <w:vAlign w:val="center"/>
          </w:tcPr>
          <w:p w14:paraId="0BC98E04" w14:textId="77777777" w:rsidR="009F0928" w:rsidRDefault="009F0928">
            <w:pPr>
              <w:rPr>
                <w:rFonts w:ascii="Times New Roman" w:hAnsi="Times New Roman"/>
                <w:sz w:val="20"/>
                <w:szCs w:val="20"/>
              </w:rPr>
            </w:pPr>
          </w:p>
        </w:tc>
        <w:tc>
          <w:tcPr>
            <w:tcW w:w="550" w:type="pct"/>
            <w:shd w:val="clear" w:color="auto" w:fill="auto"/>
            <w:vAlign w:val="center"/>
          </w:tcPr>
          <w:p w14:paraId="0BC98E05" w14:textId="77777777" w:rsidR="009F0928" w:rsidRDefault="009F0928">
            <w:pPr>
              <w:rPr>
                <w:rFonts w:ascii="Times New Roman" w:hAnsi="Times New Roman"/>
                <w:sz w:val="20"/>
                <w:szCs w:val="20"/>
              </w:rPr>
            </w:pPr>
          </w:p>
        </w:tc>
        <w:tc>
          <w:tcPr>
            <w:tcW w:w="50" w:type="pct"/>
            <w:shd w:val="clear" w:color="auto" w:fill="auto"/>
            <w:vAlign w:val="center"/>
          </w:tcPr>
          <w:p w14:paraId="0BC98E06" w14:textId="77777777" w:rsidR="009F0928" w:rsidRDefault="009F0928">
            <w:pPr>
              <w:rPr>
                <w:rFonts w:ascii="Times New Roman" w:hAnsi="Times New Roman"/>
                <w:sz w:val="20"/>
                <w:szCs w:val="20"/>
              </w:rPr>
            </w:pPr>
          </w:p>
        </w:tc>
      </w:tr>
      <w:tr w:rsidR="009F0928" w14:paraId="0BC98E0A" w14:textId="77777777">
        <w:trPr>
          <w:jc w:val="center"/>
        </w:trPr>
        <w:tc>
          <w:tcPr>
            <w:tcW w:w="0" w:type="auto"/>
            <w:shd w:val="clear" w:color="auto" w:fill="auto"/>
            <w:tcMar>
              <w:top w:w="40" w:type="dxa"/>
              <w:left w:w="40" w:type="dxa"/>
              <w:bottom w:w="40" w:type="dxa"/>
              <w:right w:w="40" w:type="dxa"/>
            </w:tcMar>
            <w:vAlign w:val="bottom"/>
          </w:tcPr>
          <w:p w14:paraId="0BC98E08"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8E09"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w:t>
            </w:r>
          </w:p>
        </w:tc>
      </w:tr>
      <w:tr w:rsidR="009F0928" w14:paraId="0BC98E11" w14:textId="77777777">
        <w:trPr>
          <w:jc w:val="center"/>
        </w:trPr>
        <w:tc>
          <w:tcPr>
            <w:tcW w:w="0" w:type="auto"/>
            <w:shd w:val="clear" w:color="auto" w:fill="auto"/>
            <w:tcMar>
              <w:top w:w="40" w:type="dxa"/>
              <w:left w:w="40" w:type="dxa"/>
              <w:bottom w:w="40" w:type="dxa"/>
              <w:right w:w="40" w:type="dxa"/>
            </w:tcMar>
            <w:vAlign w:val="bottom"/>
          </w:tcPr>
          <w:p w14:paraId="0BC98E0B"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E0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8E0D"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E0E"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0BC98E0F"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E1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2017</w:t>
            </w:r>
          </w:p>
        </w:tc>
      </w:tr>
      <w:tr w:rsidR="009F0928" w14:paraId="0BC98E14" w14:textId="77777777">
        <w:trPr>
          <w:jc w:val="center"/>
        </w:trPr>
        <w:tc>
          <w:tcPr>
            <w:tcW w:w="0" w:type="auto"/>
            <w:shd w:val="clear" w:color="auto" w:fill="auto"/>
            <w:tcMar>
              <w:top w:w="40" w:type="dxa"/>
              <w:left w:w="40" w:type="dxa"/>
              <w:bottom w:w="40" w:type="dxa"/>
              <w:right w:w="40" w:type="dxa"/>
            </w:tcMar>
            <w:vAlign w:val="bottom"/>
          </w:tcPr>
          <w:p w14:paraId="0BC98E12"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11"/>
            <w:shd w:val="clear" w:color="auto" w:fill="auto"/>
            <w:tcMar>
              <w:top w:w="40" w:type="dxa"/>
              <w:left w:w="40" w:type="dxa"/>
              <w:bottom w:w="40" w:type="dxa"/>
            </w:tcMar>
            <w:vAlign w:val="bottom"/>
          </w:tcPr>
          <w:p w14:paraId="0BC98E1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(In millions)</w:t>
            </w:r>
          </w:p>
        </w:tc>
      </w:tr>
      <w:tr w:rsidR="009F0928" w14:paraId="0BC98E1B" w14:textId="77777777">
        <w:trPr>
          <w:jc w:val="center"/>
        </w:trPr>
        <w:tc>
          <w:tcPr>
            <w:tcW w:w="0" w:type="auto"/>
            <w:shd w:val="clear" w:color="auto" w:fill="E2E2E2"/>
            <w:tcMar>
              <w:top w:w="40" w:type="dxa"/>
              <w:left w:w="40" w:type="dxa"/>
              <w:bottom w:w="40" w:type="dxa"/>
              <w:right w:w="40" w:type="dxa"/>
            </w:tcMar>
            <w:vAlign w:val="bottom"/>
          </w:tcPr>
          <w:p w14:paraId="0BC98E15" w14:textId="77777777" w:rsidR="009F0928" w:rsidRDefault="002112BD">
            <w:pPr>
              <w:textAlignment w:val="bottom"/>
              <w:rPr>
                <w:rFonts w:ascii="Times New Roman" w:hAnsi="Times New Roman"/>
                <w:sz w:val="20"/>
                <w:szCs w:val="20"/>
              </w:rPr>
            </w:pPr>
            <w:r>
              <w:rPr>
                <w:rFonts w:ascii="Arial" w:eastAsia="宋体" w:hAnsi="Arial" w:cs="Arial"/>
                <w:sz w:val="20"/>
                <w:szCs w:val="20"/>
              </w:rPr>
              <w:t xml:space="preserve">Common </w:t>
            </w:r>
            <w:r>
              <w:rPr>
                <w:rFonts w:ascii="Arial" w:eastAsia="宋体" w:hAnsi="Arial" w:cs="Arial"/>
                <w:sz w:val="20"/>
                <w:szCs w:val="20"/>
              </w:rPr>
              <w:t>stock:</w:t>
            </w:r>
          </w:p>
        </w:tc>
        <w:tc>
          <w:tcPr>
            <w:tcW w:w="0" w:type="auto"/>
            <w:gridSpan w:val="3"/>
            <w:shd w:val="clear" w:color="auto" w:fill="E2E2E2"/>
            <w:tcMar>
              <w:top w:w="40" w:type="dxa"/>
              <w:left w:w="40" w:type="dxa"/>
              <w:bottom w:w="40" w:type="dxa"/>
              <w:right w:w="40" w:type="dxa"/>
            </w:tcMar>
            <w:vAlign w:val="bottom"/>
          </w:tcPr>
          <w:p w14:paraId="0BC98E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E17"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shd w:val="clear" w:color="auto" w:fill="E2E2E2"/>
            <w:tcMar>
              <w:top w:w="40" w:type="dxa"/>
              <w:left w:w="40" w:type="dxa"/>
              <w:bottom w:w="40" w:type="dxa"/>
              <w:right w:w="40" w:type="dxa"/>
            </w:tcMar>
            <w:vAlign w:val="bottom"/>
          </w:tcPr>
          <w:p w14:paraId="0BC98E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E19"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shd w:val="clear" w:color="auto" w:fill="E2E2E2"/>
            <w:tcMar>
              <w:top w:w="40" w:type="dxa"/>
              <w:left w:w="40" w:type="dxa"/>
              <w:bottom w:w="40" w:type="dxa"/>
              <w:right w:w="40" w:type="dxa"/>
            </w:tcMar>
            <w:vAlign w:val="bottom"/>
          </w:tcPr>
          <w:p w14:paraId="0BC98E1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E28" w14:textId="77777777">
        <w:trPr>
          <w:jc w:val="center"/>
        </w:trPr>
        <w:tc>
          <w:tcPr>
            <w:tcW w:w="0" w:type="auto"/>
            <w:shd w:val="clear" w:color="auto" w:fill="auto"/>
            <w:tcMar>
              <w:top w:w="40" w:type="dxa"/>
              <w:left w:w="400" w:type="dxa"/>
              <w:bottom w:w="40" w:type="dxa"/>
              <w:right w:w="40" w:type="dxa"/>
            </w:tcMar>
            <w:vAlign w:val="bottom"/>
          </w:tcPr>
          <w:p w14:paraId="0BC98E1C" w14:textId="77777777" w:rsidR="009F0928" w:rsidRDefault="002112BD">
            <w:pPr>
              <w:textAlignment w:val="bottom"/>
              <w:rPr>
                <w:rFonts w:ascii="Times New Roman" w:hAnsi="Times New Roman"/>
                <w:sz w:val="20"/>
                <w:szCs w:val="20"/>
              </w:rPr>
            </w:pPr>
            <w:r>
              <w:rPr>
                <w:rFonts w:ascii="Arial" w:eastAsia="宋体" w:hAnsi="Arial" w:cs="Arial"/>
                <w:sz w:val="20"/>
                <w:szCs w:val="20"/>
              </w:rPr>
              <w:t>Balance, beginning of year</w:t>
            </w:r>
          </w:p>
        </w:tc>
        <w:tc>
          <w:tcPr>
            <w:tcW w:w="0" w:type="auto"/>
            <w:shd w:val="clear" w:color="auto" w:fill="auto"/>
            <w:tcMar>
              <w:top w:w="40" w:type="dxa"/>
              <w:left w:w="40" w:type="dxa"/>
              <w:bottom w:w="40" w:type="dxa"/>
            </w:tcMar>
            <w:vAlign w:val="bottom"/>
          </w:tcPr>
          <w:p w14:paraId="0BC98E1D"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bottom w:w="40" w:type="dxa"/>
            </w:tcMar>
            <w:vAlign w:val="bottom"/>
          </w:tcPr>
          <w:p w14:paraId="0BC98E1E"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w:t>
            </w:r>
          </w:p>
        </w:tc>
        <w:tc>
          <w:tcPr>
            <w:tcW w:w="0" w:type="auto"/>
            <w:shd w:val="clear" w:color="auto" w:fill="auto"/>
            <w:vAlign w:val="bottom"/>
          </w:tcPr>
          <w:p w14:paraId="0BC98E1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E20"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shd w:val="clear" w:color="auto" w:fill="auto"/>
            <w:tcMar>
              <w:top w:w="40" w:type="dxa"/>
              <w:left w:w="40" w:type="dxa"/>
              <w:bottom w:w="40" w:type="dxa"/>
            </w:tcMar>
            <w:vAlign w:val="bottom"/>
          </w:tcPr>
          <w:p w14:paraId="0BC98E21"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bottom w:w="40" w:type="dxa"/>
            </w:tcMar>
            <w:vAlign w:val="bottom"/>
          </w:tcPr>
          <w:p w14:paraId="0BC98E22"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w:t>
            </w:r>
          </w:p>
        </w:tc>
        <w:tc>
          <w:tcPr>
            <w:tcW w:w="0" w:type="auto"/>
            <w:shd w:val="clear" w:color="auto" w:fill="auto"/>
            <w:vAlign w:val="bottom"/>
          </w:tcPr>
          <w:p w14:paraId="0BC98E2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E24"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shd w:val="clear" w:color="auto" w:fill="auto"/>
            <w:tcMar>
              <w:top w:w="40" w:type="dxa"/>
              <w:left w:w="40" w:type="dxa"/>
              <w:bottom w:w="40" w:type="dxa"/>
            </w:tcMar>
            <w:vAlign w:val="bottom"/>
          </w:tcPr>
          <w:p w14:paraId="0BC98E25"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bottom w:w="40" w:type="dxa"/>
            </w:tcMar>
            <w:vAlign w:val="bottom"/>
          </w:tcPr>
          <w:p w14:paraId="0BC98E26"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w:t>
            </w:r>
          </w:p>
        </w:tc>
        <w:tc>
          <w:tcPr>
            <w:tcW w:w="0" w:type="auto"/>
            <w:shd w:val="clear" w:color="auto" w:fill="auto"/>
            <w:vAlign w:val="bottom"/>
          </w:tcPr>
          <w:p w14:paraId="0BC98E27" w14:textId="77777777" w:rsidR="009F0928" w:rsidRDefault="009F0928">
            <w:pPr>
              <w:textAlignment w:val="bottom"/>
              <w:rPr>
                <w:rFonts w:ascii="Times New Roman" w:hAnsi="Times New Roman"/>
                <w:sz w:val="20"/>
                <w:szCs w:val="20"/>
              </w:rPr>
            </w:pPr>
          </w:p>
        </w:tc>
      </w:tr>
      <w:tr w:rsidR="009F0928" w14:paraId="0BC98E32" w14:textId="77777777">
        <w:trPr>
          <w:jc w:val="center"/>
        </w:trPr>
        <w:tc>
          <w:tcPr>
            <w:tcW w:w="0" w:type="auto"/>
            <w:shd w:val="clear" w:color="auto" w:fill="E2E2E2"/>
            <w:tcMar>
              <w:top w:w="40" w:type="dxa"/>
              <w:left w:w="400" w:type="dxa"/>
              <w:bottom w:w="40" w:type="dxa"/>
              <w:right w:w="40" w:type="dxa"/>
            </w:tcMar>
            <w:vAlign w:val="bottom"/>
          </w:tcPr>
          <w:p w14:paraId="0BC98E29" w14:textId="77777777" w:rsidR="009F0928" w:rsidRDefault="002112BD">
            <w:pPr>
              <w:textAlignment w:val="bottom"/>
              <w:rPr>
                <w:rFonts w:ascii="Times New Roman" w:hAnsi="Times New Roman"/>
                <w:sz w:val="20"/>
                <w:szCs w:val="20"/>
              </w:rPr>
            </w:pPr>
            <w:r>
              <w:rPr>
                <w:rFonts w:ascii="Arial" w:eastAsia="宋体" w:hAnsi="Arial" w:cs="Arial"/>
                <w:sz w:val="20"/>
                <w:szCs w:val="20"/>
              </w:rPr>
              <w:t>Common stock issued</w:t>
            </w:r>
          </w:p>
        </w:tc>
        <w:tc>
          <w:tcPr>
            <w:tcW w:w="0" w:type="auto"/>
            <w:gridSpan w:val="2"/>
            <w:shd w:val="clear" w:color="auto" w:fill="E2E2E2"/>
            <w:tcMar>
              <w:top w:w="40" w:type="dxa"/>
              <w:left w:w="40" w:type="dxa"/>
              <w:bottom w:w="40" w:type="dxa"/>
            </w:tcMar>
            <w:vAlign w:val="bottom"/>
          </w:tcPr>
          <w:p w14:paraId="0BC98E2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vAlign w:val="bottom"/>
          </w:tcPr>
          <w:p w14:paraId="0BC98E2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E2C"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E2E2E2"/>
            <w:tcMar>
              <w:top w:w="40" w:type="dxa"/>
              <w:left w:w="40" w:type="dxa"/>
              <w:bottom w:w="40" w:type="dxa"/>
            </w:tcMar>
            <w:vAlign w:val="bottom"/>
          </w:tcPr>
          <w:p w14:paraId="0BC98E2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vAlign w:val="bottom"/>
          </w:tcPr>
          <w:p w14:paraId="0BC98E2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E2F"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E2E2E2"/>
            <w:tcMar>
              <w:top w:w="40" w:type="dxa"/>
              <w:left w:w="40" w:type="dxa"/>
              <w:bottom w:w="40" w:type="dxa"/>
            </w:tcMar>
            <w:vAlign w:val="bottom"/>
          </w:tcPr>
          <w:p w14:paraId="0BC98E3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vAlign w:val="bottom"/>
          </w:tcPr>
          <w:p w14:paraId="0BC98E31" w14:textId="77777777" w:rsidR="009F0928" w:rsidRDefault="009F0928">
            <w:pPr>
              <w:textAlignment w:val="bottom"/>
              <w:rPr>
                <w:rFonts w:ascii="Times New Roman" w:hAnsi="Times New Roman"/>
                <w:sz w:val="20"/>
                <w:szCs w:val="20"/>
              </w:rPr>
            </w:pPr>
          </w:p>
        </w:tc>
      </w:tr>
      <w:tr w:rsidR="009F0928" w14:paraId="0BC98E3C" w14:textId="77777777">
        <w:trPr>
          <w:jc w:val="center"/>
        </w:trPr>
        <w:tc>
          <w:tcPr>
            <w:tcW w:w="0" w:type="auto"/>
            <w:shd w:val="clear" w:color="auto" w:fill="auto"/>
            <w:tcMar>
              <w:top w:w="40" w:type="dxa"/>
              <w:left w:w="400" w:type="dxa"/>
              <w:bottom w:w="40" w:type="dxa"/>
              <w:right w:w="40" w:type="dxa"/>
            </w:tcMar>
            <w:vAlign w:val="bottom"/>
          </w:tcPr>
          <w:p w14:paraId="0BC98E33" w14:textId="77777777" w:rsidR="009F0928" w:rsidRDefault="002112BD">
            <w:pPr>
              <w:textAlignment w:val="bottom"/>
              <w:rPr>
                <w:rFonts w:ascii="Times New Roman" w:hAnsi="Times New Roman"/>
                <w:sz w:val="20"/>
                <w:szCs w:val="20"/>
              </w:rPr>
            </w:pPr>
            <w:r>
              <w:rPr>
                <w:rFonts w:ascii="Arial" w:eastAsia="宋体" w:hAnsi="Arial" w:cs="Arial"/>
                <w:sz w:val="20"/>
                <w:szCs w:val="20"/>
              </w:rPr>
              <w:t>Common stock repurchased/forfeited</w:t>
            </w:r>
          </w:p>
        </w:tc>
        <w:tc>
          <w:tcPr>
            <w:tcW w:w="0" w:type="auto"/>
            <w:gridSpan w:val="2"/>
            <w:tcBorders>
              <w:bottom w:val="single" w:sz="8" w:space="0" w:color="000000"/>
            </w:tcBorders>
            <w:shd w:val="clear" w:color="auto" w:fill="auto"/>
            <w:tcMar>
              <w:top w:w="40" w:type="dxa"/>
              <w:left w:w="40" w:type="dxa"/>
              <w:bottom w:w="40" w:type="dxa"/>
            </w:tcMar>
            <w:vAlign w:val="bottom"/>
          </w:tcPr>
          <w:p w14:paraId="0BC98E3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auto"/>
            <w:vAlign w:val="bottom"/>
          </w:tcPr>
          <w:p w14:paraId="0BC98E3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E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E3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auto"/>
            <w:vAlign w:val="bottom"/>
          </w:tcPr>
          <w:p w14:paraId="0BC98E3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E3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E3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auto"/>
            <w:vAlign w:val="bottom"/>
          </w:tcPr>
          <w:p w14:paraId="0BC98E3B" w14:textId="77777777" w:rsidR="009F0928" w:rsidRDefault="009F0928">
            <w:pPr>
              <w:textAlignment w:val="bottom"/>
              <w:rPr>
                <w:rFonts w:ascii="Times New Roman" w:hAnsi="Times New Roman"/>
                <w:sz w:val="20"/>
                <w:szCs w:val="20"/>
              </w:rPr>
            </w:pPr>
          </w:p>
        </w:tc>
      </w:tr>
      <w:tr w:rsidR="009F0928" w14:paraId="0BC98E46" w14:textId="77777777">
        <w:trPr>
          <w:jc w:val="center"/>
        </w:trPr>
        <w:tc>
          <w:tcPr>
            <w:tcW w:w="0" w:type="auto"/>
            <w:shd w:val="clear" w:color="auto" w:fill="E2E2E2"/>
            <w:tcMar>
              <w:top w:w="40" w:type="dxa"/>
              <w:left w:w="1040" w:type="dxa"/>
              <w:bottom w:w="40" w:type="dxa"/>
              <w:right w:w="40" w:type="dxa"/>
            </w:tcMar>
            <w:vAlign w:val="bottom"/>
          </w:tcPr>
          <w:p w14:paraId="0BC98E3D" w14:textId="77777777" w:rsidR="009F0928" w:rsidRDefault="002112BD">
            <w:pPr>
              <w:textAlignment w:val="bottom"/>
              <w:rPr>
                <w:rFonts w:ascii="Times New Roman" w:hAnsi="Times New Roman"/>
                <w:sz w:val="20"/>
                <w:szCs w:val="20"/>
              </w:rPr>
            </w:pPr>
            <w:r>
              <w:rPr>
                <w:rFonts w:ascii="Arial" w:eastAsia="宋体" w:hAnsi="Arial" w:cs="Arial"/>
                <w:sz w:val="20"/>
                <w:szCs w:val="20"/>
              </w:rPr>
              <w:t>Balance, end of year</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8E3E"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w:t>
            </w:r>
          </w:p>
        </w:tc>
        <w:tc>
          <w:tcPr>
            <w:tcW w:w="0" w:type="auto"/>
            <w:tcBorders>
              <w:top w:val="single" w:sz="8" w:space="0" w:color="000000"/>
              <w:bottom w:val="single" w:sz="8" w:space="0" w:color="000000"/>
            </w:tcBorders>
            <w:shd w:val="clear" w:color="auto" w:fill="E2E2E2"/>
            <w:vAlign w:val="bottom"/>
          </w:tcPr>
          <w:p w14:paraId="0BC98E3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E40"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8E4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w:t>
            </w:r>
          </w:p>
        </w:tc>
        <w:tc>
          <w:tcPr>
            <w:tcW w:w="0" w:type="auto"/>
            <w:tcBorders>
              <w:top w:val="single" w:sz="8" w:space="0" w:color="000000"/>
              <w:bottom w:val="single" w:sz="8" w:space="0" w:color="000000"/>
            </w:tcBorders>
            <w:shd w:val="clear" w:color="auto" w:fill="E2E2E2"/>
            <w:vAlign w:val="bottom"/>
          </w:tcPr>
          <w:p w14:paraId="0BC98E4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E43"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8E4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w:t>
            </w:r>
          </w:p>
        </w:tc>
        <w:tc>
          <w:tcPr>
            <w:tcW w:w="0" w:type="auto"/>
            <w:tcBorders>
              <w:top w:val="single" w:sz="8" w:space="0" w:color="000000"/>
              <w:bottom w:val="single" w:sz="8" w:space="0" w:color="000000"/>
            </w:tcBorders>
            <w:shd w:val="clear" w:color="auto" w:fill="E2E2E2"/>
            <w:vAlign w:val="bottom"/>
          </w:tcPr>
          <w:p w14:paraId="0BC98E45" w14:textId="77777777" w:rsidR="009F0928" w:rsidRDefault="009F0928">
            <w:pPr>
              <w:textAlignment w:val="bottom"/>
              <w:rPr>
                <w:rFonts w:ascii="Times New Roman" w:hAnsi="Times New Roman"/>
                <w:sz w:val="20"/>
                <w:szCs w:val="20"/>
              </w:rPr>
            </w:pPr>
          </w:p>
        </w:tc>
      </w:tr>
      <w:tr w:rsidR="009F0928" w14:paraId="0BC98E4D" w14:textId="77777777">
        <w:trPr>
          <w:jc w:val="center"/>
        </w:trPr>
        <w:tc>
          <w:tcPr>
            <w:tcW w:w="0" w:type="auto"/>
            <w:shd w:val="clear" w:color="auto" w:fill="auto"/>
            <w:tcMar>
              <w:top w:w="40" w:type="dxa"/>
              <w:left w:w="40" w:type="dxa"/>
              <w:bottom w:w="40" w:type="dxa"/>
              <w:right w:w="40" w:type="dxa"/>
            </w:tcMar>
            <w:vAlign w:val="bottom"/>
          </w:tcPr>
          <w:p w14:paraId="0BC98E47" w14:textId="77777777" w:rsidR="009F0928" w:rsidRDefault="002112BD">
            <w:pPr>
              <w:textAlignment w:val="bottom"/>
              <w:rPr>
                <w:rFonts w:ascii="Times New Roman" w:hAnsi="Times New Roman"/>
                <w:sz w:val="20"/>
                <w:szCs w:val="20"/>
              </w:rPr>
            </w:pPr>
            <w:r>
              <w:rPr>
                <w:rFonts w:ascii="Arial" w:eastAsia="宋体" w:hAnsi="Arial" w:cs="Arial"/>
                <w:sz w:val="20"/>
                <w:szCs w:val="20"/>
              </w:rPr>
              <w:t>Additional paid-in-capital:</w:t>
            </w:r>
          </w:p>
        </w:tc>
        <w:tc>
          <w:tcPr>
            <w:tcW w:w="0" w:type="auto"/>
            <w:gridSpan w:val="3"/>
            <w:shd w:val="clear" w:color="auto" w:fill="auto"/>
            <w:tcMar>
              <w:top w:w="40" w:type="dxa"/>
              <w:left w:w="40" w:type="dxa"/>
              <w:bottom w:w="40" w:type="dxa"/>
              <w:right w:w="40" w:type="dxa"/>
            </w:tcMar>
            <w:vAlign w:val="bottom"/>
          </w:tcPr>
          <w:p w14:paraId="0BC98E4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E49"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shd w:val="clear" w:color="auto" w:fill="auto"/>
            <w:tcMar>
              <w:top w:w="40" w:type="dxa"/>
              <w:left w:w="40" w:type="dxa"/>
              <w:bottom w:w="40" w:type="dxa"/>
              <w:right w:w="40" w:type="dxa"/>
            </w:tcMar>
            <w:vAlign w:val="bottom"/>
          </w:tcPr>
          <w:p w14:paraId="0BC98E4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E4B"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shd w:val="clear" w:color="auto" w:fill="auto"/>
            <w:tcMar>
              <w:top w:w="40" w:type="dxa"/>
              <w:left w:w="40" w:type="dxa"/>
              <w:bottom w:w="40" w:type="dxa"/>
              <w:right w:w="40" w:type="dxa"/>
            </w:tcMar>
            <w:vAlign w:val="bottom"/>
          </w:tcPr>
          <w:p w14:paraId="0BC98E4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E57" w14:textId="77777777">
        <w:trPr>
          <w:jc w:val="center"/>
        </w:trPr>
        <w:tc>
          <w:tcPr>
            <w:tcW w:w="0" w:type="auto"/>
            <w:shd w:val="clear" w:color="auto" w:fill="E2E2E2"/>
            <w:tcMar>
              <w:top w:w="40" w:type="dxa"/>
              <w:left w:w="400" w:type="dxa"/>
              <w:bottom w:w="40" w:type="dxa"/>
              <w:right w:w="40" w:type="dxa"/>
            </w:tcMar>
            <w:vAlign w:val="bottom"/>
          </w:tcPr>
          <w:p w14:paraId="0BC98E4E" w14:textId="77777777" w:rsidR="009F0928" w:rsidRDefault="002112BD">
            <w:pPr>
              <w:textAlignment w:val="bottom"/>
              <w:rPr>
                <w:rFonts w:ascii="Times New Roman" w:hAnsi="Times New Roman"/>
                <w:sz w:val="20"/>
                <w:szCs w:val="20"/>
              </w:rPr>
            </w:pPr>
            <w:r>
              <w:rPr>
                <w:rFonts w:ascii="Arial" w:eastAsia="宋体" w:hAnsi="Arial" w:cs="Arial"/>
                <w:sz w:val="20"/>
                <w:szCs w:val="20"/>
              </w:rPr>
              <w:t>Balance, beginning of year</w:t>
            </w:r>
          </w:p>
        </w:tc>
        <w:tc>
          <w:tcPr>
            <w:tcW w:w="0" w:type="auto"/>
            <w:gridSpan w:val="2"/>
            <w:shd w:val="clear" w:color="auto" w:fill="E2E2E2"/>
            <w:tcMar>
              <w:top w:w="40" w:type="dxa"/>
              <w:left w:w="40" w:type="dxa"/>
              <w:bottom w:w="40" w:type="dxa"/>
            </w:tcMar>
            <w:vAlign w:val="bottom"/>
          </w:tcPr>
          <w:p w14:paraId="0BC98E4F"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15,716</w:t>
            </w:r>
          </w:p>
        </w:tc>
        <w:tc>
          <w:tcPr>
            <w:tcW w:w="0" w:type="auto"/>
            <w:shd w:val="clear" w:color="auto" w:fill="E2E2E2"/>
            <w:vAlign w:val="bottom"/>
          </w:tcPr>
          <w:p w14:paraId="0BC98E5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E51"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E2E2E2"/>
            <w:tcMar>
              <w:top w:w="40" w:type="dxa"/>
              <w:left w:w="40" w:type="dxa"/>
              <w:bottom w:w="40" w:type="dxa"/>
            </w:tcMar>
            <w:vAlign w:val="bottom"/>
          </w:tcPr>
          <w:p w14:paraId="0BC98E52"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15,293</w:t>
            </w:r>
          </w:p>
        </w:tc>
        <w:tc>
          <w:tcPr>
            <w:tcW w:w="0" w:type="auto"/>
            <w:shd w:val="clear" w:color="auto" w:fill="E2E2E2"/>
            <w:vAlign w:val="bottom"/>
          </w:tcPr>
          <w:p w14:paraId="0BC98E5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E54"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E2E2E2"/>
            <w:tcMar>
              <w:top w:w="40" w:type="dxa"/>
              <w:left w:w="40" w:type="dxa"/>
              <w:bottom w:w="40" w:type="dxa"/>
            </w:tcMar>
            <w:vAlign w:val="bottom"/>
          </w:tcPr>
          <w:p w14:paraId="0BC98E55"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14,907</w:t>
            </w:r>
          </w:p>
        </w:tc>
        <w:tc>
          <w:tcPr>
            <w:tcW w:w="0" w:type="auto"/>
            <w:shd w:val="clear" w:color="auto" w:fill="E2E2E2"/>
            <w:vAlign w:val="bottom"/>
          </w:tcPr>
          <w:p w14:paraId="0BC98E56" w14:textId="77777777" w:rsidR="009F0928" w:rsidRDefault="009F0928">
            <w:pPr>
              <w:textAlignment w:val="bottom"/>
              <w:rPr>
                <w:rFonts w:ascii="Times New Roman" w:hAnsi="Times New Roman"/>
                <w:sz w:val="20"/>
                <w:szCs w:val="20"/>
              </w:rPr>
            </w:pPr>
          </w:p>
        </w:tc>
      </w:tr>
      <w:tr w:rsidR="009F0928" w14:paraId="0BC98E61" w14:textId="77777777">
        <w:trPr>
          <w:jc w:val="center"/>
        </w:trPr>
        <w:tc>
          <w:tcPr>
            <w:tcW w:w="0" w:type="auto"/>
            <w:shd w:val="clear" w:color="auto" w:fill="auto"/>
            <w:tcMar>
              <w:top w:w="40" w:type="dxa"/>
              <w:left w:w="400" w:type="dxa"/>
              <w:bottom w:w="40" w:type="dxa"/>
              <w:right w:w="40" w:type="dxa"/>
            </w:tcMar>
            <w:vAlign w:val="bottom"/>
          </w:tcPr>
          <w:p w14:paraId="0BC98E58" w14:textId="77777777" w:rsidR="009F0928" w:rsidRDefault="002112BD">
            <w:pPr>
              <w:textAlignment w:val="bottom"/>
              <w:rPr>
                <w:rFonts w:ascii="Times New Roman" w:hAnsi="Times New Roman"/>
                <w:sz w:val="20"/>
                <w:szCs w:val="20"/>
              </w:rPr>
            </w:pPr>
            <w:r>
              <w:rPr>
                <w:rFonts w:ascii="Arial" w:eastAsia="宋体" w:hAnsi="Arial" w:cs="Arial"/>
                <w:sz w:val="20"/>
                <w:szCs w:val="20"/>
              </w:rPr>
              <w:t>Common stock and stock-based awards issued</w:t>
            </w:r>
          </w:p>
        </w:tc>
        <w:tc>
          <w:tcPr>
            <w:tcW w:w="0" w:type="auto"/>
            <w:gridSpan w:val="2"/>
            <w:shd w:val="clear" w:color="auto" w:fill="auto"/>
            <w:tcMar>
              <w:top w:w="40" w:type="dxa"/>
              <w:left w:w="40" w:type="dxa"/>
              <w:bottom w:w="40" w:type="dxa"/>
            </w:tcMar>
            <w:vAlign w:val="bottom"/>
          </w:tcPr>
          <w:p w14:paraId="0BC98E5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104</w:t>
            </w:r>
          </w:p>
        </w:tc>
        <w:tc>
          <w:tcPr>
            <w:tcW w:w="0" w:type="auto"/>
            <w:shd w:val="clear" w:color="auto" w:fill="auto"/>
            <w:vAlign w:val="bottom"/>
          </w:tcPr>
          <w:p w14:paraId="0BC98E5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E5B"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auto"/>
            <w:tcMar>
              <w:top w:w="40" w:type="dxa"/>
              <w:left w:w="40" w:type="dxa"/>
              <w:bottom w:w="40" w:type="dxa"/>
            </w:tcMar>
            <w:vAlign w:val="bottom"/>
          </w:tcPr>
          <w:p w14:paraId="0BC98E5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109</w:t>
            </w:r>
          </w:p>
        </w:tc>
        <w:tc>
          <w:tcPr>
            <w:tcW w:w="0" w:type="auto"/>
            <w:shd w:val="clear" w:color="auto" w:fill="auto"/>
            <w:vAlign w:val="bottom"/>
          </w:tcPr>
          <w:p w14:paraId="0BC98E5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E5E"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auto"/>
            <w:tcMar>
              <w:top w:w="40" w:type="dxa"/>
              <w:left w:w="40" w:type="dxa"/>
              <w:bottom w:w="40" w:type="dxa"/>
            </w:tcMar>
            <w:vAlign w:val="bottom"/>
          </w:tcPr>
          <w:p w14:paraId="0BC98E5F"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120</w:t>
            </w:r>
          </w:p>
        </w:tc>
        <w:tc>
          <w:tcPr>
            <w:tcW w:w="0" w:type="auto"/>
            <w:shd w:val="clear" w:color="auto" w:fill="auto"/>
            <w:vAlign w:val="bottom"/>
          </w:tcPr>
          <w:p w14:paraId="0BC98E60" w14:textId="77777777" w:rsidR="009F0928" w:rsidRDefault="009F0928">
            <w:pPr>
              <w:textAlignment w:val="bottom"/>
              <w:rPr>
                <w:rFonts w:ascii="Times New Roman" w:hAnsi="Times New Roman"/>
                <w:sz w:val="20"/>
                <w:szCs w:val="20"/>
              </w:rPr>
            </w:pPr>
          </w:p>
        </w:tc>
      </w:tr>
      <w:tr w:rsidR="009F0928" w14:paraId="0BC98E6B" w14:textId="77777777">
        <w:trPr>
          <w:jc w:val="center"/>
        </w:trPr>
        <w:tc>
          <w:tcPr>
            <w:tcW w:w="0" w:type="auto"/>
            <w:shd w:val="clear" w:color="auto" w:fill="E2E2E2"/>
            <w:tcMar>
              <w:top w:w="40" w:type="dxa"/>
              <w:left w:w="400" w:type="dxa"/>
              <w:bottom w:w="40" w:type="dxa"/>
              <w:right w:w="40" w:type="dxa"/>
            </w:tcMar>
            <w:vAlign w:val="bottom"/>
          </w:tcPr>
          <w:p w14:paraId="0BC98E62" w14:textId="77777777" w:rsidR="009F0928" w:rsidRDefault="002112BD">
            <w:pPr>
              <w:textAlignment w:val="bottom"/>
              <w:rPr>
                <w:rFonts w:ascii="Times New Roman" w:hAnsi="Times New Roman"/>
                <w:sz w:val="20"/>
                <w:szCs w:val="20"/>
              </w:rPr>
            </w:pPr>
            <w:r>
              <w:rPr>
                <w:rFonts w:ascii="Arial" w:eastAsia="宋体" w:hAnsi="Arial" w:cs="Arial"/>
                <w:sz w:val="20"/>
                <w:szCs w:val="20"/>
              </w:rPr>
              <w:t>Tax withholdings related to net share settlements of restricted stock awards and units</w:t>
            </w:r>
          </w:p>
        </w:tc>
        <w:tc>
          <w:tcPr>
            <w:tcW w:w="0" w:type="auto"/>
            <w:gridSpan w:val="2"/>
            <w:shd w:val="clear" w:color="auto" w:fill="E2E2E2"/>
            <w:tcMar>
              <w:top w:w="40" w:type="dxa"/>
              <w:left w:w="40" w:type="dxa"/>
              <w:bottom w:w="40" w:type="dxa"/>
            </w:tcMar>
            <w:vAlign w:val="bottom"/>
          </w:tcPr>
          <w:p w14:paraId="0BC98E63"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(202</w:t>
            </w:r>
          </w:p>
        </w:tc>
        <w:tc>
          <w:tcPr>
            <w:tcW w:w="0" w:type="auto"/>
            <w:shd w:val="clear" w:color="auto" w:fill="E2E2E2"/>
            <w:tcMar>
              <w:top w:w="40" w:type="dxa"/>
              <w:bottom w:w="40" w:type="dxa"/>
              <w:right w:w="40" w:type="dxa"/>
            </w:tcMar>
            <w:vAlign w:val="bottom"/>
          </w:tcPr>
          <w:p w14:paraId="0BC98E64"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left w:w="40" w:type="dxa"/>
              <w:bottom w:w="40" w:type="dxa"/>
              <w:right w:w="40" w:type="dxa"/>
            </w:tcMar>
            <w:vAlign w:val="bottom"/>
          </w:tcPr>
          <w:p w14:paraId="0BC98E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E66"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(225</w:t>
            </w:r>
          </w:p>
        </w:tc>
        <w:tc>
          <w:tcPr>
            <w:tcW w:w="0" w:type="auto"/>
            <w:shd w:val="clear" w:color="auto" w:fill="E2E2E2"/>
            <w:tcMar>
              <w:top w:w="40" w:type="dxa"/>
              <w:bottom w:w="40" w:type="dxa"/>
              <w:right w:w="40" w:type="dxa"/>
            </w:tcMar>
            <w:vAlign w:val="bottom"/>
          </w:tcPr>
          <w:p w14:paraId="0BC98E67"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left w:w="40" w:type="dxa"/>
              <w:bottom w:w="40" w:type="dxa"/>
              <w:right w:w="40" w:type="dxa"/>
            </w:tcMar>
            <w:vAlign w:val="bottom"/>
          </w:tcPr>
          <w:p w14:paraId="0BC98E6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E6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(219</w:t>
            </w:r>
          </w:p>
        </w:tc>
        <w:tc>
          <w:tcPr>
            <w:tcW w:w="0" w:type="auto"/>
            <w:shd w:val="clear" w:color="auto" w:fill="E2E2E2"/>
            <w:tcMar>
              <w:top w:w="40" w:type="dxa"/>
              <w:bottom w:w="40" w:type="dxa"/>
              <w:right w:w="40" w:type="dxa"/>
            </w:tcMar>
            <w:vAlign w:val="bottom"/>
          </w:tcPr>
          <w:p w14:paraId="0BC98E6A"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E75" w14:textId="77777777">
        <w:trPr>
          <w:jc w:val="center"/>
        </w:trPr>
        <w:tc>
          <w:tcPr>
            <w:tcW w:w="0" w:type="auto"/>
            <w:shd w:val="clear" w:color="auto" w:fill="auto"/>
            <w:tcMar>
              <w:top w:w="40" w:type="dxa"/>
              <w:left w:w="400" w:type="dxa"/>
              <w:bottom w:w="40" w:type="dxa"/>
              <w:right w:w="40" w:type="dxa"/>
            </w:tcMar>
            <w:vAlign w:val="bottom"/>
          </w:tcPr>
          <w:p w14:paraId="0BC98E6C" w14:textId="77777777" w:rsidR="009F0928" w:rsidRDefault="002112BD">
            <w:pPr>
              <w:textAlignment w:val="bottom"/>
              <w:rPr>
                <w:rFonts w:ascii="Times New Roman" w:hAnsi="Times New Roman"/>
                <w:sz w:val="20"/>
                <w:szCs w:val="20"/>
              </w:rPr>
            </w:pPr>
            <w:r>
              <w:rPr>
                <w:rFonts w:ascii="Arial" w:eastAsia="宋体" w:hAnsi="Arial" w:cs="Arial"/>
                <w:sz w:val="20"/>
                <w:szCs w:val="20"/>
              </w:rPr>
              <w:t>Stock-based compensation</w:t>
            </w:r>
          </w:p>
        </w:tc>
        <w:tc>
          <w:tcPr>
            <w:tcW w:w="0" w:type="auto"/>
            <w:gridSpan w:val="2"/>
            <w:shd w:val="clear" w:color="auto" w:fill="auto"/>
            <w:tcMar>
              <w:top w:w="40" w:type="dxa"/>
              <w:left w:w="40" w:type="dxa"/>
              <w:bottom w:w="40" w:type="dxa"/>
            </w:tcMar>
            <w:vAlign w:val="bottom"/>
          </w:tcPr>
          <w:p w14:paraId="0BC98E6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505</w:t>
            </w:r>
          </w:p>
        </w:tc>
        <w:tc>
          <w:tcPr>
            <w:tcW w:w="0" w:type="auto"/>
            <w:shd w:val="clear" w:color="auto" w:fill="auto"/>
            <w:vAlign w:val="bottom"/>
          </w:tcPr>
          <w:p w14:paraId="0BC98E6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E6F"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auto"/>
            <w:tcMar>
              <w:top w:w="40" w:type="dxa"/>
              <w:left w:w="40" w:type="dxa"/>
              <w:bottom w:w="40" w:type="dxa"/>
            </w:tcMar>
            <w:vAlign w:val="bottom"/>
          </w:tcPr>
          <w:p w14:paraId="0BC98E7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538</w:t>
            </w:r>
          </w:p>
        </w:tc>
        <w:tc>
          <w:tcPr>
            <w:tcW w:w="0" w:type="auto"/>
            <w:shd w:val="clear" w:color="auto" w:fill="auto"/>
            <w:vAlign w:val="bottom"/>
          </w:tcPr>
          <w:p w14:paraId="0BC98E7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E72"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auto"/>
            <w:tcMar>
              <w:top w:w="40" w:type="dxa"/>
              <w:left w:w="40" w:type="dxa"/>
              <w:bottom w:w="40" w:type="dxa"/>
            </w:tcMar>
            <w:vAlign w:val="bottom"/>
          </w:tcPr>
          <w:p w14:paraId="0BC98E73"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484</w:t>
            </w:r>
          </w:p>
        </w:tc>
        <w:tc>
          <w:tcPr>
            <w:tcW w:w="0" w:type="auto"/>
            <w:shd w:val="clear" w:color="auto" w:fill="auto"/>
            <w:vAlign w:val="bottom"/>
          </w:tcPr>
          <w:p w14:paraId="0BC98E74" w14:textId="77777777" w:rsidR="009F0928" w:rsidRDefault="009F0928">
            <w:pPr>
              <w:textAlignment w:val="bottom"/>
              <w:rPr>
                <w:rFonts w:ascii="Times New Roman" w:hAnsi="Times New Roman"/>
                <w:sz w:val="20"/>
                <w:szCs w:val="20"/>
              </w:rPr>
            </w:pPr>
          </w:p>
        </w:tc>
      </w:tr>
      <w:tr w:rsidR="009F0928" w14:paraId="0BC98E7F" w14:textId="77777777">
        <w:trPr>
          <w:jc w:val="center"/>
        </w:trPr>
        <w:tc>
          <w:tcPr>
            <w:tcW w:w="0" w:type="auto"/>
            <w:shd w:val="clear" w:color="auto" w:fill="E2E2E2"/>
            <w:tcMar>
              <w:top w:w="40" w:type="dxa"/>
              <w:left w:w="400" w:type="dxa"/>
              <w:bottom w:w="40" w:type="dxa"/>
              <w:right w:w="40" w:type="dxa"/>
            </w:tcMar>
            <w:vAlign w:val="bottom"/>
          </w:tcPr>
          <w:p w14:paraId="0BC98E76" w14:textId="77777777" w:rsidR="009F0928" w:rsidRDefault="002112BD">
            <w:pPr>
              <w:textAlignment w:val="bottom"/>
              <w:rPr>
                <w:rFonts w:ascii="Times New Roman" w:hAnsi="Times New Roman"/>
                <w:sz w:val="20"/>
                <w:szCs w:val="20"/>
              </w:rPr>
            </w:pPr>
            <w:r>
              <w:rPr>
                <w:rFonts w:ascii="Arial" w:eastAsia="宋体" w:hAnsi="Arial" w:cs="Arial"/>
                <w:sz w:val="20"/>
                <w:szCs w:val="20"/>
              </w:rPr>
              <w:t>Other</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E7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w:t>
            </w:r>
          </w:p>
        </w:tc>
        <w:tc>
          <w:tcPr>
            <w:tcW w:w="0" w:type="auto"/>
            <w:tcBorders>
              <w:bottom w:val="single" w:sz="8" w:space="0" w:color="000000"/>
            </w:tcBorders>
            <w:shd w:val="clear" w:color="auto" w:fill="E2E2E2"/>
            <w:vAlign w:val="bottom"/>
          </w:tcPr>
          <w:p w14:paraId="0BC98E7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E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E7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w:t>
            </w:r>
          </w:p>
        </w:tc>
        <w:tc>
          <w:tcPr>
            <w:tcW w:w="0" w:type="auto"/>
            <w:tcBorders>
              <w:bottom w:val="single" w:sz="8" w:space="0" w:color="000000"/>
            </w:tcBorders>
            <w:shd w:val="clear" w:color="auto" w:fill="E2E2E2"/>
            <w:vAlign w:val="bottom"/>
          </w:tcPr>
          <w:p w14:paraId="0BC98E7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E7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8E7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w:t>
            </w:r>
          </w:p>
        </w:tc>
        <w:tc>
          <w:tcPr>
            <w:tcW w:w="0" w:type="auto"/>
            <w:tcBorders>
              <w:bottom w:val="single" w:sz="8" w:space="0" w:color="000000"/>
            </w:tcBorders>
            <w:shd w:val="clear" w:color="auto" w:fill="E2E2E2"/>
            <w:vAlign w:val="bottom"/>
          </w:tcPr>
          <w:p w14:paraId="0BC98E7E" w14:textId="77777777" w:rsidR="009F0928" w:rsidRDefault="009F0928">
            <w:pPr>
              <w:textAlignment w:val="bottom"/>
              <w:rPr>
                <w:rFonts w:ascii="Times New Roman" w:hAnsi="Times New Roman"/>
                <w:sz w:val="20"/>
                <w:szCs w:val="20"/>
              </w:rPr>
            </w:pPr>
          </w:p>
        </w:tc>
      </w:tr>
      <w:tr w:rsidR="009F0928" w14:paraId="0BC98E89" w14:textId="77777777">
        <w:trPr>
          <w:jc w:val="center"/>
        </w:trPr>
        <w:tc>
          <w:tcPr>
            <w:tcW w:w="0" w:type="auto"/>
            <w:shd w:val="clear" w:color="auto" w:fill="auto"/>
            <w:tcMar>
              <w:top w:w="40" w:type="dxa"/>
              <w:left w:w="1040" w:type="dxa"/>
              <w:bottom w:w="40" w:type="dxa"/>
              <w:right w:w="40" w:type="dxa"/>
            </w:tcMar>
            <w:vAlign w:val="bottom"/>
          </w:tcPr>
          <w:p w14:paraId="0BC98E80" w14:textId="77777777" w:rsidR="009F0928" w:rsidRDefault="002112BD">
            <w:pPr>
              <w:textAlignment w:val="bottom"/>
              <w:rPr>
                <w:rFonts w:ascii="Times New Roman" w:hAnsi="Times New Roman"/>
                <w:sz w:val="20"/>
                <w:szCs w:val="20"/>
              </w:rPr>
            </w:pPr>
            <w:r>
              <w:rPr>
                <w:rFonts w:ascii="Arial" w:eastAsia="宋体" w:hAnsi="Arial" w:cs="Arial"/>
                <w:sz w:val="20"/>
                <w:szCs w:val="20"/>
              </w:rPr>
              <w:t>Balance, end of year</w:t>
            </w:r>
          </w:p>
        </w:tc>
        <w:tc>
          <w:tcPr>
            <w:tcW w:w="0" w:type="auto"/>
            <w:gridSpan w:val="2"/>
            <w:tcBorders>
              <w:bottom w:val="single" w:sz="8" w:space="0" w:color="000000"/>
            </w:tcBorders>
            <w:shd w:val="clear" w:color="auto" w:fill="auto"/>
            <w:tcMar>
              <w:top w:w="40" w:type="dxa"/>
              <w:left w:w="40" w:type="dxa"/>
              <w:bottom w:w="40" w:type="dxa"/>
            </w:tcMar>
            <w:vAlign w:val="bottom"/>
          </w:tcPr>
          <w:p w14:paraId="0BC98E8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16,126</w:t>
            </w:r>
          </w:p>
        </w:tc>
        <w:tc>
          <w:tcPr>
            <w:tcW w:w="0" w:type="auto"/>
            <w:tcBorders>
              <w:bottom w:val="single" w:sz="8" w:space="0" w:color="000000"/>
            </w:tcBorders>
            <w:shd w:val="clear" w:color="auto" w:fill="auto"/>
            <w:vAlign w:val="bottom"/>
          </w:tcPr>
          <w:p w14:paraId="0BC98E8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E83"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E8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15,716</w:t>
            </w:r>
          </w:p>
        </w:tc>
        <w:tc>
          <w:tcPr>
            <w:tcW w:w="0" w:type="auto"/>
            <w:tcBorders>
              <w:bottom w:val="single" w:sz="8" w:space="0" w:color="000000"/>
            </w:tcBorders>
            <w:shd w:val="clear" w:color="auto" w:fill="auto"/>
            <w:vAlign w:val="bottom"/>
          </w:tcPr>
          <w:p w14:paraId="0BC98E8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E86"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8E8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15,293</w:t>
            </w:r>
          </w:p>
        </w:tc>
        <w:tc>
          <w:tcPr>
            <w:tcW w:w="0" w:type="auto"/>
            <w:tcBorders>
              <w:bottom w:val="single" w:sz="8" w:space="0" w:color="000000"/>
            </w:tcBorders>
            <w:shd w:val="clear" w:color="auto" w:fill="auto"/>
            <w:vAlign w:val="bottom"/>
          </w:tcPr>
          <w:p w14:paraId="0BC98E88" w14:textId="77777777" w:rsidR="009F0928" w:rsidRDefault="009F0928">
            <w:pPr>
              <w:textAlignment w:val="bottom"/>
              <w:rPr>
                <w:rFonts w:ascii="Times New Roman" w:hAnsi="Times New Roman"/>
                <w:sz w:val="20"/>
                <w:szCs w:val="20"/>
              </w:rPr>
            </w:pPr>
          </w:p>
        </w:tc>
      </w:tr>
      <w:tr w:rsidR="009F0928" w14:paraId="0BC98E90" w14:textId="77777777">
        <w:trPr>
          <w:jc w:val="center"/>
        </w:trPr>
        <w:tc>
          <w:tcPr>
            <w:tcW w:w="0" w:type="auto"/>
            <w:shd w:val="clear" w:color="auto" w:fill="E2E2E2"/>
            <w:tcMar>
              <w:top w:w="40" w:type="dxa"/>
              <w:left w:w="40" w:type="dxa"/>
              <w:bottom w:w="40" w:type="dxa"/>
              <w:right w:w="40" w:type="dxa"/>
            </w:tcMar>
            <w:vAlign w:val="bottom"/>
          </w:tcPr>
          <w:p w14:paraId="0BC98E8A" w14:textId="77777777" w:rsidR="009F0928" w:rsidRDefault="002112BD">
            <w:pPr>
              <w:textAlignment w:val="bottom"/>
              <w:rPr>
                <w:rFonts w:ascii="Times New Roman" w:hAnsi="Times New Roman"/>
                <w:sz w:val="20"/>
                <w:szCs w:val="20"/>
              </w:rPr>
            </w:pPr>
            <w:r>
              <w:rPr>
                <w:rFonts w:ascii="Arial" w:eastAsia="宋体" w:hAnsi="Arial" w:cs="Arial"/>
                <w:sz w:val="20"/>
                <w:szCs w:val="20"/>
              </w:rPr>
              <w:t>Treasury stock at cost:</w:t>
            </w:r>
          </w:p>
        </w:tc>
        <w:tc>
          <w:tcPr>
            <w:tcW w:w="0" w:type="auto"/>
            <w:gridSpan w:val="3"/>
            <w:shd w:val="clear" w:color="auto" w:fill="E2E2E2"/>
            <w:tcMar>
              <w:top w:w="40" w:type="dxa"/>
              <w:left w:w="40" w:type="dxa"/>
              <w:bottom w:w="40" w:type="dxa"/>
              <w:right w:w="40" w:type="dxa"/>
            </w:tcMar>
            <w:vAlign w:val="bottom"/>
          </w:tcPr>
          <w:p w14:paraId="0BC98E8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E8C"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shd w:val="clear" w:color="auto" w:fill="E2E2E2"/>
            <w:tcMar>
              <w:top w:w="40" w:type="dxa"/>
              <w:left w:w="40" w:type="dxa"/>
              <w:bottom w:w="40" w:type="dxa"/>
              <w:right w:w="40" w:type="dxa"/>
            </w:tcMar>
            <w:vAlign w:val="bottom"/>
          </w:tcPr>
          <w:p w14:paraId="0BC98E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E8E"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shd w:val="clear" w:color="auto" w:fill="E2E2E2"/>
            <w:tcMar>
              <w:top w:w="40" w:type="dxa"/>
              <w:left w:w="40" w:type="dxa"/>
              <w:bottom w:w="40" w:type="dxa"/>
              <w:right w:w="40" w:type="dxa"/>
            </w:tcMar>
            <w:vAlign w:val="bottom"/>
          </w:tcPr>
          <w:p w14:paraId="0BC98E8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E9A" w14:textId="77777777">
        <w:trPr>
          <w:jc w:val="center"/>
        </w:trPr>
        <w:tc>
          <w:tcPr>
            <w:tcW w:w="0" w:type="auto"/>
            <w:shd w:val="clear" w:color="auto" w:fill="auto"/>
            <w:tcMar>
              <w:top w:w="40" w:type="dxa"/>
              <w:left w:w="400" w:type="dxa"/>
              <w:bottom w:w="40" w:type="dxa"/>
              <w:right w:w="40" w:type="dxa"/>
            </w:tcMar>
            <w:vAlign w:val="bottom"/>
          </w:tcPr>
          <w:p w14:paraId="0BC98E91" w14:textId="77777777" w:rsidR="009F0928" w:rsidRDefault="002112BD">
            <w:pPr>
              <w:textAlignment w:val="bottom"/>
              <w:rPr>
                <w:rFonts w:ascii="Times New Roman" w:hAnsi="Times New Roman"/>
                <w:sz w:val="20"/>
                <w:szCs w:val="20"/>
              </w:rPr>
            </w:pPr>
            <w:r>
              <w:rPr>
                <w:rFonts w:ascii="Arial" w:eastAsia="宋体" w:hAnsi="Arial" w:cs="Arial"/>
                <w:sz w:val="20"/>
                <w:szCs w:val="20"/>
              </w:rPr>
              <w:t>Balance, beginning of year</w:t>
            </w:r>
          </w:p>
        </w:tc>
        <w:tc>
          <w:tcPr>
            <w:tcW w:w="0" w:type="auto"/>
            <w:gridSpan w:val="2"/>
            <w:shd w:val="clear" w:color="auto" w:fill="auto"/>
            <w:tcMar>
              <w:top w:w="40" w:type="dxa"/>
              <w:left w:w="40" w:type="dxa"/>
              <w:bottom w:w="40" w:type="dxa"/>
            </w:tcMar>
            <w:vAlign w:val="bottom"/>
          </w:tcPr>
          <w:p w14:paraId="0BC98E92"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(26,394</w:t>
            </w:r>
          </w:p>
        </w:tc>
        <w:tc>
          <w:tcPr>
            <w:tcW w:w="0" w:type="auto"/>
            <w:shd w:val="clear" w:color="auto" w:fill="auto"/>
            <w:tcMar>
              <w:top w:w="40" w:type="dxa"/>
              <w:bottom w:w="40" w:type="dxa"/>
              <w:right w:w="40" w:type="dxa"/>
            </w:tcMar>
            <w:vAlign w:val="bottom"/>
          </w:tcPr>
          <w:p w14:paraId="0BC98E93"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E94"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auto"/>
            <w:tcMar>
              <w:top w:w="40" w:type="dxa"/>
              <w:left w:w="40" w:type="dxa"/>
              <w:bottom w:w="40" w:type="dxa"/>
            </w:tcMar>
            <w:vAlign w:val="bottom"/>
          </w:tcPr>
          <w:p w14:paraId="0BC98E95"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(21,892</w:t>
            </w:r>
          </w:p>
        </w:tc>
        <w:tc>
          <w:tcPr>
            <w:tcW w:w="0" w:type="auto"/>
            <w:shd w:val="clear" w:color="auto" w:fill="auto"/>
            <w:tcMar>
              <w:top w:w="40" w:type="dxa"/>
              <w:bottom w:w="40" w:type="dxa"/>
              <w:right w:w="40" w:type="dxa"/>
            </w:tcMar>
            <w:vAlign w:val="bottom"/>
          </w:tcPr>
          <w:p w14:paraId="0BC98E96"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E97"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auto"/>
            <w:tcMar>
              <w:top w:w="40" w:type="dxa"/>
              <w:left w:w="40" w:type="dxa"/>
              <w:bottom w:w="40" w:type="dxa"/>
            </w:tcMar>
            <w:vAlign w:val="bottom"/>
          </w:tcPr>
          <w:p w14:paraId="0BC98E98"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(19,205</w:t>
            </w:r>
          </w:p>
        </w:tc>
        <w:tc>
          <w:tcPr>
            <w:tcW w:w="0" w:type="auto"/>
            <w:shd w:val="clear" w:color="auto" w:fill="auto"/>
            <w:tcMar>
              <w:top w:w="40" w:type="dxa"/>
              <w:bottom w:w="40" w:type="dxa"/>
              <w:right w:w="40" w:type="dxa"/>
            </w:tcMar>
            <w:vAlign w:val="bottom"/>
          </w:tcPr>
          <w:p w14:paraId="0BC98E99"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EA4" w14:textId="77777777">
        <w:trPr>
          <w:jc w:val="center"/>
        </w:trPr>
        <w:tc>
          <w:tcPr>
            <w:tcW w:w="0" w:type="auto"/>
            <w:shd w:val="clear" w:color="auto" w:fill="E2E2E2"/>
            <w:tcMar>
              <w:top w:w="40" w:type="dxa"/>
              <w:left w:w="400" w:type="dxa"/>
              <w:bottom w:w="40" w:type="dxa"/>
              <w:right w:w="40" w:type="dxa"/>
            </w:tcMar>
            <w:vAlign w:val="bottom"/>
          </w:tcPr>
          <w:p w14:paraId="0BC98E9B" w14:textId="77777777" w:rsidR="009F0928" w:rsidRDefault="002112BD">
            <w:pPr>
              <w:textAlignment w:val="bottom"/>
              <w:rPr>
                <w:rFonts w:ascii="Times New Roman" w:hAnsi="Times New Roman"/>
                <w:sz w:val="20"/>
                <w:szCs w:val="20"/>
              </w:rPr>
            </w:pPr>
            <w:r>
              <w:rPr>
                <w:rFonts w:ascii="Arial" w:eastAsia="宋体" w:hAnsi="Arial" w:cs="Arial"/>
                <w:sz w:val="20"/>
                <w:szCs w:val="20"/>
              </w:rPr>
              <w:t>Common stock repurchased</w:t>
            </w:r>
          </w:p>
        </w:tc>
        <w:tc>
          <w:tcPr>
            <w:tcW w:w="0" w:type="auto"/>
            <w:gridSpan w:val="2"/>
            <w:shd w:val="clear" w:color="auto" w:fill="E2E2E2"/>
            <w:tcMar>
              <w:top w:w="40" w:type="dxa"/>
              <w:left w:w="40" w:type="dxa"/>
              <w:bottom w:w="40" w:type="dxa"/>
            </w:tcMar>
            <w:vAlign w:val="bottom"/>
          </w:tcPr>
          <w:p w14:paraId="0BC98E9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(5,002</w:t>
            </w:r>
          </w:p>
        </w:tc>
        <w:tc>
          <w:tcPr>
            <w:tcW w:w="0" w:type="auto"/>
            <w:shd w:val="clear" w:color="auto" w:fill="E2E2E2"/>
            <w:tcMar>
              <w:top w:w="40" w:type="dxa"/>
              <w:bottom w:w="40" w:type="dxa"/>
              <w:right w:w="40" w:type="dxa"/>
            </w:tcMar>
            <w:vAlign w:val="bottom"/>
          </w:tcPr>
          <w:p w14:paraId="0BC98E9D"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left w:w="40" w:type="dxa"/>
              <w:bottom w:w="40" w:type="dxa"/>
              <w:right w:w="40" w:type="dxa"/>
            </w:tcMar>
            <w:vAlign w:val="bottom"/>
          </w:tcPr>
          <w:p w14:paraId="0BC98E9E"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E2E2E2"/>
            <w:tcMar>
              <w:top w:w="40" w:type="dxa"/>
              <w:left w:w="40" w:type="dxa"/>
              <w:bottom w:w="40" w:type="dxa"/>
            </w:tcMar>
            <w:vAlign w:val="bottom"/>
          </w:tcPr>
          <w:p w14:paraId="0BC98E9F"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(4,502</w:t>
            </w:r>
          </w:p>
        </w:tc>
        <w:tc>
          <w:tcPr>
            <w:tcW w:w="0" w:type="auto"/>
            <w:shd w:val="clear" w:color="auto" w:fill="E2E2E2"/>
            <w:tcMar>
              <w:top w:w="40" w:type="dxa"/>
              <w:bottom w:w="40" w:type="dxa"/>
              <w:right w:w="40" w:type="dxa"/>
            </w:tcMar>
            <w:vAlign w:val="bottom"/>
          </w:tcPr>
          <w:p w14:paraId="0BC98EA0"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left w:w="40" w:type="dxa"/>
              <w:bottom w:w="40" w:type="dxa"/>
              <w:right w:w="40" w:type="dxa"/>
            </w:tcMar>
            <w:vAlign w:val="bottom"/>
          </w:tcPr>
          <w:p w14:paraId="0BC98EA1"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E2E2E2"/>
            <w:tcMar>
              <w:top w:w="40" w:type="dxa"/>
              <w:left w:w="40" w:type="dxa"/>
              <w:bottom w:w="40" w:type="dxa"/>
            </w:tcMar>
            <w:vAlign w:val="bottom"/>
          </w:tcPr>
          <w:p w14:paraId="0BC98EA2"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(2,687</w:t>
            </w:r>
          </w:p>
        </w:tc>
        <w:tc>
          <w:tcPr>
            <w:tcW w:w="0" w:type="auto"/>
            <w:shd w:val="clear" w:color="auto" w:fill="E2E2E2"/>
            <w:tcMar>
              <w:top w:w="40" w:type="dxa"/>
              <w:bottom w:w="40" w:type="dxa"/>
              <w:right w:w="40" w:type="dxa"/>
            </w:tcMar>
            <w:vAlign w:val="bottom"/>
          </w:tcPr>
          <w:p w14:paraId="0BC98EA3"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EAE" w14:textId="77777777">
        <w:trPr>
          <w:jc w:val="center"/>
        </w:trPr>
        <w:tc>
          <w:tcPr>
            <w:tcW w:w="0" w:type="auto"/>
            <w:shd w:val="clear" w:color="auto" w:fill="auto"/>
            <w:tcMar>
              <w:top w:w="40" w:type="dxa"/>
              <w:left w:w="1040" w:type="dxa"/>
              <w:bottom w:w="40" w:type="dxa"/>
              <w:right w:w="40" w:type="dxa"/>
            </w:tcMar>
            <w:vAlign w:val="bottom"/>
          </w:tcPr>
          <w:p w14:paraId="0BC98EA5" w14:textId="77777777" w:rsidR="009F0928" w:rsidRDefault="002112BD">
            <w:pPr>
              <w:textAlignment w:val="bottom"/>
              <w:rPr>
                <w:rFonts w:ascii="Times New Roman" w:hAnsi="Times New Roman"/>
                <w:sz w:val="20"/>
                <w:szCs w:val="20"/>
              </w:rPr>
            </w:pPr>
            <w:r>
              <w:rPr>
                <w:rFonts w:ascii="Arial" w:eastAsia="宋体" w:hAnsi="Arial" w:cs="Arial"/>
                <w:sz w:val="20"/>
                <w:szCs w:val="20"/>
              </w:rPr>
              <w:t>Balance, end of year</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8EA6"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(31,396</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BC98EA7"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EA8"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8EA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(26,394</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BC98EAA"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EAB"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8EA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(21,892</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BC98EAD"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EB5" w14:textId="77777777">
        <w:trPr>
          <w:jc w:val="center"/>
        </w:trPr>
        <w:tc>
          <w:tcPr>
            <w:tcW w:w="0" w:type="auto"/>
            <w:shd w:val="clear" w:color="auto" w:fill="E2E2E2"/>
            <w:tcMar>
              <w:top w:w="40" w:type="dxa"/>
              <w:left w:w="40" w:type="dxa"/>
              <w:bottom w:w="40" w:type="dxa"/>
              <w:right w:w="40" w:type="dxa"/>
            </w:tcMar>
            <w:vAlign w:val="bottom"/>
          </w:tcPr>
          <w:p w14:paraId="0BC98EAF" w14:textId="77777777" w:rsidR="009F0928" w:rsidRDefault="002112BD">
            <w:pPr>
              <w:textAlignment w:val="bottom"/>
              <w:rPr>
                <w:rFonts w:ascii="Times New Roman" w:hAnsi="Times New Roman"/>
                <w:sz w:val="20"/>
                <w:szCs w:val="20"/>
              </w:rPr>
            </w:pPr>
            <w:r>
              <w:rPr>
                <w:rFonts w:ascii="Arial" w:eastAsia="宋体" w:hAnsi="Arial" w:cs="Arial"/>
                <w:sz w:val="20"/>
                <w:szCs w:val="20"/>
              </w:rPr>
              <w:t>Retained earnings:</w:t>
            </w:r>
          </w:p>
        </w:tc>
        <w:tc>
          <w:tcPr>
            <w:tcW w:w="0" w:type="auto"/>
            <w:gridSpan w:val="3"/>
            <w:shd w:val="clear" w:color="auto" w:fill="E2E2E2"/>
            <w:tcMar>
              <w:top w:w="40" w:type="dxa"/>
              <w:left w:w="40" w:type="dxa"/>
              <w:bottom w:w="40" w:type="dxa"/>
              <w:right w:w="40" w:type="dxa"/>
            </w:tcMar>
            <w:vAlign w:val="bottom"/>
          </w:tcPr>
          <w:p w14:paraId="0BC98E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EB1"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shd w:val="clear" w:color="auto" w:fill="E2E2E2"/>
            <w:tcMar>
              <w:top w:w="40" w:type="dxa"/>
              <w:left w:w="40" w:type="dxa"/>
              <w:bottom w:w="40" w:type="dxa"/>
              <w:right w:w="40" w:type="dxa"/>
            </w:tcMar>
            <w:vAlign w:val="bottom"/>
          </w:tcPr>
          <w:p w14:paraId="0BC98EB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EB3"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shd w:val="clear" w:color="auto" w:fill="E2E2E2"/>
            <w:tcMar>
              <w:top w:w="40" w:type="dxa"/>
              <w:left w:w="40" w:type="dxa"/>
              <w:bottom w:w="40" w:type="dxa"/>
              <w:right w:w="40" w:type="dxa"/>
            </w:tcMar>
            <w:vAlign w:val="bottom"/>
          </w:tcPr>
          <w:p w14:paraId="0BC98E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EBF" w14:textId="77777777">
        <w:trPr>
          <w:jc w:val="center"/>
        </w:trPr>
        <w:tc>
          <w:tcPr>
            <w:tcW w:w="0" w:type="auto"/>
            <w:shd w:val="clear" w:color="auto" w:fill="auto"/>
            <w:tcMar>
              <w:top w:w="40" w:type="dxa"/>
              <w:left w:w="400" w:type="dxa"/>
              <w:bottom w:w="40" w:type="dxa"/>
              <w:right w:w="40" w:type="dxa"/>
            </w:tcMar>
            <w:vAlign w:val="bottom"/>
          </w:tcPr>
          <w:p w14:paraId="0BC98EB6" w14:textId="77777777" w:rsidR="009F0928" w:rsidRDefault="002112BD">
            <w:pPr>
              <w:textAlignment w:val="bottom"/>
              <w:rPr>
                <w:rFonts w:ascii="Times New Roman" w:hAnsi="Times New Roman"/>
                <w:sz w:val="20"/>
                <w:szCs w:val="20"/>
              </w:rPr>
            </w:pPr>
            <w:r>
              <w:rPr>
                <w:rFonts w:ascii="Arial" w:eastAsia="宋体" w:hAnsi="Arial" w:cs="Arial"/>
                <w:sz w:val="20"/>
                <w:szCs w:val="20"/>
              </w:rPr>
              <w:t>Balance, beginning of year</w:t>
            </w:r>
          </w:p>
        </w:tc>
        <w:tc>
          <w:tcPr>
            <w:tcW w:w="0" w:type="auto"/>
            <w:gridSpan w:val="2"/>
            <w:shd w:val="clear" w:color="auto" w:fill="auto"/>
            <w:tcMar>
              <w:top w:w="40" w:type="dxa"/>
              <w:left w:w="40" w:type="dxa"/>
              <w:bottom w:w="40" w:type="dxa"/>
            </w:tcMar>
            <w:vAlign w:val="bottom"/>
          </w:tcPr>
          <w:p w14:paraId="0BC98EB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16,459</w:t>
            </w:r>
          </w:p>
        </w:tc>
        <w:tc>
          <w:tcPr>
            <w:tcW w:w="0" w:type="auto"/>
            <w:shd w:val="clear" w:color="auto" w:fill="auto"/>
            <w:vAlign w:val="bottom"/>
          </w:tcPr>
          <w:p w14:paraId="0BC98EB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EB9"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auto"/>
            <w:tcMar>
              <w:top w:w="40" w:type="dxa"/>
              <w:left w:w="40" w:type="dxa"/>
              <w:bottom w:w="40" w:type="dxa"/>
            </w:tcMar>
            <w:vAlign w:val="bottom"/>
          </w:tcPr>
          <w:p w14:paraId="0BC98EB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13,929</w:t>
            </w:r>
          </w:p>
        </w:tc>
        <w:tc>
          <w:tcPr>
            <w:tcW w:w="0" w:type="auto"/>
            <w:shd w:val="clear" w:color="auto" w:fill="auto"/>
            <w:vAlign w:val="bottom"/>
          </w:tcPr>
          <w:p w14:paraId="0BC98EB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EBC"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auto"/>
            <w:tcMar>
              <w:top w:w="40" w:type="dxa"/>
              <w:left w:w="40" w:type="dxa"/>
              <w:bottom w:w="40" w:type="dxa"/>
            </w:tcMar>
            <w:vAlign w:val="bottom"/>
          </w:tcPr>
          <w:p w14:paraId="0BC98EB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14,946</w:t>
            </w:r>
          </w:p>
        </w:tc>
        <w:tc>
          <w:tcPr>
            <w:tcW w:w="0" w:type="auto"/>
            <w:shd w:val="clear" w:color="auto" w:fill="auto"/>
            <w:vAlign w:val="bottom"/>
          </w:tcPr>
          <w:p w14:paraId="0BC98EBE" w14:textId="77777777" w:rsidR="009F0928" w:rsidRDefault="009F0928">
            <w:pPr>
              <w:textAlignment w:val="bottom"/>
              <w:rPr>
                <w:rFonts w:ascii="Times New Roman" w:hAnsi="Times New Roman"/>
                <w:sz w:val="20"/>
                <w:szCs w:val="20"/>
              </w:rPr>
            </w:pPr>
          </w:p>
        </w:tc>
      </w:tr>
      <w:tr w:rsidR="009F0928" w14:paraId="0BC98EC9" w14:textId="77777777">
        <w:trPr>
          <w:jc w:val="center"/>
        </w:trPr>
        <w:tc>
          <w:tcPr>
            <w:tcW w:w="0" w:type="auto"/>
            <w:shd w:val="clear" w:color="auto" w:fill="E2E2E2"/>
            <w:tcMar>
              <w:top w:w="40" w:type="dxa"/>
              <w:left w:w="400" w:type="dxa"/>
              <w:bottom w:w="40" w:type="dxa"/>
              <w:right w:w="40" w:type="dxa"/>
            </w:tcMar>
            <w:vAlign w:val="bottom"/>
          </w:tcPr>
          <w:p w14:paraId="0BC98EC0" w14:textId="77777777" w:rsidR="009F0928" w:rsidRDefault="002112BD">
            <w:pPr>
              <w:textAlignment w:val="bottom"/>
              <w:rPr>
                <w:rFonts w:ascii="Times New Roman" w:hAnsi="Times New Roman"/>
                <w:sz w:val="20"/>
                <w:szCs w:val="20"/>
              </w:rPr>
            </w:pPr>
            <w:r>
              <w:rPr>
                <w:rFonts w:ascii="Arial" w:eastAsia="宋体" w:hAnsi="Arial" w:cs="Arial"/>
                <w:sz w:val="20"/>
                <w:szCs w:val="20"/>
              </w:rPr>
              <w:t>Net income (loss)</w:t>
            </w:r>
          </w:p>
        </w:tc>
        <w:tc>
          <w:tcPr>
            <w:tcW w:w="0" w:type="auto"/>
            <w:gridSpan w:val="2"/>
            <w:shd w:val="clear" w:color="auto" w:fill="E2E2E2"/>
            <w:tcMar>
              <w:top w:w="40" w:type="dxa"/>
              <w:left w:w="40" w:type="dxa"/>
              <w:bottom w:w="40" w:type="dxa"/>
            </w:tcMar>
            <w:vAlign w:val="bottom"/>
          </w:tcPr>
          <w:p w14:paraId="0BC98EC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1,786</w:t>
            </w:r>
          </w:p>
        </w:tc>
        <w:tc>
          <w:tcPr>
            <w:tcW w:w="0" w:type="auto"/>
            <w:shd w:val="clear" w:color="auto" w:fill="E2E2E2"/>
            <w:vAlign w:val="bottom"/>
          </w:tcPr>
          <w:p w14:paraId="0BC98EC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EC3"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E2E2E2"/>
            <w:tcMar>
              <w:top w:w="40" w:type="dxa"/>
              <w:left w:w="40" w:type="dxa"/>
              <w:bottom w:w="40" w:type="dxa"/>
            </w:tcMar>
            <w:vAlign w:val="bottom"/>
          </w:tcPr>
          <w:p w14:paraId="0BC98EC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2,530</w:t>
            </w:r>
          </w:p>
        </w:tc>
        <w:tc>
          <w:tcPr>
            <w:tcW w:w="0" w:type="auto"/>
            <w:shd w:val="clear" w:color="auto" w:fill="E2E2E2"/>
            <w:vAlign w:val="bottom"/>
          </w:tcPr>
          <w:p w14:paraId="0BC98EC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EC6"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E2E2E2"/>
            <w:tcMar>
              <w:top w:w="40" w:type="dxa"/>
              <w:left w:w="40" w:type="dxa"/>
              <w:bottom w:w="40" w:type="dxa"/>
            </w:tcMar>
            <w:vAlign w:val="bottom"/>
          </w:tcPr>
          <w:p w14:paraId="0BC98EC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(1,017</w:t>
            </w:r>
          </w:p>
        </w:tc>
        <w:tc>
          <w:tcPr>
            <w:tcW w:w="0" w:type="auto"/>
            <w:shd w:val="clear" w:color="auto" w:fill="E2E2E2"/>
            <w:tcMar>
              <w:top w:w="40" w:type="dxa"/>
              <w:bottom w:w="40" w:type="dxa"/>
              <w:right w:w="40" w:type="dxa"/>
            </w:tcMar>
            <w:vAlign w:val="bottom"/>
          </w:tcPr>
          <w:p w14:paraId="0BC98EC8"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ED3" w14:textId="77777777">
        <w:trPr>
          <w:jc w:val="center"/>
        </w:trPr>
        <w:tc>
          <w:tcPr>
            <w:tcW w:w="0" w:type="auto"/>
            <w:shd w:val="clear" w:color="auto" w:fill="auto"/>
            <w:tcMar>
              <w:top w:w="40" w:type="dxa"/>
              <w:left w:w="400" w:type="dxa"/>
              <w:bottom w:w="40" w:type="dxa"/>
              <w:right w:w="40" w:type="dxa"/>
            </w:tcMar>
            <w:vAlign w:val="bottom"/>
          </w:tcPr>
          <w:p w14:paraId="0BC98ECA" w14:textId="77777777" w:rsidR="009F0928" w:rsidRDefault="002112BD">
            <w:pPr>
              <w:textAlignment w:val="bottom"/>
              <w:rPr>
                <w:rFonts w:ascii="Times New Roman" w:hAnsi="Times New Roman"/>
                <w:sz w:val="20"/>
                <w:szCs w:val="20"/>
              </w:rPr>
            </w:pPr>
            <w:r>
              <w:rPr>
                <w:rFonts w:ascii="Arial" w:eastAsia="宋体" w:hAnsi="Arial" w:cs="Arial"/>
                <w:sz w:val="20"/>
                <w:szCs w:val="20"/>
              </w:rPr>
              <w:t>Dividends and dividend equivalents declared</w:t>
            </w:r>
          </w:p>
        </w:tc>
        <w:tc>
          <w:tcPr>
            <w:tcW w:w="0" w:type="auto"/>
            <w:gridSpan w:val="2"/>
            <w:shd w:val="clear" w:color="auto" w:fill="auto"/>
            <w:tcMar>
              <w:top w:w="40" w:type="dxa"/>
              <w:left w:w="40" w:type="dxa"/>
              <w:bottom w:w="40" w:type="dxa"/>
            </w:tcMar>
            <w:vAlign w:val="bottom"/>
          </w:tcPr>
          <w:p w14:paraId="0BC98ECB"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(491</w:t>
            </w:r>
          </w:p>
        </w:tc>
        <w:tc>
          <w:tcPr>
            <w:tcW w:w="0" w:type="auto"/>
            <w:shd w:val="clear" w:color="auto" w:fill="auto"/>
            <w:tcMar>
              <w:top w:w="40" w:type="dxa"/>
              <w:bottom w:w="40" w:type="dxa"/>
              <w:right w:w="40" w:type="dxa"/>
            </w:tcMar>
            <w:vAlign w:val="bottom"/>
          </w:tcPr>
          <w:p w14:paraId="0BC98ECC"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EC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ECE"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vAlign w:val="bottom"/>
          </w:tcPr>
          <w:p w14:paraId="0BC98EC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E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ED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vAlign w:val="bottom"/>
          </w:tcPr>
          <w:p w14:paraId="0BC98ED2" w14:textId="77777777" w:rsidR="009F0928" w:rsidRDefault="009F0928">
            <w:pPr>
              <w:textAlignment w:val="bottom"/>
              <w:rPr>
                <w:rFonts w:ascii="Times New Roman" w:hAnsi="Times New Roman"/>
                <w:sz w:val="20"/>
                <w:szCs w:val="20"/>
              </w:rPr>
            </w:pPr>
          </w:p>
        </w:tc>
      </w:tr>
      <w:tr w:rsidR="009F0928" w14:paraId="0BC98EDD" w14:textId="77777777">
        <w:trPr>
          <w:jc w:val="center"/>
        </w:trPr>
        <w:tc>
          <w:tcPr>
            <w:tcW w:w="0" w:type="auto"/>
            <w:shd w:val="clear" w:color="auto" w:fill="E2E2E2"/>
            <w:tcMar>
              <w:top w:w="40" w:type="dxa"/>
              <w:left w:w="1040" w:type="dxa"/>
              <w:bottom w:w="40" w:type="dxa"/>
              <w:right w:w="40" w:type="dxa"/>
            </w:tcMar>
            <w:vAlign w:val="bottom"/>
          </w:tcPr>
          <w:p w14:paraId="0BC98ED4" w14:textId="77777777" w:rsidR="009F0928" w:rsidRDefault="002112BD">
            <w:pPr>
              <w:textAlignment w:val="bottom"/>
              <w:rPr>
                <w:rFonts w:ascii="Times New Roman" w:hAnsi="Times New Roman"/>
                <w:sz w:val="20"/>
                <w:szCs w:val="20"/>
              </w:rPr>
            </w:pPr>
            <w:r>
              <w:rPr>
                <w:rFonts w:ascii="Arial" w:eastAsia="宋体" w:hAnsi="Arial" w:cs="Arial"/>
                <w:sz w:val="20"/>
                <w:szCs w:val="20"/>
              </w:rPr>
              <w:t>Balance, end of year</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8ED5"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17,754</w:t>
            </w:r>
          </w:p>
        </w:tc>
        <w:tc>
          <w:tcPr>
            <w:tcW w:w="0" w:type="auto"/>
            <w:tcBorders>
              <w:top w:val="single" w:sz="8" w:space="0" w:color="000000"/>
              <w:bottom w:val="single" w:sz="8" w:space="0" w:color="000000"/>
            </w:tcBorders>
            <w:shd w:val="clear" w:color="auto" w:fill="E2E2E2"/>
            <w:vAlign w:val="bottom"/>
          </w:tcPr>
          <w:p w14:paraId="0BC98ED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ED7"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8ED8"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16,459</w:t>
            </w:r>
          </w:p>
        </w:tc>
        <w:tc>
          <w:tcPr>
            <w:tcW w:w="0" w:type="auto"/>
            <w:tcBorders>
              <w:top w:val="single" w:sz="8" w:space="0" w:color="000000"/>
              <w:bottom w:val="single" w:sz="8" w:space="0" w:color="000000"/>
            </w:tcBorders>
            <w:shd w:val="clear" w:color="auto" w:fill="E2E2E2"/>
            <w:vAlign w:val="bottom"/>
          </w:tcPr>
          <w:p w14:paraId="0BC98ED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EDA"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8EDB"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13,929</w:t>
            </w:r>
          </w:p>
        </w:tc>
        <w:tc>
          <w:tcPr>
            <w:tcW w:w="0" w:type="auto"/>
            <w:tcBorders>
              <w:top w:val="single" w:sz="8" w:space="0" w:color="000000"/>
              <w:bottom w:val="single" w:sz="8" w:space="0" w:color="000000"/>
            </w:tcBorders>
            <w:shd w:val="clear" w:color="auto" w:fill="E2E2E2"/>
            <w:vAlign w:val="bottom"/>
          </w:tcPr>
          <w:p w14:paraId="0BC98EDC" w14:textId="77777777" w:rsidR="009F0928" w:rsidRDefault="009F0928">
            <w:pPr>
              <w:textAlignment w:val="bottom"/>
              <w:rPr>
                <w:rFonts w:ascii="Times New Roman" w:hAnsi="Times New Roman"/>
                <w:sz w:val="20"/>
                <w:szCs w:val="20"/>
              </w:rPr>
            </w:pPr>
          </w:p>
        </w:tc>
      </w:tr>
      <w:tr w:rsidR="009F0928" w14:paraId="0BC98EE4" w14:textId="77777777">
        <w:trPr>
          <w:jc w:val="center"/>
        </w:trPr>
        <w:tc>
          <w:tcPr>
            <w:tcW w:w="0" w:type="auto"/>
            <w:shd w:val="clear" w:color="auto" w:fill="auto"/>
            <w:tcMar>
              <w:top w:w="40" w:type="dxa"/>
              <w:left w:w="40" w:type="dxa"/>
              <w:bottom w:w="40" w:type="dxa"/>
              <w:right w:w="40" w:type="dxa"/>
            </w:tcMar>
            <w:vAlign w:val="bottom"/>
          </w:tcPr>
          <w:p w14:paraId="0BC98EDE" w14:textId="77777777" w:rsidR="009F0928" w:rsidRDefault="002112BD">
            <w:pPr>
              <w:textAlignment w:val="bottom"/>
              <w:rPr>
                <w:rFonts w:ascii="Times New Roman" w:hAnsi="Times New Roman"/>
                <w:sz w:val="20"/>
                <w:szCs w:val="20"/>
              </w:rPr>
            </w:pPr>
            <w:r>
              <w:rPr>
                <w:rFonts w:ascii="Arial" w:eastAsia="宋体" w:hAnsi="Arial" w:cs="Arial"/>
                <w:sz w:val="20"/>
                <w:szCs w:val="20"/>
              </w:rPr>
              <w:t>Accumulated other comprehensive income (loss):</w:t>
            </w:r>
          </w:p>
        </w:tc>
        <w:tc>
          <w:tcPr>
            <w:tcW w:w="0" w:type="auto"/>
            <w:gridSpan w:val="3"/>
            <w:shd w:val="clear" w:color="auto" w:fill="auto"/>
            <w:tcMar>
              <w:top w:w="40" w:type="dxa"/>
              <w:left w:w="40" w:type="dxa"/>
              <w:bottom w:w="40" w:type="dxa"/>
              <w:right w:w="40" w:type="dxa"/>
            </w:tcMar>
            <w:vAlign w:val="bottom"/>
          </w:tcPr>
          <w:p w14:paraId="0BC98ED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EE0"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shd w:val="clear" w:color="auto" w:fill="auto"/>
            <w:tcMar>
              <w:top w:w="40" w:type="dxa"/>
              <w:left w:w="40" w:type="dxa"/>
              <w:bottom w:w="40" w:type="dxa"/>
              <w:right w:w="40" w:type="dxa"/>
            </w:tcMar>
            <w:vAlign w:val="bottom"/>
          </w:tcPr>
          <w:p w14:paraId="0BC98EE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EE2"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shd w:val="clear" w:color="auto" w:fill="auto"/>
            <w:tcMar>
              <w:top w:w="40" w:type="dxa"/>
              <w:left w:w="40" w:type="dxa"/>
              <w:bottom w:w="40" w:type="dxa"/>
              <w:right w:w="40" w:type="dxa"/>
            </w:tcMar>
            <w:vAlign w:val="bottom"/>
          </w:tcPr>
          <w:p w14:paraId="0BC98E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EEE" w14:textId="77777777">
        <w:trPr>
          <w:jc w:val="center"/>
        </w:trPr>
        <w:tc>
          <w:tcPr>
            <w:tcW w:w="0" w:type="auto"/>
            <w:shd w:val="clear" w:color="auto" w:fill="E2E2E2"/>
            <w:tcMar>
              <w:top w:w="40" w:type="dxa"/>
              <w:left w:w="400" w:type="dxa"/>
              <w:bottom w:w="40" w:type="dxa"/>
              <w:right w:w="40" w:type="dxa"/>
            </w:tcMar>
            <w:vAlign w:val="bottom"/>
          </w:tcPr>
          <w:p w14:paraId="0BC98EE5" w14:textId="77777777" w:rsidR="009F0928" w:rsidRDefault="002112BD">
            <w:pPr>
              <w:textAlignment w:val="bottom"/>
              <w:rPr>
                <w:rFonts w:ascii="Times New Roman" w:hAnsi="Times New Roman"/>
                <w:sz w:val="20"/>
                <w:szCs w:val="20"/>
              </w:rPr>
            </w:pPr>
            <w:r>
              <w:rPr>
                <w:rFonts w:ascii="Arial" w:eastAsia="宋体" w:hAnsi="Arial" w:cs="Arial"/>
                <w:sz w:val="20"/>
                <w:szCs w:val="20"/>
              </w:rPr>
              <w:t>Balance, beginning of year</w:t>
            </w:r>
          </w:p>
        </w:tc>
        <w:tc>
          <w:tcPr>
            <w:tcW w:w="0" w:type="auto"/>
            <w:gridSpan w:val="2"/>
            <w:shd w:val="clear" w:color="auto" w:fill="E2E2E2"/>
            <w:tcMar>
              <w:top w:w="40" w:type="dxa"/>
              <w:left w:w="40" w:type="dxa"/>
              <w:bottom w:w="40" w:type="dxa"/>
            </w:tcMar>
            <w:vAlign w:val="bottom"/>
          </w:tcPr>
          <w:p w14:paraId="0BC98EE6"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498</w:t>
            </w:r>
          </w:p>
        </w:tc>
        <w:tc>
          <w:tcPr>
            <w:tcW w:w="0" w:type="auto"/>
            <w:shd w:val="clear" w:color="auto" w:fill="E2E2E2"/>
            <w:vAlign w:val="bottom"/>
          </w:tcPr>
          <w:p w14:paraId="0BC98EE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EE8"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E2E2E2"/>
            <w:tcMar>
              <w:top w:w="40" w:type="dxa"/>
              <w:left w:w="40" w:type="dxa"/>
              <w:bottom w:w="40" w:type="dxa"/>
            </w:tcMar>
            <w:vAlign w:val="bottom"/>
          </w:tcPr>
          <w:p w14:paraId="0BC98EE9"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717</w:t>
            </w:r>
          </w:p>
        </w:tc>
        <w:tc>
          <w:tcPr>
            <w:tcW w:w="0" w:type="auto"/>
            <w:shd w:val="clear" w:color="auto" w:fill="E2E2E2"/>
            <w:vAlign w:val="bottom"/>
          </w:tcPr>
          <w:p w14:paraId="0BC98EE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EEB"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E2E2E2"/>
            <w:tcMar>
              <w:top w:w="40" w:type="dxa"/>
              <w:left w:w="40" w:type="dxa"/>
              <w:bottom w:w="40" w:type="dxa"/>
            </w:tcMar>
            <w:vAlign w:val="bottom"/>
          </w:tcPr>
          <w:p w14:paraId="0BC98EE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(124</w:t>
            </w:r>
          </w:p>
        </w:tc>
        <w:tc>
          <w:tcPr>
            <w:tcW w:w="0" w:type="auto"/>
            <w:shd w:val="clear" w:color="auto" w:fill="E2E2E2"/>
            <w:tcMar>
              <w:top w:w="40" w:type="dxa"/>
              <w:bottom w:w="40" w:type="dxa"/>
              <w:right w:w="40" w:type="dxa"/>
            </w:tcMar>
            <w:vAlign w:val="bottom"/>
          </w:tcPr>
          <w:p w14:paraId="0BC98EED"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EF8" w14:textId="77777777">
        <w:trPr>
          <w:jc w:val="center"/>
        </w:trPr>
        <w:tc>
          <w:tcPr>
            <w:tcW w:w="0" w:type="auto"/>
            <w:shd w:val="clear" w:color="auto" w:fill="auto"/>
            <w:tcMar>
              <w:top w:w="40" w:type="dxa"/>
              <w:left w:w="400" w:type="dxa"/>
              <w:bottom w:w="40" w:type="dxa"/>
              <w:right w:w="40" w:type="dxa"/>
            </w:tcMar>
            <w:vAlign w:val="bottom"/>
          </w:tcPr>
          <w:p w14:paraId="0BC98EEF" w14:textId="77777777" w:rsidR="009F0928" w:rsidRDefault="002112BD">
            <w:pPr>
              <w:textAlignment w:val="bottom"/>
              <w:rPr>
                <w:rFonts w:ascii="Times New Roman" w:hAnsi="Times New Roman"/>
                <w:sz w:val="20"/>
                <w:szCs w:val="20"/>
              </w:rPr>
            </w:pPr>
            <w:r>
              <w:rPr>
                <w:rFonts w:ascii="Arial" w:eastAsia="宋体" w:hAnsi="Arial" w:cs="Arial"/>
                <w:sz w:val="20"/>
                <w:szCs w:val="20"/>
              </w:rPr>
              <w:t>Change in unrealized gains (losses) on investments</w:t>
            </w:r>
          </w:p>
        </w:tc>
        <w:tc>
          <w:tcPr>
            <w:tcW w:w="0" w:type="auto"/>
            <w:gridSpan w:val="2"/>
            <w:shd w:val="clear" w:color="auto" w:fill="auto"/>
            <w:tcMar>
              <w:top w:w="40" w:type="dxa"/>
              <w:left w:w="40" w:type="dxa"/>
              <w:bottom w:w="40" w:type="dxa"/>
            </w:tcMar>
            <w:vAlign w:val="bottom"/>
          </w:tcPr>
          <w:p w14:paraId="0BC98EF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61</w:t>
            </w:r>
          </w:p>
        </w:tc>
        <w:tc>
          <w:tcPr>
            <w:tcW w:w="0" w:type="auto"/>
            <w:shd w:val="clear" w:color="auto" w:fill="auto"/>
            <w:vAlign w:val="bottom"/>
          </w:tcPr>
          <w:p w14:paraId="0BC98EF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EF2"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auto"/>
            <w:tcMar>
              <w:top w:w="40" w:type="dxa"/>
              <w:left w:w="40" w:type="dxa"/>
              <w:bottom w:w="40" w:type="dxa"/>
            </w:tcMar>
            <w:vAlign w:val="bottom"/>
          </w:tcPr>
          <w:p w14:paraId="0BC98EF3"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(41</w:t>
            </w:r>
          </w:p>
        </w:tc>
        <w:tc>
          <w:tcPr>
            <w:tcW w:w="0" w:type="auto"/>
            <w:shd w:val="clear" w:color="auto" w:fill="auto"/>
            <w:tcMar>
              <w:top w:w="40" w:type="dxa"/>
              <w:bottom w:w="40" w:type="dxa"/>
              <w:right w:w="40" w:type="dxa"/>
            </w:tcMar>
            <w:vAlign w:val="bottom"/>
          </w:tcPr>
          <w:p w14:paraId="0BC98EF4"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EF5"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auto"/>
            <w:tcMar>
              <w:top w:w="40" w:type="dxa"/>
              <w:left w:w="40" w:type="dxa"/>
              <w:bottom w:w="40" w:type="dxa"/>
            </w:tcMar>
            <w:vAlign w:val="bottom"/>
          </w:tcPr>
          <w:p w14:paraId="0BC98EF6"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(66</w:t>
            </w:r>
          </w:p>
        </w:tc>
        <w:tc>
          <w:tcPr>
            <w:tcW w:w="0" w:type="auto"/>
            <w:shd w:val="clear" w:color="auto" w:fill="auto"/>
            <w:tcMar>
              <w:top w:w="40" w:type="dxa"/>
              <w:bottom w:w="40" w:type="dxa"/>
              <w:right w:w="40" w:type="dxa"/>
            </w:tcMar>
            <w:vAlign w:val="bottom"/>
          </w:tcPr>
          <w:p w14:paraId="0BC98EF7"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F02" w14:textId="77777777">
        <w:trPr>
          <w:jc w:val="center"/>
        </w:trPr>
        <w:tc>
          <w:tcPr>
            <w:tcW w:w="0" w:type="auto"/>
            <w:shd w:val="clear" w:color="auto" w:fill="E2E2E2"/>
            <w:tcMar>
              <w:top w:w="40" w:type="dxa"/>
              <w:left w:w="400" w:type="dxa"/>
              <w:bottom w:w="40" w:type="dxa"/>
              <w:right w:w="40" w:type="dxa"/>
            </w:tcMar>
            <w:vAlign w:val="bottom"/>
          </w:tcPr>
          <w:p w14:paraId="0BC98EF9" w14:textId="77777777" w:rsidR="009F0928" w:rsidRDefault="002112BD">
            <w:pPr>
              <w:textAlignment w:val="bottom"/>
              <w:rPr>
                <w:rFonts w:ascii="Times New Roman" w:hAnsi="Times New Roman"/>
                <w:sz w:val="20"/>
                <w:szCs w:val="20"/>
              </w:rPr>
            </w:pPr>
            <w:r>
              <w:rPr>
                <w:rFonts w:ascii="Arial" w:eastAsia="宋体" w:hAnsi="Arial" w:cs="Arial"/>
                <w:sz w:val="20"/>
                <w:szCs w:val="20"/>
              </w:rPr>
              <w:t xml:space="preserve">Change in unrealized gains (losses) on </w:t>
            </w:r>
            <w:r>
              <w:rPr>
                <w:rFonts w:ascii="Arial" w:eastAsia="宋体" w:hAnsi="Arial" w:cs="Arial"/>
                <w:sz w:val="20"/>
                <w:szCs w:val="20"/>
              </w:rPr>
              <w:t>derivative instruments</w:t>
            </w:r>
          </w:p>
        </w:tc>
        <w:tc>
          <w:tcPr>
            <w:tcW w:w="0" w:type="auto"/>
            <w:gridSpan w:val="2"/>
            <w:shd w:val="clear" w:color="auto" w:fill="E2E2E2"/>
            <w:tcMar>
              <w:top w:w="40" w:type="dxa"/>
              <w:left w:w="40" w:type="dxa"/>
              <w:bottom w:w="40" w:type="dxa"/>
            </w:tcMar>
            <w:vAlign w:val="bottom"/>
          </w:tcPr>
          <w:p w14:paraId="0BC98EF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(77</w:t>
            </w:r>
          </w:p>
        </w:tc>
        <w:tc>
          <w:tcPr>
            <w:tcW w:w="0" w:type="auto"/>
            <w:shd w:val="clear" w:color="auto" w:fill="E2E2E2"/>
            <w:tcMar>
              <w:top w:w="40" w:type="dxa"/>
              <w:bottom w:w="40" w:type="dxa"/>
              <w:right w:w="40" w:type="dxa"/>
            </w:tcMar>
            <w:vAlign w:val="bottom"/>
          </w:tcPr>
          <w:p w14:paraId="0BC98EFB"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left w:w="40" w:type="dxa"/>
              <w:bottom w:w="40" w:type="dxa"/>
              <w:right w:w="40" w:type="dxa"/>
            </w:tcMar>
            <w:vAlign w:val="bottom"/>
          </w:tcPr>
          <w:p w14:paraId="0BC98EFC"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E2E2E2"/>
            <w:tcMar>
              <w:top w:w="40" w:type="dxa"/>
              <w:left w:w="40" w:type="dxa"/>
              <w:bottom w:w="40" w:type="dxa"/>
            </w:tcMar>
            <w:vAlign w:val="bottom"/>
          </w:tcPr>
          <w:p w14:paraId="0BC98EF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125</w:t>
            </w:r>
          </w:p>
        </w:tc>
        <w:tc>
          <w:tcPr>
            <w:tcW w:w="0" w:type="auto"/>
            <w:shd w:val="clear" w:color="auto" w:fill="E2E2E2"/>
            <w:vAlign w:val="bottom"/>
          </w:tcPr>
          <w:p w14:paraId="0BC98EF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EFF"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E2E2E2"/>
            <w:tcMar>
              <w:top w:w="40" w:type="dxa"/>
              <w:left w:w="40" w:type="dxa"/>
              <w:bottom w:w="40" w:type="dxa"/>
            </w:tcMar>
            <w:vAlign w:val="bottom"/>
          </w:tcPr>
          <w:p w14:paraId="0BC98F0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(111</w:t>
            </w:r>
          </w:p>
        </w:tc>
        <w:tc>
          <w:tcPr>
            <w:tcW w:w="0" w:type="auto"/>
            <w:shd w:val="clear" w:color="auto" w:fill="E2E2E2"/>
            <w:tcMar>
              <w:top w:w="40" w:type="dxa"/>
              <w:bottom w:w="40" w:type="dxa"/>
              <w:right w:w="40" w:type="dxa"/>
            </w:tcMar>
            <w:vAlign w:val="bottom"/>
          </w:tcPr>
          <w:p w14:paraId="0BC98F01"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F0C" w14:textId="77777777">
        <w:trPr>
          <w:jc w:val="center"/>
        </w:trPr>
        <w:tc>
          <w:tcPr>
            <w:tcW w:w="0" w:type="auto"/>
            <w:shd w:val="clear" w:color="auto" w:fill="auto"/>
            <w:tcMar>
              <w:top w:w="40" w:type="dxa"/>
              <w:left w:w="400" w:type="dxa"/>
              <w:bottom w:w="40" w:type="dxa"/>
              <w:right w:w="40" w:type="dxa"/>
            </w:tcMar>
            <w:vAlign w:val="bottom"/>
          </w:tcPr>
          <w:p w14:paraId="0BC98F03" w14:textId="77777777" w:rsidR="009F0928" w:rsidRDefault="002112BD">
            <w:pPr>
              <w:textAlignment w:val="bottom"/>
              <w:rPr>
                <w:rFonts w:ascii="Times New Roman" w:hAnsi="Times New Roman"/>
                <w:sz w:val="20"/>
                <w:szCs w:val="20"/>
              </w:rPr>
            </w:pPr>
            <w:r>
              <w:rPr>
                <w:rFonts w:ascii="Arial" w:eastAsia="宋体" w:hAnsi="Arial" w:cs="Arial"/>
                <w:sz w:val="20"/>
                <w:szCs w:val="20"/>
              </w:rPr>
              <w:t>Foreign currency translation adjustment</w:t>
            </w:r>
          </w:p>
        </w:tc>
        <w:tc>
          <w:tcPr>
            <w:tcW w:w="0" w:type="auto"/>
            <w:gridSpan w:val="2"/>
            <w:shd w:val="clear" w:color="auto" w:fill="auto"/>
            <w:tcMar>
              <w:top w:w="40" w:type="dxa"/>
              <w:left w:w="40" w:type="dxa"/>
              <w:bottom w:w="40" w:type="dxa"/>
            </w:tcMar>
            <w:vAlign w:val="bottom"/>
          </w:tcPr>
          <w:p w14:paraId="0BC98F0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(99</w:t>
            </w:r>
          </w:p>
        </w:tc>
        <w:tc>
          <w:tcPr>
            <w:tcW w:w="0" w:type="auto"/>
            <w:shd w:val="clear" w:color="auto" w:fill="auto"/>
            <w:tcMar>
              <w:top w:w="40" w:type="dxa"/>
              <w:bottom w:w="40" w:type="dxa"/>
              <w:right w:w="40" w:type="dxa"/>
            </w:tcMar>
            <w:vAlign w:val="bottom"/>
          </w:tcPr>
          <w:p w14:paraId="0BC98F05"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F06"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auto"/>
            <w:tcMar>
              <w:top w:w="40" w:type="dxa"/>
              <w:left w:w="40" w:type="dxa"/>
              <w:bottom w:w="40" w:type="dxa"/>
            </w:tcMar>
            <w:vAlign w:val="bottom"/>
          </w:tcPr>
          <w:p w14:paraId="0BC98F0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(286</w:t>
            </w:r>
          </w:p>
        </w:tc>
        <w:tc>
          <w:tcPr>
            <w:tcW w:w="0" w:type="auto"/>
            <w:shd w:val="clear" w:color="auto" w:fill="auto"/>
            <w:tcMar>
              <w:top w:w="40" w:type="dxa"/>
              <w:bottom w:w="40" w:type="dxa"/>
              <w:right w:w="40" w:type="dxa"/>
            </w:tcMar>
            <w:vAlign w:val="bottom"/>
          </w:tcPr>
          <w:p w14:paraId="0BC98F08"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F09"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auto"/>
            <w:tcMar>
              <w:top w:w="40" w:type="dxa"/>
              <w:left w:w="40" w:type="dxa"/>
              <w:bottom w:w="40" w:type="dxa"/>
            </w:tcMar>
            <w:vAlign w:val="bottom"/>
          </w:tcPr>
          <w:p w14:paraId="0BC98F0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978</w:t>
            </w:r>
          </w:p>
        </w:tc>
        <w:tc>
          <w:tcPr>
            <w:tcW w:w="0" w:type="auto"/>
            <w:shd w:val="clear" w:color="auto" w:fill="auto"/>
            <w:vAlign w:val="bottom"/>
          </w:tcPr>
          <w:p w14:paraId="0BC98F0B" w14:textId="77777777" w:rsidR="009F0928" w:rsidRDefault="009F0928">
            <w:pPr>
              <w:textAlignment w:val="bottom"/>
              <w:rPr>
                <w:rFonts w:ascii="Times New Roman" w:hAnsi="Times New Roman"/>
                <w:sz w:val="20"/>
                <w:szCs w:val="20"/>
              </w:rPr>
            </w:pPr>
          </w:p>
        </w:tc>
      </w:tr>
      <w:tr w:rsidR="009F0928" w14:paraId="0BC98F16" w14:textId="77777777">
        <w:trPr>
          <w:jc w:val="center"/>
        </w:trPr>
        <w:tc>
          <w:tcPr>
            <w:tcW w:w="0" w:type="auto"/>
            <w:shd w:val="clear" w:color="auto" w:fill="E2E2E2"/>
            <w:tcMar>
              <w:top w:w="40" w:type="dxa"/>
              <w:left w:w="400" w:type="dxa"/>
              <w:bottom w:w="40" w:type="dxa"/>
              <w:right w:w="40" w:type="dxa"/>
            </w:tcMar>
            <w:vAlign w:val="bottom"/>
          </w:tcPr>
          <w:p w14:paraId="0BC98F0D" w14:textId="77777777" w:rsidR="009F0928" w:rsidRDefault="002112BD">
            <w:pPr>
              <w:textAlignment w:val="bottom"/>
              <w:rPr>
                <w:rFonts w:ascii="Times New Roman" w:hAnsi="Times New Roman"/>
                <w:sz w:val="20"/>
                <w:szCs w:val="20"/>
              </w:rPr>
            </w:pPr>
            <w:r>
              <w:rPr>
                <w:rFonts w:ascii="Arial" w:eastAsia="宋体" w:hAnsi="Arial" w:cs="Arial"/>
                <w:sz w:val="20"/>
                <w:szCs w:val="20"/>
              </w:rPr>
              <w:t>Tax benefit (provision) on above items</w:t>
            </w:r>
          </w:p>
        </w:tc>
        <w:tc>
          <w:tcPr>
            <w:tcW w:w="0" w:type="auto"/>
            <w:gridSpan w:val="2"/>
            <w:shd w:val="clear" w:color="auto" w:fill="E2E2E2"/>
            <w:tcMar>
              <w:top w:w="40" w:type="dxa"/>
              <w:left w:w="40" w:type="dxa"/>
              <w:bottom w:w="40" w:type="dxa"/>
            </w:tcMar>
            <w:vAlign w:val="bottom"/>
          </w:tcPr>
          <w:p w14:paraId="0BC98F0E"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w:t>
            </w:r>
          </w:p>
        </w:tc>
        <w:tc>
          <w:tcPr>
            <w:tcW w:w="0" w:type="auto"/>
            <w:shd w:val="clear" w:color="auto" w:fill="E2E2E2"/>
            <w:vAlign w:val="bottom"/>
          </w:tcPr>
          <w:p w14:paraId="0BC98F0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F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F1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(17</w:t>
            </w:r>
          </w:p>
        </w:tc>
        <w:tc>
          <w:tcPr>
            <w:tcW w:w="0" w:type="auto"/>
            <w:shd w:val="clear" w:color="auto" w:fill="E2E2E2"/>
            <w:tcMar>
              <w:top w:w="40" w:type="dxa"/>
              <w:bottom w:w="40" w:type="dxa"/>
              <w:right w:w="40" w:type="dxa"/>
            </w:tcMar>
            <w:vAlign w:val="bottom"/>
          </w:tcPr>
          <w:p w14:paraId="0BC98F12"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left w:w="40" w:type="dxa"/>
              <w:bottom w:w="40" w:type="dxa"/>
              <w:right w:w="40" w:type="dxa"/>
            </w:tcMar>
            <w:vAlign w:val="bottom"/>
          </w:tcPr>
          <w:p w14:paraId="0BC98F1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F1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40</w:t>
            </w:r>
          </w:p>
        </w:tc>
        <w:tc>
          <w:tcPr>
            <w:tcW w:w="0" w:type="auto"/>
            <w:shd w:val="clear" w:color="auto" w:fill="E2E2E2"/>
            <w:vAlign w:val="bottom"/>
          </w:tcPr>
          <w:p w14:paraId="0BC98F15" w14:textId="77777777" w:rsidR="009F0928" w:rsidRDefault="009F0928">
            <w:pPr>
              <w:textAlignment w:val="bottom"/>
              <w:rPr>
                <w:rFonts w:ascii="Times New Roman" w:hAnsi="Times New Roman"/>
                <w:sz w:val="20"/>
                <w:szCs w:val="20"/>
              </w:rPr>
            </w:pPr>
          </w:p>
        </w:tc>
      </w:tr>
      <w:tr w:rsidR="009F0928" w14:paraId="0BC98F20" w14:textId="77777777">
        <w:trPr>
          <w:jc w:val="center"/>
        </w:trPr>
        <w:tc>
          <w:tcPr>
            <w:tcW w:w="0" w:type="auto"/>
            <w:shd w:val="clear" w:color="auto" w:fill="auto"/>
            <w:tcMar>
              <w:top w:w="40" w:type="dxa"/>
              <w:left w:w="1040" w:type="dxa"/>
              <w:bottom w:w="40" w:type="dxa"/>
              <w:right w:w="40" w:type="dxa"/>
            </w:tcMar>
            <w:vAlign w:val="bottom"/>
          </w:tcPr>
          <w:p w14:paraId="0BC98F17" w14:textId="77777777" w:rsidR="009F0928" w:rsidRDefault="002112BD">
            <w:pPr>
              <w:textAlignment w:val="bottom"/>
              <w:rPr>
                <w:rFonts w:ascii="Times New Roman" w:hAnsi="Times New Roman"/>
                <w:sz w:val="20"/>
                <w:szCs w:val="20"/>
              </w:rPr>
            </w:pPr>
            <w:r>
              <w:rPr>
                <w:rFonts w:ascii="Arial" w:eastAsia="宋体" w:hAnsi="Arial" w:cs="Arial"/>
                <w:sz w:val="20"/>
                <w:szCs w:val="20"/>
              </w:rPr>
              <w:t>Balance, end of year</w:t>
            </w:r>
          </w:p>
        </w:tc>
        <w:tc>
          <w:tcPr>
            <w:tcW w:w="0" w:type="auto"/>
            <w:gridSpan w:val="2"/>
            <w:tcBorders>
              <w:top w:val="single" w:sz="8" w:space="0" w:color="000000"/>
            </w:tcBorders>
            <w:shd w:val="clear" w:color="auto" w:fill="auto"/>
            <w:tcMar>
              <w:top w:w="40" w:type="dxa"/>
              <w:left w:w="40" w:type="dxa"/>
              <w:bottom w:w="40" w:type="dxa"/>
            </w:tcMar>
            <w:vAlign w:val="bottom"/>
          </w:tcPr>
          <w:p w14:paraId="0BC98F18"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384</w:t>
            </w:r>
          </w:p>
        </w:tc>
        <w:tc>
          <w:tcPr>
            <w:tcW w:w="0" w:type="auto"/>
            <w:tcBorders>
              <w:top w:val="single" w:sz="8" w:space="0" w:color="000000"/>
            </w:tcBorders>
            <w:shd w:val="clear" w:color="auto" w:fill="auto"/>
            <w:vAlign w:val="bottom"/>
          </w:tcPr>
          <w:p w14:paraId="0BC98F1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F1A"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BC98F1B"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498</w:t>
            </w:r>
          </w:p>
        </w:tc>
        <w:tc>
          <w:tcPr>
            <w:tcW w:w="0" w:type="auto"/>
            <w:tcBorders>
              <w:top w:val="single" w:sz="8" w:space="0" w:color="000000"/>
            </w:tcBorders>
            <w:shd w:val="clear" w:color="auto" w:fill="auto"/>
            <w:vAlign w:val="bottom"/>
          </w:tcPr>
          <w:p w14:paraId="0BC98F1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F1D"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BC98F1E"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717</w:t>
            </w:r>
          </w:p>
        </w:tc>
        <w:tc>
          <w:tcPr>
            <w:tcW w:w="0" w:type="auto"/>
            <w:tcBorders>
              <w:top w:val="single" w:sz="8" w:space="0" w:color="000000"/>
            </w:tcBorders>
            <w:shd w:val="clear" w:color="auto" w:fill="auto"/>
            <w:vAlign w:val="bottom"/>
          </w:tcPr>
          <w:p w14:paraId="0BC98F1F" w14:textId="77777777" w:rsidR="009F0928" w:rsidRDefault="009F0928">
            <w:pPr>
              <w:textAlignment w:val="bottom"/>
              <w:rPr>
                <w:rFonts w:ascii="Times New Roman" w:hAnsi="Times New Roman"/>
                <w:sz w:val="20"/>
                <w:szCs w:val="20"/>
              </w:rPr>
            </w:pPr>
          </w:p>
        </w:tc>
      </w:tr>
      <w:tr w:rsidR="009F0928" w14:paraId="0BC98F2D" w14:textId="77777777">
        <w:trPr>
          <w:jc w:val="center"/>
        </w:trPr>
        <w:tc>
          <w:tcPr>
            <w:tcW w:w="0" w:type="auto"/>
            <w:shd w:val="clear" w:color="auto" w:fill="E2E2E2"/>
            <w:tcMar>
              <w:top w:w="40" w:type="dxa"/>
              <w:left w:w="40" w:type="dxa"/>
              <w:bottom w:w="40" w:type="dxa"/>
              <w:right w:w="40" w:type="dxa"/>
            </w:tcMar>
            <w:vAlign w:val="bottom"/>
          </w:tcPr>
          <w:p w14:paraId="0BC98F21" w14:textId="77777777" w:rsidR="009F0928" w:rsidRDefault="002112BD">
            <w:pPr>
              <w:textAlignment w:val="bottom"/>
              <w:rPr>
                <w:rFonts w:ascii="Times New Roman" w:hAnsi="Times New Roman"/>
                <w:sz w:val="20"/>
                <w:szCs w:val="20"/>
              </w:rPr>
            </w:pPr>
            <w:r>
              <w:rPr>
                <w:rFonts w:ascii="Arial" w:eastAsia="宋体" w:hAnsi="Arial" w:cs="Arial"/>
                <w:sz w:val="20"/>
                <w:szCs w:val="20"/>
              </w:rPr>
              <w:t>Total stockholders’ equity</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F22"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F23"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2,870</w:t>
            </w:r>
          </w:p>
        </w:tc>
        <w:tc>
          <w:tcPr>
            <w:tcW w:w="0" w:type="auto"/>
            <w:tcBorders>
              <w:top w:val="single" w:sz="8" w:space="0" w:color="000000"/>
              <w:bottom w:val="double" w:sz="6" w:space="0" w:color="000000"/>
            </w:tcBorders>
            <w:shd w:val="clear" w:color="auto" w:fill="E2E2E2"/>
            <w:vAlign w:val="bottom"/>
          </w:tcPr>
          <w:p w14:paraId="0BC98F2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F2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F26"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F2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6,281</w:t>
            </w:r>
          </w:p>
        </w:tc>
        <w:tc>
          <w:tcPr>
            <w:tcW w:w="0" w:type="auto"/>
            <w:tcBorders>
              <w:top w:val="single" w:sz="8" w:space="0" w:color="000000"/>
              <w:bottom w:val="double" w:sz="6" w:space="0" w:color="000000"/>
            </w:tcBorders>
            <w:shd w:val="clear" w:color="auto" w:fill="E2E2E2"/>
            <w:vAlign w:val="bottom"/>
          </w:tcPr>
          <w:p w14:paraId="0BC98F2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F29"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8F2A"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8F2B"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8,049</w:t>
            </w:r>
          </w:p>
        </w:tc>
        <w:tc>
          <w:tcPr>
            <w:tcW w:w="0" w:type="auto"/>
            <w:tcBorders>
              <w:top w:val="single" w:sz="8" w:space="0" w:color="000000"/>
              <w:bottom w:val="double" w:sz="6" w:space="0" w:color="000000"/>
            </w:tcBorders>
            <w:shd w:val="clear" w:color="auto" w:fill="E2E2E2"/>
            <w:vAlign w:val="bottom"/>
          </w:tcPr>
          <w:p w14:paraId="0BC98F2C" w14:textId="77777777" w:rsidR="009F0928" w:rsidRDefault="009F0928">
            <w:pPr>
              <w:textAlignment w:val="bottom"/>
              <w:rPr>
                <w:rFonts w:ascii="Times New Roman" w:hAnsi="Times New Roman"/>
                <w:sz w:val="20"/>
                <w:szCs w:val="20"/>
              </w:rPr>
            </w:pPr>
          </w:p>
        </w:tc>
      </w:tr>
      <w:tr w:rsidR="009F0928" w14:paraId="0BC98F34" w14:textId="77777777">
        <w:trPr>
          <w:jc w:val="center"/>
        </w:trPr>
        <w:tc>
          <w:tcPr>
            <w:tcW w:w="0" w:type="auto"/>
            <w:shd w:val="clear" w:color="auto" w:fill="auto"/>
            <w:tcMar>
              <w:top w:w="40" w:type="dxa"/>
              <w:left w:w="40" w:type="dxa"/>
              <w:bottom w:w="40" w:type="dxa"/>
              <w:right w:w="40" w:type="dxa"/>
            </w:tcMar>
            <w:vAlign w:val="bottom"/>
          </w:tcPr>
          <w:p w14:paraId="0BC98F2E" w14:textId="77777777" w:rsidR="009F0928" w:rsidRDefault="002112BD">
            <w:pPr>
              <w:textAlignment w:val="bottom"/>
              <w:rPr>
                <w:rFonts w:ascii="Times New Roman" w:hAnsi="Times New Roman"/>
                <w:sz w:val="20"/>
                <w:szCs w:val="20"/>
              </w:rPr>
            </w:pPr>
            <w:r>
              <w:rPr>
                <w:rFonts w:ascii="Arial" w:eastAsia="宋体" w:hAnsi="Arial" w:cs="Arial"/>
                <w:sz w:val="20"/>
                <w:szCs w:val="20"/>
              </w:rPr>
              <w:t>Number of shares:</w:t>
            </w:r>
          </w:p>
        </w:tc>
        <w:tc>
          <w:tcPr>
            <w:tcW w:w="0" w:type="auto"/>
            <w:gridSpan w:val="3"/>
            <w:shd w:val="clear" w:color="auto" w:fill="auto"/>
            <w:tcMar>
              <w:top w:w="40" w:type="dxa"/>
              <w:left w:w="40" w:type="dxa"/>
              <w:bottom w:w="40" w:type="dxa"/>
              <w:right w:w="40" w:type="dxa"/>
            </w:tcMar>
            <w:vAlign w:val="bottom"/>
          </w:tcPr>
          <w:p w14:paraId="0BC98F2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F30"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shd w:val="clear" w:color="auto" w:fill="auto"/>
            <w:tcMar>
              <w:top w:w="40" w:type="dxa"/>
              <w:left w:w="40" w:type="dxa"/>
              <w:bottom w:w="40" w:type="dxa"/>
              <w:right w:w="40" w:type="dxa"/>
            </w:tcMar>
            <w:vAlign w:val="bottom"/>
          </w:tcPr>
          <w:p w14:paraId="0BC98F3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F32"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shd w:val="clear" w:color="auto" w:fill="auto"/>
            <w:tcMar>
              <w:top w:w="40" w:type="dxa"/>
              <w:left w:w="40" w:type="dxa"/>
              <w:bottom w:w="40" w:type="dxa"/>
              <w:right w:w="40" w:type="dxa"/>
            </w:tcMar>
            <w:vAlign w:val="bottom"/>
          </w:tcPr>
          <w:p w14:paraId="0BC98F3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F3B" w14:textId="77777777">
        <w:trPr>
          <w:jc w:val="center"/>
        </w:trPr>
        <w:tc>
          <w:tcPr>
            <w:tcW w:w="0" w:type="auto"/>
            <w:shd w:val="clear" w:color="auto" w:fill="E2E2E2"/>
            <w:tcMar>
              <w:top w:w="40" w:type="dxa"/>
              <w:left w:w="40" w:type="dxa"/>
              <w:bottom w:w="40" w:type="dxa"/>
              <w:right w:w="40" w:type="dxa"/>
            </w:tcMar>
            <w:vAlign w:val="bottom"/>
          </w:tcPr>
          <w:p w14:paraId="0BC98F35" w14:textId="77777777" w:rsidR="009F0928" w:rsidRDefault="002112BD">
            <w:pPr>
              <w:textAlignment w:val="bottom"/>
              <w:rPr>
                <w:rFonts w:ascii="Times New Roman" w:hAnsi="Times New Roman"/>
                <w:sz w:val="20"/>
                <w:szCs w:val="20"/>
              </w:rPr>
            </w:pPr>
            <w:r>
              <w:rPr>
                <w:rFonts w:ascii="Arial" w:eastAsia="宋体" w:hAnsi="Arial" w:cs="Arial"/>
                <w:sz w:val="20"/>
                <w:szCs w:val="20"/>
              </w:rPr>
              <w:t>Common stock - shares outstanding:</w:t>
            </w:r>
          </w:p>
        </w:tc>
        <w:tc>
          <w:tcPr>
            <w:tcW w:w="0" w:type="auto"/>
            <w:gridSpan w:val="3"/>
            <w:shd w:val="clear" w:color="auto" w:fill="E2E2E2"/>
            <w:tcMar>
              <w:top w:w="40" w:type="dxa"/>
              <w:left w:w="40" w:type="dxa"/>
              <w:bottom w:w="40" w:type="dxa"/>
              <w:right w:w="40" w:type="dxa"/>
            </w:tcMar>
            <w:vAlign w:val="bottom"/>
          </w:tcPr>
          <w:p w14:paraId="0BC98F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F37"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shd w:val="clear" w:color="auto" w:fill="E2E2E2"/>
            <w:tcMar>
              <w:top w:w="40" w:type="dxa"/>
              <w:left w:w="40" w:type="dxa"/>
              <w:bottom w:w="40" w:type="dxa"/>
              <w:right w:w="40" w:type="dxa"/>
            </w:tcMar>
            <w:vAlign w:val="bottom"/>
          </w:tcPr>
          <w:p w14:paraId="0BC98F3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8F39"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shd w:val="clear" w:color="auto" w:fill="E2E2E2"/>
            <w:tcMar>
              <w:top w:w="40" w:type="dxa"/>
              <w:left w:w="40" w:type="dxa"/>
              <w:bottom w:w="40" w:type="dxa"/>
              <w:right w:w="40" w:type="dxa"/>
            </w:tcMar>
            <w:vAlign w:val="bottom"/>
          </w:tcPr>
          <w:p w14:paraId="0BC98F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F45" w14:textId="77777777">
        <w:trPr>
          <w:jc w:val="center"/>
        </w:trPr>
        <w:tc>
          <w:tcPr>
            <w:tcW w:w="0" w:type="auto"/>
            <w:shd w:val="clear" w:color="auto" w:fill="auto"/>
            <w:tcMar>
              <w:top w:w="40" w:type="dxa"/>
              <w:left w:w="400" w:type="dxa"/>
              <w:bottom w:w="40" w:type="dxa"/>
              <w:right w:w="40" w:type="dxa"/>
            </w:tcMar>
            <w:vAlign w:val="bottom"/>
          </w:tcPr>
          <w:p w14:paraId="0BC98F3C" w14:textId="77777777" w:rsidR="009F0928" w:rsidRDefault="002112BD">
            <w:pPr>
              <w:textAlignment w:val="bottom"/>
              <w:rPr>
                <w:rFonts w:ascii="Times New Roman" w:hAnsi="Times New Roman"/>
                <w:sz w:val="20"/>
                <w:szCs w:val="20"/>
              </w:rPr>
            </w:pPr>
            <w:r>
              <w:rPr>
                <w:rFonts w:ascii="Arial" w:eastAsia="宋体" w:hAnsi="Arial" w:cs="Arial"/>
                <w:sz w:val="20"/>
                <w:szCs w:val="20"/>
              </w:rPr>
              <w:t>Balance, beginning of year</w:t>
            </w:r>
          </w:p>
        </w:tc>
        <w:tc>
          <w:tcPr>
            <w:tcW w:w="0" w:type="auto"/>
            <w:gridSpan w:val="2"/>
            <w:shd w:val="clear" w:color="auto" w:fill="auto"/>
            <w:tcMar>
              <w:top w:w="40" w:type="dxa"/>
              <w:left w:w="40" w:type="dxa"/>
              <w:bottom w:w="40" w:type="dxa"/>
            </w:tcMar>
            <w:vAlign w:val="bottom"/>
          </w:tcPr>
          <w:p w14:paraId="0BC98F3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915</w:t>
            </w:r>
          </w:p>
        </w:tc>
        <w:tc>
          <w:tcPr>
            <w:tcW w:w="0" w:type="auto"/>
            <w:shd w:val="clear" w:color="auto" w:fill="auto"/>
            <w:vAlign w:val="bottom"/>
          </w:tcPr>
          <w:p w14:paraId="0BC98F3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F3F"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auto"/>
            <w:tcMar>
              <w:top w:w="40" w:type="dxa"/>
              <w:left w:w="40" w:type="dxa"/>
              <w:bottom w:w="40" w:type="dxa"/>
            </w:tcMar>
            <w:vAlign w:val="bottom"/>
          </w:tcPr>
          <w:p w14:paraId="0BC98F4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1,029</w:t>
            </w:r>
          </w:p>
        </w:tc>
        <w:tc>
          <w:tcPr>
            <w:tcW w:w="0" w:type="auto"/>
            <w:shd w:val="clear" w:color="auto" w:fill="auto"/>
            <w:vAlign w:val="bottom"/>
          </w:tcPr>
          <w:p w14:paraId="0BC98F4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F42"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auto"/>
            <w:tcMar>
              <w:top w:w="40" w:type="dxa"/>
              <w:left w:w="40" w:type="dxa"/>
              <w:bottom w:w="40" w:type="dxa"/>
            </w:tcMar>
            <w:vAlign w:val="bottom"/>
          </w:tcPr>
          <w:p w14:paraId="0BC98F43"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1,087</w:t>
            </w:r>
          </w:p>
        </w:tc>
        <w:tc>
          <w:tcPr>
            <w:tcW w:w="0" w:type="auto"/>
            <w:shd w:val="clear" w:color="auto" w:fill="auto"/>
            <w:vAlign w:val="bottom"/>
          </w:tcPr>
          <w:p w14:paraId="0BC98F44" w14:textId="77777777" w:rsidR="009F0928" w:rsidRDefault="009F0928">
            <w:pPr>
              <w:textAlignment w:val="bottom"/>
              <w:rPr>
                <w:rFonts w:ascii="Times New Roman" w:hAnsi="Times New Roman"/>
                <w:sz w:val="20"/>
                <w:szCs w:val="20"/>
              </w:rPr>
            </w:pPr>
          </w:p>
        </w:tc>
      </w:tr>
      <w:tr w:rsidR="009F0928" w14:paraId="0BC98F4F" w14:textId="77777777">
        <w:trPr>
          <w:jc w:val="center"/>
        </w:trPr>
        <w:tc>
          <w:tcPr>
            <w:tcW w:w="0" w:type="auto"/>
            <w:shd w:val="clear" w:color="auto" w:fill="E2E2E2"/>
            <w:tcMar>
              <w:top w:w="40" w:type="dxa"/>
              <w:left w:w="400" w:type="dxa"/>
              <w:bottom w:w="40" w:type="dxa"/>
              <w:right w:w="40" w:type="dxa"/>
            </w:tcMar>
            <w:vAlign w:val="bottom"/>
          </w:tcPr>
          <w:p w14:paraId="0BC98F46" w14:textId="77777777" w:rsidR="009F0928" w:rsidRDefault="002112BD">
            <w:pPr>
              <w:textAlignment w:val="bottom"/>
              <w:rPr>
                <w:rFonts w:ascii="Times New Roman" w:hAnsi="Times New Roman"/>
                <w:sz w:val="20"/>
                <w:szCs w:val="20"/>
              </w:rPr>
            </w:pPr>
            <w:r>
              <w:rPr>
                <w:rFonts w:ascii="Arial" w:eastAsia="宋体" w:hAnsi="Arial" w:cs="Arial"/>
                <w:sz w:val="20"/>
                <w:szCs w:val="20"/>
              </w:rPr>
              <w:t>Common stock issued</w:t>
            </w:r>
          </w:p>
        </w:tc>
        <w:tc>
          <w:tcPr>
            <w:tcW w:w="0" w:type="auto"/>
            <w:gridSpan w:val="2"/>
            <w:shd w:val="clear" w:color="auto" w:fill="E2E2E2"/>
            <w:tcMar>
              <w:top w:w="40" w:type="dxa"/>
              <w:left w:w="40" w:type="dxa"/>
              <w:bottom w:w="40" w:type="dxa"/>
            </w:tcMar>
            <w:vAlign w:val="bottom"/>
          </w:tcPr>
          <w:p w14:paraId="0BC98F4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15</w:t>
            </w:r>
          </w:p>
        </w:tc>
        <w:tc>
          <w:tcPr>
            <w:tcW w:w="0" w:type="auto"/>
            <w:shd w:val="clear" w:color="auto" w:fill="E2E2E2"/>
            <w:vAlign w:val="bottom"/>
          </w:tcPr>
          <w:p w14:paraId="0BC98F4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F49"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E2E2E2"/>
            <w:tcMar>
              <w:top w:w="40" w:type="dxa"/>
              <w:left w:w="40" w:type="dxa"/>
              <w:bottom w:w="40" w:type="dxa"/>
            </w:tcMar>
            <w:vAlign w:val="bottom"/>
          </w:tcPr>
          <w:p w14:paraId="0BC98F4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17</w:t>
            </w:r>
          </w:p>
        </w:tc>
        <w:tc>
          <w:tcPr>
            <w:tcW w:w="0" w:type="auto"/>
            <w:shd w:val="clear" w:color="auto" w:fill="E2E2E2"/>
            <w:vAlign w:val="bottom"/>
          </w:tcPr>
          <w:p w14:paraId="0BC98F4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F4C"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E2E2E2"/>
            <w:tcMar>
              <w:top w:w="40" w:type="dxa"/>
              <w:left w:w="40" w:type="dxa"/>
              <w:bottom w:w="40" w:type="dxa"/>
            </w:tcMar>
            <w:vAlign w:val="bottom"/>
          </w:tcPr>
          <w:p w14:paraId="0BC98F4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24</w:t>
            </w:r>
          </w:p>
        </w:tc>
        <w:tc>
          <w:tcPr>
            <w:tcW w:w="0" w:type="auto"/>
            <w:shd w:val="clear" w:color="auto" w:fill="E2E2E2"/>
            <w:vAlign w:val="bottom"/>
          </w:tcPr>
          <w:p w14:paraId="0BC98F4E" w14:textId="77777777" w:rsidR="009F0928" w:rsidRDefault="009F0928">
            <w:pPr>
              <w:textAlignment w:val="bottom"/>
              <w:rPr>
                <w:rFonts w:ascii="Times New Roman" w:hAnsi="Times New Roman"/>
                <w:sz w:val="20"/>
                <w:szCs w:val="20"/>
              </w:rPr>
            </w:pPr>
          </w:p>
        </w:tc>
      </w:tr>
      <w:tr w:rsidR="009F0928" w14:paraId="0BC98F59" w14:textId="77777777">
        <w:trPr>
          <w:jc w:val="center"/>
        </w:trPr>
        <w:tc>
          <w:tcPr>
            <w:tcW w:w="0" w:type="auto"/>
            <w:shd w:val="clear" w:color="auto" w:fill="auto"/>
            <w:tcMar>
              <w:top w:w="40" w:type="dxa"/>
              <w:left w:w="400" w:type="dxa"/>
              <w:bottom w:w="40" w:type="dxa"/>
              <w:right w:w="40" w:type="dxa"/>
            </w:tcMar>
            <w:vAlign w:val="bottom"/>
          </w:tcPr>
          <w:p w14:paraId="0BC98F50" w14:textId="77777777" w:rsidR="009F0928" w:rsidRDefault="002112BD">
            <w:pPr>
              <w:textAlignment w:val="bottom"/>
              <w:rPr>
                <w:rFonts w:ascii="Times New Roman" w:hAnsi="Times New Roman"/>
                <w:sz w:val="20"/>
                <w:szCs w:val="20"/>
              </w:rPr>
            </w:pPr>
            <w:r>
              <w:rPr>
                <w:rFonts w:ascii="Arial" w:eastAsia="宋体" w:hAnsi="Arial" w:cs="Arial"/>
                <w:sz w:val="20"/>
                <w:szCs w:val="20"/>
              </w:rPr>
              <w:t>Common stock repurchased/forfeited</w:t>
            </w:r>
          </w:p>
        </w:tc>
        <w:tc>
          <w:tcPr>
            <w:tcW w:w="0" w:type="auto"/>
            <w:gridSpan w:val="2"/>
            <w:shd w:val="clear" w:color="auto" w:fill="auto"/>
            <w:tcMar>
              <w:top w:w="40" w:type="dxa"/>
              <w:left w:w="40" w:type="dxa"/>
              <w:bottom w:w="40" w:type="dxa"/>
            </w:tcMar>
            <w:vAlign w:val="bottom"/>
          </w:tcPr>
          <w:p w14:paraId="0BC98F5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(134</w:t>
            </w:r>
          </w:p>
        </w:tc>
        <w:tc>
          <w:tcPr>
            <w:tcW w:w="0" w:type="auto"/>
            <w:shd w:val="clear" w:color="auto" w:fill="auto"/>
            <w:tcMar>
              <w:top w:w="40" w:type="dxa"/>
              <w:bottom w:w="40" w:type="dxa"/>
              <w:right w:w="40" w:type="dxa"/>
            </w:tcMar>
            <w:vAlign w:val="bottom"/>
          </w:tcPr>
          <w:p w14:paraId="0BC98F52"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F53"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auto"/>
            <w:tcMar>
              <w:top w:w="40" w:type="dxa"/>
              <w:left w:w="40" w:type="dxa"/>
              <w:bottom w:w="40" w:type="dxa"/>
            </w:tcMar>
            <w:vAlign w:val="bottom"/>
          </w:tcPr>
          <w:p w14:paraId="0BC98F5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(131</w:t>
            </w:r>
          </w:p>
        </w:tc>
        <w:tc>
          <w:tcPr>
            <w:tcW w:w="0" w:type="auto"/>
            <w:shd w:val="clear" w:color="auto" w:fill="auto"/>
            <w:tcMar>
              <w:top w:w="40" w:type="dxa"/>
              <w:bottom w:w="40" w:type="dxa"/>
              <w:right w:w="40" w:type="dxa"/>
            </w:tcMar>
            <w:vAlign w:val="bottom"/>
          </w:tcPr>
          <w:p w14:paraId="0BC98F55"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8F56"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shd w:val="clear" w:color="auto" w:fill="auto"/>
            <w:tcMar>
              <w:top w:w="40" w:type="dxa"/>
              <w:left w:w="40" w:type="dxa"/>
              <w:bottom w:w="40" w:type="dxa"/>
            </w:tcMar>
            <w:vAlign w:val="bottom"/>
          </w:tcPr>
          <w:p w14:paraId="0BC98F5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(82</w:t>
            </w:r>
          </w:p>
        </w:tc>
        <w:tc>
          <w:tcPr>
            <w:tcW w:w="0" w:type="auto"/>
            <w:shd w:val="clear" w:color="auto" w:fill="auto"/>
            <w:tcMar>
              <w:top w:w="40" w:type="dxa"/>
              <w:bottom w:w="40" w:type="dxa"/>
              <w:right w:w="40" w:type="dxa"/>
            </w:tcMar>
            <w:vAlign w:val="bottom"/>
          </w:tcPr>
          <w:p w14:paraId="0BC98F58"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r>
      <w:tr w:rsidR="009F0928" w14:paraId="0BC98F63" w14:textId="77777777">
        <w:trPr>
          <w:jc w:val="center"/>
        </w:trPr>
        <w:tc>
          <w:tcPr>
            <w:tcW w:w="0" w:type="auto"/>
            <w:shd w:val="clear" w:color="auto" w:fill="E2E2E2"/>
            <w:tcMar>
              <w:top w:w="40" w:type="dxa"/>
              <w:left w:w="1040" w:type="dxa"/>
              <w:bottom w:w="40" w:type="dxa"/>
              <w:right w:w="40" w:type="dxa"/>
            </w:tcMar>
            <w:vAlign w:val="bottom"/>
          </w:tcPr>
          <w:p w14:paraId="0BC98F5A" w14:textId="77777777" w:rsidR="009F0928" w:rsidRDefault="002112BD">
            <w:pPr>
              <w:textAlignment w:val="bottom"/>
              <w:rPr>
                <w:rFonts w:ascii="Times New Roman" w:hAnsi="Times New Roman"/>
                <w:sz w:val="20"/>
                <w:szCs w:val="20"/>
              </w:rPr>
            </w:pPr>
            <w:r>
              <w:rPr>
                <w:rFonts w:ascii="Arial" w:eastAsia="宋体" w:hAnsi="Arial" w:cs="Arial"/>
                <w:sz w:val="20"/>
                <w:szCs w:val="20"/>
              </w:rPr>
              <w:t>Balance, end of year</w:t>
            </w:r>
          </w:p>
        </w:tc>
        <w:tc>
          <w:tcPr>
            <w:tcW w:w="0" w:type="auto"/>
            <w:gridSpan w:val="2"/>
            <w:tcBorders>
              <w:top w:val="single" w:sz="8" w:space="0" w:color="000000"/>
              <w:bottom w:val="double" w:sz="6" w:space="0" w:color="000000"/>
            </w:tcBorders>
            <w:shd w:val="clear" w:color="auto" w:fill="E2E2E2"/>
            <w:tcMar>
              <w:top w:w="40" w:type="dxa"/>
              <w:left w:w="40" w:type="dxa"/>
              <w:bottom w:w="40" w:type="dxa"/>
            </w:tcMar>
            <w:vAlign w:val="bottom"/>
          </w:tcPr>
          <w:p w14:paraId="0BC98F5B"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796</w:t>
            </w:r>
          </w:p>
        </w:tc>
        <w:tc>
          <w:tcPr>
            <w:tcW w:w="0" w:type="auto"/>
            <w:tcBorders>
              <w:top w:val="single" w:sz="8" w:space="0" w:color="000000"/>
              <w:bottom w:val="double" w:sz="6" w:space="0" w:color="000000"/>
            </w:tcBorders>
            <w:shd w:val="clear" w:color="auto" w:fill="E2E2E2"/>
            <w:vAlign w:val="bottom"/>
          </w:tcPr>
          <w:p w14:paraId="0BC98F5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F5D"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tcBorders>
              <w:top w:val="single" w:sz="8" w:space="0" w:color="000000"/>
              <w:bottom w:val="double" w:sz="6" w:space="0" w:color="000000"/>
            </w:tcBorders>
            <w:shd w:val="clear" w:color="auto" w:fill="E2E2E2"/>
            <w:tcMar>
              <w:top w:w="40" w:type="dxa"/>
              <w:left w:w="40" w:type="dxa"/>
              <w:bottom w:w="40" w:type="dxa"/>
            </w:tcMar>
            <w:vAlign w:val="bottom"/>
          </w:tcPr>
          <w:p w14:paraId="0BC98F5E"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915</w:t>
            </w:r>
          </w:p>
        </w:tc>
        <w:tc>
          <w:tcPr>
            <w:tcW w:w="0" w:type="auto"/>
            <w:tcBorders>
              <w:top w:val="single" w:sz="8" w:space="0" w:color="000000"/>
              <w:bottom w:val="double" w:sz="6" w:space="0" w:color="000000"/>
            </w:tcBorders>
            <w:shd w:val="clear" w:color="auto" w:fill="E2E2E2"/>
            <w:vAlign w:val="bottom"/>
          </w:tcPr>
          <w:p w14:paraId="0BC98F5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F60"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2"/>
            <w:tcBorders>
              <w:top w:val="single" w:sz="8" w:space="0" w:color="000000"/>
              <w:bottom w:val="double" w:sz="6" w:space="0" w:color="000000"/>
            </w:tcBorders>
            <w:shd w:val="clear" w:color="auto" w:fill="E2E2E2"/>
            <w:tcMar>
              <w:top w:w="40" w:type="dxa"/>
              <w:left w:w="40" w:type="dxa"/>
              <w:bottom w:w="40" w:type="dxa"/>
            </w:tcMar>
            <w:vAlign w:val="bottom"/>
          </w:tcPr>
          <w:p w14:paraId="0BC98F6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1,029</w:t>
            </w:r>
          </w:p>
        </w:tc>
        <w:tc>
          <w:tcPr>
            <w:tcW w:w="0" w:type="auto"/>
            <w:tcBorders>
              <w:top w:val="single" w:sz="8" w:space="0" w:color="000000"/>
              <w:bottom w:val="double" w:sz="6" w:space="0" w:color="000000"/>
            </w:tcBorders>
            <w:shd w:val="clear" w:color="auto" w:fill="E2E2E2"/>
            <w:vAlign w:val="bottom"/>
          </w:tcPr>
          <w:p w14:paraId="0BC98F62" w14:textId="77777777" w:rsidR="009F0928" w:rsidRDefault="009F0928">
            <w:pPr>
              <w:textAlignment w:val="bottom"/>
              <w:rPr>
                <w:rFonts w:ascii="Times New Roman" w:hAnsi="Times New Roman"/>
                <w:sz w:val="20"/>
                <w:szCs w:val="20"/>
              </w:rPr>
            </w:pPr>
          </w:p>
        </w:tc>
      </w:tr>
      <w:tr w:rsidR="009F0928" w14:paraId="0BC98F6A" w14:textId="77777777">
        <w:trPr>
          <w:jc w:val="center"/>
        </w:trPr>
        <w:tc>
          <w:tcPr>
            <w:tcW w:w="0" w:type="auto"/>
            <w:shd w:val="clear" w:color="auto" w:fill="auto"/>
            <w:tcMar>
              <w:top w:w="40" w:type="dxa"/>
              <w:left w:w="40" w:type="dxa"/>
              <w:bottom w:w="40" w:type="dxa"/>
              <w:right w:w="40" w:type="dxa"/>
            </w:tcMar>
            <w:vAlign w:val="bottom"/>
          </w:tcPr>
          <w:p w14:paraId="0BC98F6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F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F6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F6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8F6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F6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F77" w14:textId="77777777">
        <w:trPr>
          <w:jc w:val="center"/>
        </w:trPr>
        <w:tc>
          <w:tcPr>
            <w:tcW w:w="0" w:type="auto"/>
            <w:shd w:val="clear" w:color="auto" w:fill="E2E2E2"/>
            <w:tcMar>
              <w:top w:w="40" w:type="dxa"/>
              <w:left w:w="40" w:type="dxa"/>
              <w:bottom w:w="40" w:type="dxa"/>
              <w:right w:w="40" w:type="dxa"/>
            </w:tcMar>
            <w:vAlign w:val="bottom"/>
          </w:tcPr>
          <w:p w14:paraId="0BC98F6B" w14:textId="77777777" w:rsidR="009F0928" w:rsidRDefault="002112BD">
            <w:pPr>
              <w:textAlignment w:val="bottom"/>
              <w:rPr>
                <w:rFonts w:ascii="Times New Roman" w:hAnsi="Times New Roman"/>
                <w:sz w:val="20"/>
                <w:szCs w:val="20"/>
              </w:rPr>
            </w:pPr>
            <w:r>
              <w:rPr>
                <w:rFonts w:ascii="Arial" w:eastAsia="宋体" w:hAnsi="Arial" w:cs="Arial"/>
                <w:sz w:val="20"/>
                <w:szCs w:val="20"/>
              </w:rPr>
              <w:t>Dividends and dividend equivalents declared per share or restricted stock unit</w:t>
            </w:r>
          </w:p>
        </w:tc>
        <w:tc>
          <w:tcPr>
            <w:tcW w:w="0" w:type="auto"/>
            <w:shd w:val="clear" w:color="auto" w:fill="E2E2E2"/>
            <w:tcMar>
              <w:top w:w="40" w:type="dxa"/>
              <w:left w:w="40" w:type="dxa"/>
              <w:bottom w:w="40" w:type="dxa"/>
            </w:tcMar>
            <w:vAlign w:val="bottom"/>
          </w:tcPr>
          <w:p w14:paraId="0BC98F6C"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8F6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0.56</w:t>
            </w:r>
          </w:p>
        </w:tc>
        <w:tc>
          <w:tcPr>
            <w:tcW w:w="0" w:type="auto"/>
            <w:shd w:val="clear" w:color="auto" w:fill="E2E2E2"/>
            <w:vAlign w:val="bottom"/>
          </w:tcPr>
          <w:p w14:paraId="0BC98F6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F6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F70"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8F7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vAlign w:val="bottom"/>
          </w:tcPr>
          <w:p w14:paraId="0BC98F7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F7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8F74"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8F75"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vAlign w:val="bottom"/>
          </w:tcPr>
          <w:p w14:paraId="0BC98F76" w14:textId="77777777" w:rsidR="009F0928" w:rsidRDefault="009F0928">
            <w:pPr>
              <w:textAlignment w:val="bottom"/>
              <w:rPr>
                <w:rFonts w:ascii="Times New Roman" w:hAnsi="Times New Roman"/>
                <w:sz w:val="20"/>
                <w:szCs w:val="20"/>
              </w:rPr>
            </w:pPr>
          </w:p>
        </w:tc>
      </w:tr>
    </w:tbl>
    <w:p w14:paraId="0BC98F78" w14:textId="77777777" w:rsidR="009F0928" w:rsidRDefault="009F0928">
      <w:pPr>
        <w:spacing w:line="288" w:lineRule="auto"/>
        <w:jc w:val="center"/>
        <w:rPr>
          <w:rFonts w:ascii="Times New Roman" w:hAnsi="Times New Roman"/>
          <w:sz w:val="20"/>
          <w:szCs w:val="20"/>
        </w:rPr>
      </w:pPr>
    </w:p>
    <w:p w14:paraId="0BC98F79" w14:textId="77777777" w:rsidR="009F0928" w:rsidRDefault="002112BD">
      <w:pPr>
        <w:spacing w:line="288" w:lineRule="auto"/>
        <w:jc w:val="center"/>
        <w:rPr>
          <w:rFonts w:ascii="Times New Roman" w:hAnsi="Times New Roman"/>
          <w:sz w:val="20"/>
          <w:szCs w:val="20"/>
        </w:rPr>
      </w:pPr>
      <w:r>
        <w:rPr>
          <w:rFonts w:ascii="Arial" w:eastAsia="宋体" w:hAnsi="Arial" w:cs="Arial"/>
          <w:sz w:val="20"/>
          <w:szCs w:val="20"/>
        </w:rPr>
        <w:t xml:space="preserve">The accompanying notes are an integral part of these consolidated financial statements. </w:t>
      </w:r>
    </w:p>
    <w:p w14:paraId="0BC98F7A" w14:textId="77777777" w:rsidR="009F0928" w:rsidRDefault="009F0928">
      <w:pPr>
        <w:rPr>
          <w:rFonts w:ascii="Times New Roman" w:hAnsi="Times New Roman"/>
          <w:sz w:val="20"/>
          <w:szCs w:val="20"/>
        </w:rPr>
      </w:pPr>
    </w:p>
    <w:p w14:paraId="0BC98F7B"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F-6</w:t>
      </w:r>
    </w:p>
    <w:p w14:paraId="0BC98F7C" w14:textId="77777777" w:rsidR="009F0928" w:rsidRDefault="002112BD">
      <w:r>
        <w:rPr>
          <w:rFonts w:ascii="Times New Roman" w:hAnsi="Times New Roman"/>
          <w:sz w:val="18"/>
          <w:szCs w:val="18"/>
        </w:rPr>
        <w:pict w14:anchorId="0BC9B500">
          <v:rect id="_x0000_i1092" style="width:415.3pt;height:1.5pt" o:hralign="center" o:hrstd="t" o:hr="t" fillcolor="#a0a0a0" stroked="f"/>
        </w:pict>
      </w:r>
    </w:p>
    <w:p w14:paraId="0BC98F7D" w14:textId="77777777" w:rsidR="009F0928" w:rsidRDefault="009F0928">
      <w:pPr>
        <w:spacing w:line="288" w:lineRule="auto"/>
        <w:rPr>
          <w:rFonts w:ascii="Times New Roman" w:hAnsi="Times New Roman"/>
          <w:sz w:val="20"/>
          <w:szCs w:val="20"/>
        </w:rPr>
      </w:pPr>
    </w:p>
    <w:p w14:paraId="0BC98F7E" w14:textId="77777777" w:rsidR="009F0928" w:rsidRDefault="009F0928">
      <w:pPr>
        <w:rPr>
          <w:rFonts w:ascii="Times New Roman" w:hAnsi="Times New Roman"/>
          <w:sz w:val="20"/>
          <w:szCs w:val="20"/>
        </w:rPr>
      </w:pPr>
    </w:p>
    <w:p w14:paraId="0BC98F7F"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eBay Inc. </w:t>
      </w:r>
    </w:p>
    <w:p w14:paraId="0BC98F80"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CONSOLIDATED STATEMENT OF CASH FLOWS</w:t>
      </w:r>
    </w:p>
    <w:tbl>
      <w:tblPr>
        <w:tblW w:w="5000" w:type="pct"/>
        <w:jc w:val="center"/>
        <w:tblCellMar>
          <w:left w:w="0" w:type="dxa"/>
          <w:right w:w="0" w:type="dxa"/>
        </w:tblCellMar>
        <w:tblLook w:val="04A0" w:firstRow="1" w:lastRow="0" w:firstColumn="1" w:lastColumn="0" w:noHBand="0" w:noVBand="1"/>
      </w:tblPr>
      <w:tblGrid>
        <w:gridCol w:w="4840"/>
        <w:gridCol w:w="125"/>
        <w:gridCol w:w="854"/>
        <w:gridCol w:w="90"/>
        <w:gridCol w:w="130"/>
        <w:gridCol w:w="125"/>
        <w:gridCol w:w="854"/>
        <w:gridCol w:w="90"/>
        <w:gridCol w:w="130"/>
        <w:gridCol w:w="124"/>
        <w:gridCol w:w="854"/>
        <w:gridCol w:w="90"/>
      </w:tblGrid>
      <w:tr w:rsidR="009F0928" w14:paraId="0BC98F82" w14:textId="77777777">
        <w:trPr>
          <w:jc w:val="center"/>
        </w:trPr>
        <w:tc>
          <w:tcPr>
            <w:tcW w:w="0" w:type="auto"/>
            <w:gridSpan w:val="12"/>
            <w:shd w:val="clear" w:color="auto" w:fill="auto"/>
            <w:vAlign w:val="center"/>
          </w:tcPr>
          <w:p w14:paraId="0BC98F81" w14:textId="77777777" w:rsidR="009F0928" w:rsidRDefault="009F0928">
            <w:pPr>
              <w:rPr>
                <w:rFonts w:ascii="Times New Roman" w:hAnsi="Times New Roman"/>
                <w:sz w:val="20"/>
                <w:szCs w:val="20"/>
              </w:rPr>
            </w:pPr>
          </w:p>
        </w:tc>
      </w:tr>
      <w:tr w:rsidR="009F0928" w14:paraId="0BC98F8F" w14:textId="77777777">
        <w:trPr>
          <w:jc w:val="center"/>
        </w:trPr>
        <w:tc>
          <w:tcPr>
            <w:tcW w:w="2950" w:type="pct"/>
            <w:shd w:val="clear" w:color="auto" w:fill="auto"/>
            <w:vAlign w:val="center"/>
          </w:tcPr>
          <w:p w14:paraId="0BC98F83" w14:textId="77777777" w:rsidR="009F0928" w:rsidRDefault="009F0928">
            <w:pPr>
              <w:rPr>
                <w:rFonts w:ascii="Times New Roman" w:hAnsi="Times New Roman"/>
                <w:sz w:val="20"/>
                <w:szCs w:val="20"/>
              </w:rPr>
            </w:pPr>
          </w:p>
        </w:tc>
        <w:tc>
          <w:tcPr>
            <w:tcW w:w="50" w:type="pct"/>
            <w:shd w:val="clear" w:color="auto" w:fill="auto"/>
            <w:vAlign w:val="center"/>
          </w:tcPr>
          <w:p w14:paraId="0BC98F84" w14:textId="77777777" w:rsidR="009F0928" w:rsidRDefault="009F0928">
            <w:pPr>
              <w:rPr>
                <w:rFonts w:ascii="Times New Roman" w:hAnsi="Times New Roman"/>
                <w:sz w:val="20"/>
                <w:szCs w:val="20"/>
              </w:rPr>
            </w:pPr>
          </w:p>
        </w:tc>
        <w:tc>
          <w:tcPr>
            <w:tcW w:w="550" w:type="pct"/>
            <w:shd w:val="clear" w:color="auto" w:fill="auto"/>
            <w:vAlign w:val="center"/>
          </w:tcPr>
          <w:p w14:paraId="0BC98F85" w14:textId="77777777" w:rsidR="009F0928" w:rsidRDefault="009F0928">
            <w:pPr>
              <w:rPr>
                <w:rFonts w:ascii="Times New Roman" w:hAnsi="Times New Roman"/>
                <w:sz w:val="20"/>
                <w:szCs w:val="20"/>
              </w:rPr>
            </w:pPr>
          </w:p>
        </w:tc>
        <w:tc>
          <w:tcPr>
            <w:tcW w:w="50" w:type="pct"/>
            <w:shd w:val="clear" w:color="auto" w:fill="auto"/>
            <w:vAlign w:val="center"/>
          </w:tcPr>
          <w:p w14:paraId="0BC98F86" w14:textId="77777777" w:rsidR="009F0928" w:rsidRDefault="009F0928">
            <w:pPr>
              <w:rPr>
                <w:rFonts w:ascii="Times New Roman" w:hAnsi="Times New Roman"/>
                <w:sz w:val="20"/>
                <w:szCs w:val="20"/>
              </w:rPr>
            </w:pPr>
          </w:p>
        </w:tc>
        <w:tc>
          <w:tcPr>
            <w:tcW w:w="50" w:type="pct"/>
            <w:shd w:val="clear" w:color="auto" w:fill="auto"/>
            <w:vAlign w:val="center"/>
          </w:tcPr>
          <w:p w14:paraId="0BC98F87" w14:textId="77777777" w:rsidR="009F0928" w:rsidRDefault="009F0928">
            <w:pPr>
              <w:rPr>
                <w:rFonts w:ascii="Times New Roman" w:hAnsi="Times New Roman"/>
                <w:sz w:val="20"/>
                <w:szCs w:val="20"/>
              </w:rPr>
            </w:pPr>
          </w:p>
        </w:tc>
        <w:tc>
          <w:tcPr>
            <w:tcW w:w="50" w:type="pct"/>
            <w:shd w:val="clear" w:color="auto" w:fill="auto"/>
            <w:vAlign w:val="center"/>
          </w:tcPr>
          <w:p w14:paraId="0BC98F88" w14:textId="77777777" w:rsidR="009F0928" w:rsidRDefault="009F0928">
            <w:pPr>
              <w:rPr>
                <w:rFonts w:ascii="Times New Roman" w:hAnsi="Times New Roman"/>
                <w:sz w:val="20"/>
                <w:szCs w:val="20"/>
              </w:rPr>
            </w:pPr>
          </w:p>
        </w:tc>
        <w:tc>
          <w:tcPr>
            <w:tcW w:w="550" w:type="pct"/>
            <w:shd w:val="clear" w:color="auto" w:fill="auto"/>
            <w:vAlign w:val="center"/>
          </w:tcPr>
          <w:p w14:paraId="0BC98F89" w14:textId="77777777" w:rsidR="009F0928" w:rsidRDefault="009F0928">
            <w:pPr>
              <w:rPr>
                <w:rFonts w:ascii="Times New Roman" w:hAnsi="Times New Roman"/>
                <w:sz w:val="20"/>
                <w:szCs w:val="20"/>
              </w:rPr>
            </w:pPr>
          </w:p>
        </w:tc>
        <w:tc>
          <w:tcPr>
            <w:tcW w:w="50" w:type="pct"/>
            <w:shd w:val="clear" w:color="auto" w:fill="auto"/>
            <w:vAlign w:val="center"/>
          </w:tcPr>
          <w:p w14:paraId="0BC98F8A" w14:textId="77777777" w:rsidR="009F0928" w:rsidRDefault="009F0928">
            <w:pPr>
              <w:rPr>
                <w:rFonts w:ascii="Times New Roman" w:hAnsi="Times New Roman"/>
                <w:sz w:val="20"/>
                <w:szCs w:val="20"/>
              </w:rPr>
            </w:pPr>
          </w:p>
        </w:tc>
        <w:tc>
          <w:tcPr>
            <w:tcW w:w="50" w:type="pct"/>
            <w:shd w:val="clear" w:color="auto" w:fill="auto"/>
            <w:vAlign w:val="center"/>
          </w:tcPr>
          <w:p w14:paraId="0BC98F8B" w14:textId="77777777" w:rsidR="009F0928" w:rsidRDefault="009F0928">
            <w:pPr>
              <w:rPr>
                <w:rFonts w:ascii="Times New Roman" w:hAnsi="Times New Roman"/>
                <w:sz w:val="20"/>
                <w:szCs w:val="20"/>
              </w:rPr>
            </w:pPr>
          </w:p>
        </w:tc>
        <w:tc>
          <w:tcPr>
            <w:tcW w:w="50" w:type="pct"/>
            <w:shd w:val="clear" w:color="auto" w:fill="auto"/>
            <w:vAlign w:val="center"/>
          </w:tcPr>
          <w:p w14:paraId="0BC98F8C" w14:textId="77777777" w:rsidR="009F0928" w:rsidRDefault="009F0928">
            <w:pPr>
              <w:rPr>
                <w:rFonts w:ascii="Times New Roman" w:hAnsi="Times New Roman"/>
                <w:sz w:val="20"/>
                <w:szCs w:val="20"/>
              </w:rPr>
            </w:pPr>
          </w:p>
        </w:tc>
        <w:tc>
          <w:tcPr>
            <w:tcW w:w="550" w:type="pct"/>
            <w:shd w:val="clear" w:color="auto" w:fill="auto"/>
            <w:vAlign w:val="center"/>
          </w:tcPr>
          <w:p w14:paraId="0BC98F8D" w14:textId="77777777" w:rsidR="009F0928" w:rsidRDefault="009F0928">
            <w:pPr>
              <w:rPr>
                <w:rFonts w:ascii="Times New Roman" w:hAnsi="Times New Roman"/>
                <w:sz w:val="20"/>
                <w:szCs w:val="20"/>
              </w:rPr>
            </w:pPr>
          </w:p>
        </w:tc>
        <w:tc>
          <w:tcPr>
            <w:tcW w:w="50" w:type="pct"/>
            <w:shd w:val="clear" w:color="auto" w:fill="auto"/>
            <w:vAlign w:val="center"/>
          </w:tcPr>
          <w:p w14:paraId="0BC98F8E" w14:textId="77777777" w:rsidR="009F0928" w:rsidRDefault="009F0928">
            <w:pPr>
              <w:rPr>
                <w:rFonts w:ascii="Times New Roman" w:hAnsi="Times New Roman"/>
                <w:sz w:val="20"/>
                <w:szCs w:val="20"/>
              </w:rPr>
            </w:pPr>
          </w:p>
        </w:tc>
      </w:tr>
      <w:tr w:rsidR="009F0928" w14:paraId="0BC98F92" w14:textId="77777777">
        <w:trPr>
          <w:jc w:val="center"/>
        </w:trPr>
        <w:tc>
          <w:tcPr>
            <w:tcW w:w="0" w:type="auto"/>
            <w:shd w:val="clear" w:color="auto" w:fill="auto"/>
            <w:tcMar>
              <w:top w:w="40" w:type="dxa"/>
              <w:left w:w="40" w:type="dxa"/>
              <w:bottom w:w="40" w:type="dxa"/>
              <w:right w:w="40" w:type="dxa"/>
            </w:tcMar>
            <w:vAlign w:val="bottom"/>
          </w:tcPr>
          <w:p w14:paraId="0BC98F90" w14:textId="77777777" w:rsidR="009F0928" w:rsidRDefault="002112BD">
            <w:pPr>
              <w:textAlignment w:val="bottom"/>
              <w:rPr>
                <w:rFonts w:ascii="Times New Roman" w:hAnsi="Times New Roman"/>
                <w:sz w:val="15"/>
                <w:szCs w:val="15"/>
              </w:rPr>
            </w:pPr>
            <w:r>
              <w:rPr>
                <w:rFonts w:ascii="Arial" w:eastAsia="宋体" w:hAnsi="Arial" w:cs="Arial"/>
                <w:b/>
                <w:bCs/>
                <w:sz w:val="15"/>
                <w:szCs w:val="15"/>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8F91" w14:textId="77777777" w:rsidR="009F0928" w:rsidRDefault="002112BD">
            <w:pPr>
              <w:jc w:val="center"/>
              <w:textAlignment w:val="bottom"/>
              <w:rPr>
                <w:rFonts w:ascii="Times New Roman" w:hAnsi="Times New Roman"/>
                <w:sz w:val="15"/>
                <w:szCs w:val="15"/>
              </w:rPr>
            </w:pPr>
            <w:r>
              <w:rPr>
                <w:rFonts w:ascii="Arial" w:eastAsia="宋体" w:hAnsi="Arial" w:cs="Arial"/>
                <w:b/>
                <w:bCs/>
                <w:sz w:val="15"/>
                <w:szCs w:val="15"/>
              </w:rPr>
              <w:t>Year Ended December 31,</w:t>
            </w:r>
          </w:p>
        </w:tc>
      </w:tr>
      <w:tr w:rsidR="009F0928" w14:paraId="0BC98F99" w14:textId="77777777">
        <w:trPr>
          <w:jc w:val="center"/>
        </w:trPr>
        <w:tc>
          <w:tcPr>
            <w:tcW w:w="0" w:type="auto"/>
            <w:shd w:val="clear" w:color="auto" w:fill="auto"/>
            <w:tcMar>
              <w:top w:w="40" w:type="dxa"/>
              <w:left w:w="40" w:type="dxa"/>
              <w:bottom w:w="40" w:type="dxa"/>
              <w:right w:w="40" w:type="dxa"/>
            </w:tcMar>
            <w:vAlign w:val="bottom"/>
          </w:tcPr>
          <w:p w14:paraId="0BC98F93" w14:textId="77777777" w:rsidR="009F0928" w:rsidRDefault="002112BD">
            <w:pPr>
              <w:textAlignment w:val="bottom"/>
              <w:rPr>
                <w:rFonts w:ascii="Times New Roman" w:hAnsi="Times New Roman"/>
                <w:sz w:val="15"/>
                <w:szCs w:val="15"/>
              </w:rPr>
            </w:pPr>
            <w:r>
              <w:rPr>
                <w:rFonts w:ascii="Arial" w:eastAsia="宋体" w:hAnsi="Arial" w:cs="Arial"/>
                <w:b/>
                <w:bCs/>
                <w:sz w:val="15"/>
                <w:szCs w:val="15"/>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F94" w14:textId="77777777" w:rsidR="009F0928" w:rsidRDefault="002112BD">
            <w:pPr>
              <w:jc w:val="center"/>
              <w:textAlignment w:val="bottom"/>
              <w:rPr>
                <w:rFonts w:ascii="Times New Roman" w:hAnsi="Times New Roman"/>
                <w:sz w:val="15"/>
                <w:szCs w:val="15"/>
              </w:rPr>
            </w:pPr>
            <w:r>
              <w:rPr>
                <w:rFonts w:ascii="Arial" w:eastAsia="宋体" w:hAnsi="Arial" w:cs="Arial"/>
                <w:b/>
                <w:bCs/>
                <w:sz w:val="15"/>
                <w:szCs w:val="15"/>
              </w:rPr>
              <w:t>2019</w:t>
            </w:r>
          </w:p>
        </w:tc>
        <w:tc>
          <w:tcPr>
            <w:tcW w:w="0" w:type="auto"/>
            <w:shd w:val="clear" w:color="auto" w:fill="auto"/>
            <w:tcMar>
              <w:top w:w="40" w:type="dxa"/>
              <w:left w:w="40" w:type="dxa"/>
              <w:bottom w:w="40" w:type="dxa"/>
              <w:right w:w="40" w:type="dxa"/>
            </w:tcMar>
            <w:vAlign w:val="bottom"/>
          </w:tcPr>
          <w:p w14:paraId="0BC98F9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8F96" w14:textId="77777777" w:rsidR="009F0928" w:rsidRDefault="002112BD">
            <w:pPr>
              <w:jc w:val="center"/>
              <w:textAlignment w:val="bottom"/>
              <w:rPr>
                <w:rFonts w:ascii="Times New Roman" w:hAnsi="Times New Roman"/>
                <w:sz w:val="15"/>
                <w:szCs w:val="15"/>
              </w:rPr>
            </w:pPr>
            <w:r>
              <w:rPr>
                <w:rFonts w:ascii="Arial" w:eastAsia="宋体" w:hAnsi="Arial" w:cs="Arial"/>
                <w:b/>
                <w:bCs/>
                <w:sz w:val="15"/>
                <w:szCs w:val="15"/>
              </w:rPr>
              <w:t>2018</w:t>
            </w:r>
          </w:p>
        </w:tc>
        <w:tc>
          <w:tcPr>
            <w:tcW w:w="0" w:type="auto"/>
            <w:shd w:val="clear" w:color="auto" w:fill="auto"/>
            <w:tcMar>
              <w:top w:w="40" w:type="dxa"/>
              <w:left w:w="40" w:type="dxa"/>
              <w:bottom w:w="40" w:type="dxa"/>
              <w:right w:w="40" w:type="dxa"/>
            </w:tcMar>
            <w:vAlign w:val="bottom"/>
          </w:tcPr>
          <w:p w14:paraId="0BC98F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8F98" w14:textId="77777777" w:rsidR="009F0928" w:rsidRDefault="002112BD">
            <w:pPr>
              <w:jc w:val="center"/>
              <w:textAlignment w:val="bottom"/>
              <w:rPr>
                <w:rFonts w:ascii="Times New Roman" w:hAnsi="Times New Roman"/>
                <w:sz w:val="15"/>
                <w:szCs w:val="15"/>
              </w:rPr>
            </w:pPr>
            <w:r>
              <w:rPr>
                <w:rFonts w:ascii="Arial" w:eastAsia="宋体" w:hAnsi="Arial" w:cs="Arial"/>
                <w:b/>
                <w:bCs/>
                <w:sz w:val="15"/>
                <w:szCs w:val="15"/>
              </w:rPr>
              <w:t>2017</w:t>
            </w:r>
          </w:p>
        </w:tc>
      </w:tr>
      <w:tr w:rsidR="009F0928" w14:paraId="0BC98F9C" w14:textId="77777777">
        <w:trPr>
          <w:jc w:val="center"/>
        </w:trPr>
        <w:tc>
          <w:tcPr>
            <w:tcW w:w="0" w:type="auto"/>
            <w:shd w:val="clear" w:color="auto" w:fill="auto"/>
            <w:tcMar>
              <w:top w:w="40" w:type="dxa"/>
              <w:left w:w="40" w:type="dxa"/>
              <w:bottom w:w="40" w:type="dxa"/>
              <w:right w:w="40" w:type="dxa"/>
            </w:tcMar>
            <w:vAlign w:val="bottom"/>
          </w:tcPr>
          <w:p w14:paraId="0BC98F9A" w14:textId="77777777" w:rsidR="009F0928" w:rsidRDefault="002112BD">
            <w:pPr>
              <w:textAlignment w:val="bottom"/>
              <w:rPr>
                <w:rFonts w:ascii="Times New Roman" w:hAnsi="Times New Roman"/>
                <w:sz w:val="15"/>
                <w:szCs w:val="15"/>
              </w:rPr>
            </w:pPr>
            <w:r>
              <w:rPr>
                <w:rFonts w:ascii="Arial" w:eastAsia="宋体" w:hAnsi="Arial" w:cs="Arial"/>
                <w:b/>
                <w:bCs/>
                <w:sz w:val="15"/>
                <w:szCs w:val="15"/>
              </w:rPr>
              <w:t> </w:t>
            </w:r>
          </w:p>
        </w:tc>
        <w:tc>
          <w:tcPr>
            <w:tcW w:w="0" w:type="auto"/>
            <w:gridSpan w:val="11"/>
            <w:shd w:val="clear" w:color="auto" w:fill="auto"/>
            <w:tcMar>
              <w:top w:w="40" w:type="dxa"/>
              <w:left w:w="40" w:type="dxa"/>
              <w:bottom w:w="40" w:type="dxa"/>
            </w:tcMar>
            <w:vAlign w:val="bottom"/>
          </w:tcPr>
          <w:p w14:paraId="0BC98F9B" w14:textId="77777777" w:rsidR="009F0928" w:rsidRDefault="002112BD">
            <w:pPr>
              <w:jc w:val="center"/>
              <w:textAlignment w:val="bottom"/>
              <w:rPr>
                <w:rFonts w:ascii="Times New Roman" w:hAnsi="Times New Roman"/>
                <w:sz w:val="15"/>
                <w:szCs w:val="15"/>
              </w:rPr>
            </w:pPr>
            <w:r>
              <w:rPr>
                <w:rFonts w:ascii="Arial" w:eastAsia="宋体" w:hAnsi="Arial" w:cs="Arial"/>
                <w:b/>
                <w:bCs/>
                <w:sz w:val="15"/>
                <w:szCs w:val="15"/>
              </w:rPr>
              <w:t>(In millions)</w:t>
            </w:r>
          </w:p>
        </w:tc>
      </w:tr>
      <w:tr w:rsidR="009F0928" w14:paraId="0BC98FA3" w14:textId="77777777">
        <w:trPr>
          <w:jc w:val="center"/>
        </w:trPr>
        <w:tc>
          <w:tcPr>
            <w:tcW w:w="0" w:type="auto"/>
            <w:shd w:val="clear" w:color="auto" w:fill="E2E2E2"/>
            <w:tcMar>
              <w:top w:w="40" w:type="dxa"/>
              <w:left w:w="40" w:type="dxa"/>
              <w:bottom w:w="40" w:type="dxa"/>
              <w:right w:w="40" w:type="dxa"/>
            </w:tcMar>
            <w:vAlign w:val="bottom"/>
          </w:tcPr>
          <w:p w14:paraId="0BC98F9D" w14:textId="77777777" w:rsidR="009F0928" w:rsidRDefault="002112BD">
            <w:pPr>
              <w:textAlignment w:val="bottom"/>
              <w:rPr>
                <w:rFonts w:ascii="Times New Roman" w:hAnsi="Times New Roman"/>
                <w:sz w:val="15"/>
                <w:szCs w:val="15"/>
              </w:rPr>
            </w:pPr>
            <w:r>
              <w:rPr>
                <w:rFonts w:ascii="Arial" w:eastAsia="宋体" w:hAnsi="Arial" w:cs="Arial"/>
                <w:sz w:val="15"/>
                <w:szCs w:val="15"/>
              </w:rPr>
              <w:t xml:space="preserve">Cash flows from </w:t>
            </w:r>
            <w:r>
              <w:rPr>
                <w:rFonts w:ascii="Arial" w:eastAsia="宋体" w:hAnsi="Arial" w:cs="Arial"/>
                <w:sz w:val="15"/>
                <w:szCs w:val="15"/>
              </w:rPr>
              <w:t>operating activities:</w:t>
            </w:r>
          </w:p>
        </w:tc>
        <w:tc>
          <w:tcPr>
            <w:tcW w:w="0" w:type="auto"/>
            <w:gridSpan w:val="3"/>
            <w:shd w:val="clear" w:color="auto" w:fill="E2E2E2"/>
            <w:tcMar>
              <w:top w:w="40" w:type="dxa"/>
              <w:left w:w="40" w:type="dxa"/>
              <w:bottom w:w="40" w:type="dxa"/>
              <w:right w:w="40" w:type="dxa"/>
            </w:tcMar>
            <w:vAlign w:val="bottom"/>
          </w:tcPr>
          <w:p w14:paraId="0BC98F9E" w14:textId="77777777" w:rsidR="009F0928" w:rsidRDefault="002112BD">
            <w:pPr>
              <w:textAlignment w:val="bottom"/>
              <w:rPr>
                <w:rFonts w:ascii="Times New Roman" w:hAnsi="Times New Roman"/>
                <w:sz w:val="15"/>
                <w:szCs w:val="15"/>
              </w:rPr>
            </w:pPr>
            <w:r>
              <w:rPr>
                <w:rFonts w:ascii="Arial" w:eastAsia="宋体" w:hAnsi="Arial" w:cs="Arial"/>
                <w:sz w:val="15"/>
                <w:szCs w:val="15"/>
              </w:rPr>
              <w:t> </w:t>
            </w:r>
          </w:p>
        </w:tc>
        <w:tc>
          <w:tcPr>
            <w:tcW w:w="0" w:type="auto"/>
            <w:shd w:val="clear" w:color="auto" w:fill="E2E2E2"/>
            <w:tcMar>
              <w:top w:w="40" w:type="dxa"/>
              <w:left w:w="40" w:type="dxa"/>
              <w:bottom w:w="40" w:type="dxa"/>
              <w:right w:w="40" w:type="dxa"/>
            </w:tcMar>
            <w:vAlign w:val="bottom"/>
          </w:tcPr>
          <w:p w14:paraId="0BC98F9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FA0" w14:textId="77777777" w:rsidR="009F0928" w:rsidRDefault="002112BD">
            <w:pPr>
              <w:textAlignment w:val="bottom"/>
              <w:rPr>
                <w:rFonts w:ascii="Times New Roman" w:hAnsi="Times New Roman"/>
                <w:sz w:val="15"/>
                <w:szCs w:val="15"/>
              </w:rPr>
            </w:pPr>
            <w:r>
              <w:rPr>
                <w:rFonts w:ascii="Arial" w:eastAsia="宋体" w:hAnsi="Arial" w:cs="Arial"/>
                <w:color w:val="FFFFFF"/>
                <w:sz w:val="15"/>
                <w:szCs w:val="15"/>
              </w:rPr>
              <w:t> </w:t>
            </w:r>
          </w:p>
        </w:tc>
        <w:tc>
          <w:tcPr>
            <w:tcW w:w="0" w:type="auto"/>
            <w:shd w:val="clear" w:color="auto" w:fill="E2E2E2"/>
            <w:tcMar>
              <w:top w:w="40" w:type="dxa"/>
              <w:left w:w="40" w:type="dxa"/>
              <w:bottom w:w="40" w:type="dxa"/>
              <w:right w:w="40" w:type="dxa"/>
            </w:tcMar>
            <w:vAlign w:val="bottom"/>
          </w:tcPr>
          <w:p w14:paraId="0BC98FA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8FA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FB0" w14:textId="77777777">
        <w:trPr>
          <w:jc w:val="center"/>
        </w:trPr>
        <w:tc>
          <w:tcPr>
            <w:tcW w:w="0" w:type="auto"/>
            <w:shd w:val="clear" w:color="auto" w:fill="auto"/>
            <w:tcMar>
              <w:top w:w="40" w:type="dxa"/>
              <w:left w:w="400" w:type="dxa"/>
              <w:bottom w:w="40" w:type="dxa"/>
              <w:right w:w="40" w:type="dxa"/>
            </w:tcMar>
            <w:vAlign w:val="bottom"/>
          </w:tcPr>
          <w:p w14:paraId="0BC98FA4" w14:textId="77777777" w:rsidR="009F0928" w:rsidRDefault="002112BD">
            <w:pPr>
              <w:textAlignment w:val="bottom"/>
              <w:rPr>
                <w:rFonts w:ascii="Times New Roman" w:hAnsi="Times New Roman"/>
                <w:sz w:val="15"/>
                <w:szCs w:val="15"/>
              </w:rPr>
            </w:pPr>
            <w:r>
              <w:rPr>
                <w:rFonts w:ascii="Arial" w:eastAsia="宋体" w:hAnsi="Arial" w:cs="Arial"/>
                <w:sz w:val="15"/>
                <w:szCs w:val="15"/>
              </w:rPr>
              <w:t>Net income (loss)</w:t>
            </w:r>
          </w:p>
        </w:tc>
        <w:tc>
          <w:tcPr>
            <w:tcW w:w="0" w:type="auto"/>
            <w:shd w:val="clear" w:color="auto" w:fill="auto"/>
            <w:tcMar>
              <w:top w:w="40" w:type="dxa"/>
              <w:left w:w="40" w:type="dxa"/>
              <w:bottom w:w="40" w:type="dxa"/>
            </w:tcMar>
            <w:vAlign w:val="bottom"/>
          </w:tcPr>
          <w:p w14:paraId="0BC98FA5"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0BC98FA6"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1,786</w:t>
            </w:r>
          </w:p>
        </w:tc>
        <w:tc>
          <w:tcPr>
            <w:tcW w:w="0" w:type="auto"/>
            <w:shd w:val="clear" w:color="auto" w:fill="auto"/>
            <w:vAlign w:val="bottom"/>
          </w:tcPr>
          <w:p w14:paraId="0BC98FA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F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FA9"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0BC98FAA"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2,530</w:t>
            </w:r>
          </w:p>
        </w:tc>
        <w:tc>
          <w:tcPr>
            <w:tcW w:w="0" w:type="auto"/>
            <w:shd w:val="clear" w:color="auto" w:fill="auto"/>
            <w:vAlign w:val="bottom"/>
          </w:tcPr>
          <w:p w14:paraId="0BC98FA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FA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8FAD"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0BC98FAE"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(1,017</w:t>
            </w:r>
          </w:p>
        </w:tc>
        <w:tc>
          <w:tcPr>
            <w:tcW w:w="0" w:type="auto"/>
            <w:shd w:val="clear" w:color="auto" w:fill="auto"/>
            <w:tcMar>
              <w:top w:w="40" w:type="dxa"/>
              <w:bottom w:w="40" w:type="dxa"/>
              <w:right w:w="40" w:type="dxa"/>
            </w:tcMar>
            <w:vAlign w:val="bottom"/>
          </w:tcPr>
          <w:p w14:paraId="0BC98FAF"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r>
      <w:tr w:rsidR="009F0928" w14:paraId="0BC98FBA" w14:textId="77777777">
        <w:trPr>
          <w:jc w:val="center"/>
        </w:trPr>
        <w:tc>
          <w:tcPr>
            <w:tcW w:w="0" w:type="auto"/>
            <w:shd w:val="clear" w:color="auto" w:fill="E2E2E2"/>
            <w:tcMar>
              <w:top w:w="40" w:type="dxa"/>
              <w:left w:w="400" w:type="dxa"/>
              <w:bottom w:w="40" w:type="dxa"/>
              <w:right w:w="40" w:type="dxa"/>
            </w:tcMar>
            <w:vAlign w:val="bottom"/>
          </w:tcPr>
          <w:p w14:paraId="0BC98FB1" w14:textId="77777777" w:rsidR="009F0928" w:rsidRDefault="002112BD">
            <w:pPr>
              <w:textAlignment w:val="bottom"/>
              <w:rPr>
                <w:rFonts w:ascii="Times New Roman" w:hAnsi="Times New Roman"/>
                <w:sz w:val="15"/>
                <w:szCs w:val="15"/>
              </w:rPr>
            </w:pPr>
            <w:r>
              <w:rPr>
                <w:rFonts w:ascii="Arial" w:eastAsia="宋体" w:hAnsi="Arial" w:cs="Arial"/>
                <w:sz w:val="15"/>
                <w:szCs w:val="15"/>
              </w:rPr>
              <w:t>(Income) loss from discontinued operations, net of income taxes</w:t>
            </w:r>
          </w:p>
        </w:tc>
        <w:tc>
          <w:tcPr>
            <w:tcW w:w="0" w:type="auto"/>
            <w:gridSpan w:val="2"/>
            <w:shd w:val="clear" w:color="auto" w:fill="E2E2E2"/>
            <w:tcMar>
              <w:top w:w="40" w:type="dxa"/>
              <w:left w:w="40" w:type="dxa"/>
              <w:bottom w:w="40" w:type="dxa"/>
            </w:tcMar>
            <w:vAlign w:val="bottom"/>
          </w:tcPr>
          <w:p w14:paraId="0BC98FB2"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6</w:t>
            </w:r>
          </w:p>
        </w:tc>
        <w:tc>
          <w:tcPr>
            <w:tcW w:w="0" w:type="auto"/>
            <w:shd w:val="clear" w:color="auto" w:fill="E2E2E2"/>
            <w:vAlign w:val="bottom"/>
          </w:tcPr>
          <w:p w14:paraId="0BC98FB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F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FB5"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E2E2E2"/>
            <w:tcMar>
              <w:top w:w="40" w:type="dxa"/>
              <w:bottom w:w="40" w:type="dxa"/>
              <w:right w:w="40" w:type="dxa"/>
            </w:tcMar>
            <w:vAlign w:val="bottom"/>
          </w:tcPr>
          <w:p w14:paraId="0BC98FB6"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left w:w="40" w:type="dxa"/>
              <w:bottom w:w="40" w:type="dxa"/>
              <w:right w:w="40" w:type="dxa"/>
            </w:tcMar>
            <w:vAlign w:val="bottom"/>
          </w:tcPr>
          <w:p w14:paraId="0BC98FB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FB8"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E2E2E2"/>
            <w:vAlign w:val="bottom"/>
          </w:tcPr>
          <w:p w14:paraId="0BC98FB9" w14:textId="77777777" w:rsidR="009F0928" w:rsidRDefault="009F0928">
            <w:pPr>
              <w:textAlignment w:val="bottom"/>
              <w:rPr>
                <w:rFonts w:ascii="Times New Roman" w:hAnsi="Times New Roman"/>
                <w:sz w:val="20"/>
                <w:szCs w:val="20"/>
              </w:rPr>
            </w:pPr>
          </w:p>
        </w:tc>
      </w:tr>
      <w:tr w:rsidR="009F0928" w14:paraId="0BC98FC1" w14:textId="77777777">
        <w:trPr>
          <w:jc w:val="center"/>
        </w:trPr>
        <w:tc>
          <w:tcPr>
            <w:tcW w:w="0" w:type="auto"/>
            <w:shd w:val="clear" w:color="auto" w:fill="auto"/>
            <w:tcMar>
              <w:top w:w="40" w:type="dxa"/>
              <w:left w:w="400" w:type="dxa"/>
              <w:bottom w:w="40" w:type="dxa"/>
              <w:right w:w="40" w:type="dxa"/>
            </w:tcMar>
            <w:vAlign w:val="bottom"/>
          </w:tcPr>
          <w:p w14:paraId="0BC98FBB" w14:textId="77777777" w:rsidR="009F0928" w:rsidRDefault="002112BD">
            <w:pPr>
              <w:textAlignment w:val="bottom"/>
              <w:rPr>
                <w:rFonts w:ascii="Times New Roman" w:hAnsi="Times New Roman"/>
                <w:sz w:val="15"/>
                <w:szCs w:val="15"/>
              </w:rPr>
            </w:pPr>
            <w:r>
              <w:rPr>
                <w:rFonts w:ascii="Arial" w:eastAsia="宋体" w:hAnsi="Arial" w:cs="Arial"/>
                <w:sz w:val="15"/>
                <w:szCs w:val="15"/>
              </w:rPr>
              <w:t>Adjustments:</w:t>
            </w:r>
          </w:p>
        </w:tc>
        <w:tc>
          <w:tcPr>
            <w:tcW w:w="0" w:type="auto"/>
            <w:gridSpan w:val="3"/>
            <w:shd w:val="clear" w:color="auto" w:fill="auto"/>
            <w:tcMar>
              <w:top w:w="40" w:type="dxa"/>
              <w:left w:w="40" w:type="dxa"/>
              <w:bottom w:w="40" w:type="dxa"/>
              <w:right w:w="40" w:type="dxa"/>
            </w:tcMar>
            <w:vAlign w:val="bottom"/>
          </w:tcPr>
          <w:p w14:paraId="0BC98FBC" w14:textId="77777777" w:rsidR="009F0928" w:rsidRDefault="002112BD">
            <w:pPr>
              <w:textAlignment w:val="bottom"/>
              <w:rPr>
                <w:rFonts w:ascii="Times New Roman" w:hAnsi="Times New Roman"/>
                <w:sz w:val="15"/>
                <w:szCs w:val="15"/>
              </w:rPr>
            </w:pPr>
            <w:r>
              <w:rPr>
                <w:rFonts w:ascii="Arial" w:eastAsia="宋体" w:hAnsi="Arial" w:cs="Arial"/>
                <w:sz w:val="15"/>
                <w:szCs w:val="15"/>
              </w:rPr>
              <w:t> </w:t>
            </w:r>
          </w:p>
        </w:tc>
        <w:tc>
          <w:tcPr>
            <w:tcW w:w="0" w:type="auto"/>
            <w:shd w:val="clear" w:color="auto" w:fill="auto"/>
            <w:tcMar>
              <w:top w:w="40" w:type="dxa"/>
              <w:left w:w="40" w:type="dxa"/>
              <w:bottom w:w="40" w:type="dxa"/>
              <w:right w:w="40" w:type="dxa"/>
            </w:tcMar>
            <w:vAlign w:val="bottom"/>
          </w:tcPr>
          <w:p w14:paraId="0BC98FB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FBE" w14:textId="77777777" w:rsidR="009F0928" w:rsidRDefault="002112BD">
            <w:pPr>
              <w:textAlignment w:val="bottom"/>
              <w:rPr>
                <w:rFonts w:ascii="Times New Roman" w:hAnsi="Times New Roman"/>
                <w:sz w:val="15"/>
                <w:szCs w:val="15"/>
              </w:rPr>
            </w:pPr>
            <w:r>
              <w:rPr>
                <w:rFonts w:ascii="Arial" w:eastAsia="宋体" w:hAnsi="Arial" w:cs="Arial"/>
                <w:sz w:val="15"/>
                <w:szCs w:val="15"/>
              </w:rPr>
              <w:t> </w:t>
            </w:r>
          </w:p>
        </w:tc>
        <w:tc>
          <w:tcPr>
            <w:tcW w:w="0" w:type="auto"/>
            <w:shd w:val="clear" w:color="auto" w:fill="auto"/>
            <w:tcMar>
              <w:top w:w="40" w:type="dxa"/>
              <w:left w:w="40" w:type="dxa"/>
              <w:bottom w:w="40" w:type="dxa"/>
              <w:right w:w="40" w:type="dxa"/>
            </w:tcMar>
            <w:vAlign w:val="bottom"/>
          </w:tcPr>
          <w:p w14:paraId="0BC98FB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8F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8FCB" w14:textId="77777777">
        <w:trPr>
          <w:jc w:val="center"/>
        </w:trPr>
        <w:tc>
          <w:tcPr>
            <w:tcW w:w="0" w:type="auto"/>
            <w:shd w:val="clear" w:color="auto" w:fill="E2E2E2"/>
            <w:tcMar>
              <w:top w:w="40" w:type="dxa"/>
              <w:left w:w="720" w:type="dxa"/>
              <w:bottom w:w="40" w:type="dxa"/>
              <w:right w:w="40" w:type="dxa"/>
            </w:tcMar>
            <w:vAlign w:val="bottom"/>
          </w:tcPr>
          <w:p w14:paraId="0BC98FC2" w14:textId="77777777" w:rsidR="009F0928" w:rsidRDefault="002112BD">
            <w:pPr>
              <w:textAlignment w:val="bottom"/>
              <w:rPr>
                <w:rFonts w:ascii="Times New Roman" w:hAnsi="Times New Roman"/>
                <w:sz w:val="15"/>
                <w:szCs w:val="15"/>
              </w:rPr>
            </w:pPr>
            <w:r>
              <w:rPr>
                <w:rFonts w:ascii="Arial" w:eastAsia="宋体" w:hAnsi="Arial" w:cs="Arial"/>
                <w:sz w:val="15"/>
                <w:szCs w:val="15"/>
              </w:rPr>
              <w:t>Provision for transaction losses</w:t>
            </w:r>
          </w:p>
        </w:tc>
        <w:tc>
          <w:tcPr>
            <w:tcW w:w="0" w:type="auto"/>
            <w:gridSpan w:val="2"/>
            <w:shd w:val="clear" w:color="auto" w:fill="E2E2E2"/>
            <w:tcMar>
              <w:top w:w="40" w:type="dxa"/>
              <w:left w:w="40" w:type="dxa"/>
              <w:bottom w:w="40" w:type="dxa"/>
            </w:tcMar>
            <w:vAlign w:val="bottom"/>
          </w:tcPr>
          <w:p w14:paraId="0BC98FC3"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300</w:t>
            </w:r>
          </w:p>
        </w:tc>
        <w:tc>
          <w:tcPr>
            <w:tcW w:w="0" w:type="auto"/>
            <w:shd w:val="clear" w:color="auto" w:fill="E2E2E2"/>
            <w:vAlign w:val="bottom"/>
          </w:tcPr>
          <w:p w14:paraId="0BC98FC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FC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FC6"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286</w:t>
            </w:r>
          </w:p>
        </w:tc>
        <w:tc>
          <w:tcPr>
            <w:tcW w:w="0" w:type="auto"/>
            <w:shd w:val="clear" w:color="auto" w:fill="E2E2E2"/>
            <w:vAlign w:val="bottom"/>
          </w:tcPr>
          <w:p w14:paraId="0BC98FC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FC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FC9"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272</w:t>
            </w:r>
          </w:p>
        </w:tc>
        <w:tc>
          <w:tcPr>
            <w:tcW w:w="0" w:type="auto"/>
            <w:shd w:val="clear" w:color="auto" w:fill="E2E2E2"/>
            <w:vAlign w:val="bottom"/>
          </w:tcPr>
          <w:p w14:paraId="0BC98FCA" w14:textId="77777777" w:rsidR="009F0928" w:rsidRDefault="009F0928">
            <w:pPr>
              <w:textAlignment w:val="bottom"/>
              <w:rPr>
                <w:rFonts w:ascii="Times New Roman" w:hAnsi="Times New Roman"/>
                <w:sz w:val="20"/>
                <w:szCs w:val="20"/>
              </w:rPr>
            </w:pPr>
          </w:p>
        </w:tc>
      </w:tr>
      <w:tr w:rsidR="009F0928" w14:paraId="0BC98FD5" w14:textId="77777777">
        <w:trPr>
          <w:jc w:val="center"/>
        </w:trPr>
        <w:tc>
          <w:tcPr>
            <w:tcW w:w="0" w:type="auto"/>
            <w:shd w:val="clear" w:color="auto" w:fill="auto"/>
            <w:tcMar>
              <w:top w:w="40" w:type="dxa"/>
              <w:left w:w="720" w:type="dxa"/>
              <w:bottom w:w="40" w:type="dxa"/>
              <w:right w:w="40" w:type="dxa"/>
            </w:tcMar>
            <w:vAlign w:val="bottom"/>
          </w:tcPr>
          <w:p w14:paraId="0BC98FCC" w14:textId="77777777" w:rsidR="009F0928" w:rsidRDefault="002112BD">
            <w:pPr>
              <w:textAlignment w:val="bottom"/>
              <w:rPr>
                <w:rFonts w:ascii="Times New Roman" w:hAnsi="Times New Roman"/>
                <w:sz w:val="15"/>
                <w:szCs w:val="15"/>
              </w:rPr>
            </w:pPr>
            <w:r>
              <w:rPr>
                <w:rFonts w:ascii="Arial" w:eastAsia="宋体" w:hAnsi="Arial" w:cs="Arial"/>
                <w:sz w:val="15"/>
                <w:szCs w:val="15"/>
              </w:rPr>
              <w:t>Depreciation and amortization</w:t>
            </w:r>
          </w:p>
        </w:tc>
        <w:tc>
          <w:tcPr>
            <w:tcW w:w="0" w:type="auto"/>
            <w:gridSpan w:val="2"/>
            <w:shd w:val="clear" w:color="auto" w:fill="auto"/>
            <w:tcMar>
              <w:top w:w="40" w:type="dxa"/>
              <w:left w:w="40" w:type="dxa"/>
              <w:bottom w:w="40" w:type="dxa"/>
            </w:tcMar>
            <w:vAlign w:val="bottom"/>
          </w:tcPr>
          <w:p w14:paraId="0BC98FCD"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681</w:t>
            </w:r>
          </w:p>
        </w:tc>
        <w:tc>
          <w:tcPr>
            <w:tcW w:w="0" w:type="auto"/>
            <w:shd w:val="clear" w:color="auto" w:fill="auto"/>
            <w:vAlign w:val="bottom"/>
          </w:tcPr>
          <w:p w14:paraId="0BC98FC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F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FD0"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696</w:t>
            </w:r>
          </w:p>
        </w:tc>
        <w:tc>
          <w:tcPr>
            <w:tcW w:w="0" w:type="auto"/>
            <w:shd w:val="clear" w:color="auto" w:fill="auto"/>
            <w:vAlign w:val="bottom"/>
          </w:tcPr>
          <w:p w14:paraId="0BC98FD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FD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FD3"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676</w:t>
            </w:r>
          </w:p>
        </w:tc>
        <w:tc>
          <w:tcPr>
            <w:tcW w:w="0" w:type="auto"/>
            <w:shd w:val="clear" w:color="auto" w:fill="auto"/>
            <w:vAlign w:val="bottom"/>
          </w:tcPr>
          <w:p w14:paraId="0BC98FD4" w14:textId="77777777" w:rsidR="009F0928" w:rsidRDefault="009F0928">
            <w:pPr>
              <w:textAlignment w:val="bottom"/>
              <w:rPr>
                <w:rFonts w:ascii="Times New Roman" w:hAnsi="Times New Roman"/>
                <w:sz w:val="20"/>
                <w:szCs w:val="20"/>
              </w:rPr>
            </w:pPr>
          </w:p>
        </w:tc>
      </w:tr>
      <w:tr w:rsidR="009F0928" w14:paraId="0BC98FDF" w14:textId="77777777">
        <w:trPr>
          <w:jc w:val="center"/>
        </w:trPr>
        <w:tc>
          <w:tcPr>
            <w:tcW w:w="0" w:type="auto"/>
            <w:shd w:val="clear" w:color="auto" w:fill="E2E2E2"/>
            <w:tcMar>
              <w:top w:w="40" w:type="dxa"/>
              <w:left w:w="720" w:type="dxa"/>
              <w:bottom w:w="40" w:type="dxa"/>
              <w:right w:w="40" w:type="dxa"/>
            </w:tcMar>
            <w:vAlign w:val="bottom"/>
          </w:tcPr>
          <w:p w14:paraId="0BC98FD6" w14:textId="77777777" w:rsidR="009F0928" w:rsidRDefault="002112BD">
            <w:pPr>
              <w:textAlignment w:val="bottom"/>
              <w:rPr>
                <w:rFonts w:ascii="Times New Roman" w:hAnsi="Times New Roman"/>
                <w:sz w:val="15"/>
                <w:szCs w:val="15"/>
              </w:rPr>
            </w:pPr>
            <w:r>
              <w:rPr>
                <w:rFonts w:ascii="Arial" w:eastAsia="宋体" w:hAnsi="Arial" w:cs="Arial"/>
                <w:sz w:val="15"/>
                <w:szCs w:val="15"/>
              </w:rPr>
              <w:t>Stock-based compensation</w:t>
            </w:r>
          </w:p>
        </w:tc>
        <w:tc>
          <w:tcPr>
            <w:tcW w:w="0" w:type="auto"/>
            <w:gridSpan w:val="2"/>
            <w:shd w:val="clear" w:color="auto" w:fill="E2E2E2"/>
            <w:tcMar>
              <w:top w:w="40" w:type="dxa"/>
              <w:left w:w="40" w:type="dxa"/>
              <w:bottom w:w="40" w:type="dxa"/>
            </w:tcMar>
            <w:vAlign w:val="bottom"/>
          </w:tcPr>
          <w:p w14:paraId="0BC98FD7"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505</w:t>
            </w:r>
          </w:p>
        </w:tc>
        <w:tc>
          <w:tcPr>
            <w:tcW w:w="0" w:type="auto"/>
            <w:shd w:val="clear" w:color="auto" w:fill="E2E2E2"/>
            <w:vAlign w:val="bottom"/>
          </w:tcPr>
          <w:p w14:paraId="0BC98FD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F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FDA"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538</w:t>
            </w:r>
          </w:p>
        </w:tc>
        <w:tc>
          <w:tcPr>
            <w:tcW w:w="0" w:type="auto"/>
            <w:shd w:val="clear" w:color="auto" w:fill="E2E2E2"/>
            <w:vAlign w:val="bottom"/>
          </w:tcPr>
          <w:p w14:paraId="0BC98FD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FD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FDD"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483</w:t>
            </w:r>
          </w:p>
        </w:tc>
        <w:tc>
          <w:tcPr>
            <w:tcW w:w="0" w:type="auto"/>
            <w:shd w:val="clear" w:color="auto" w:fill="E2E2E2"/>
            <w:vAlign w:val="bottom"/>
          </w:tcPr>
          <w:p w14:paraId="0BC98FDE" w14:textId="77777777" w:rsidR="009F0928" w:rsidRDefault="009F0928">
            <w:pPr>
              <w:textAlignment w:val="bottom"/>
              <w:rPr>
                <w:rFonts w:ascii="Times New Roman" w:hAnsi="Times New Roman"/>
                <w:sz w:val="20"/>
                <w:szCs w:val="20"/>
              </w:rPr>
            </w:pPr>
          </w:p>
        </w:tc>
      </w:tr>
      <w:tr w:rsidR="009F0928" w14:paraId="0BC98FE9" w14:textId="77777777">
        <w:trPr>
          <w:jc w:val="center"/>
        </w:trPr>
        <w:tc>
          <w:tcPr>
            <w:tcW w:w="0" w:type="auto"/>
            <w:shd w:val="clear" w:color="auto" w:fill="auto"/>
            <w:tcMar>
              <w:top w:w="40" w:type="dxa"/>
              <w:left w:w="720" w:type="dxa"/>
              <w:bottom w:w="40" w:type="dxa"/>
              <w:right w:w="40" w:type="dxa"/>
            </w:tcMar>
            <w:vAlign w:val="bottom"/>
          </w:tcPr>
          <w:p w14:paraId="0BC98FE0" w14:textId="77777777" w:rsidR="009F0928" w:rsidRDefault="002112BD">
            <w:pPr>
              <w:textAlignment w:val="bottom"/>
              <w:rPr>
                <w:rFonts w:ascii="Times New Roman" w:hAnsi="Times New Roman"/>
                <w:sz w:val="15"/>
                <w:szCs w:val="15"/>
              </w:rPr>
            </w:pPr>
            <w:r>
              <w:rPr>
                <w:rFonts w:ascii="Arial" w:eastAsia="宋体" w:hAnsi="Arial" w:cs="Arial"/>
                <w:sz w:val="15"/>
                <w:szCs w:val="15"/>
              </w:rPr>
              <w:t>(Gain) loss on investments, net</w:t>
            </w:r>
          </w:p>
        </w:tc>
        <w:tc>
          <w:tcPr>
            <w:tcW w:w="0" w:type="auto"/>
            <w:gridSpan w:val="2"/>
            <w:shd w:val="clear" w:color="auto" w:fill="auto"/>
            <w:tcMar>
              <w:top w:w="40" w:type="dxa"/>
              <w:left w:w="40" w:type="dxa"/>
              <w:bottom w:w="40" w:type="dxa"/>
            </w:tcMar>
            <w:vAlign w:val="bottom"/>
          </w:tcPr>
          <w:p w14:paraId="0BC98FE1"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0BC98FE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F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FE4"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(572</w:t>
            </w:r>
          </w:p>
        </w:tc>
        <w:tc>
          <w:tcPr>
            <w:tcW w:w="0" w:type="auto"/>
            <w:shd w:val="clear" w:color="auto" w:fill="auto"/>
            <w:tcMar>
              <w:top w:w="40" w:type="dxa"/>
              <w:bottom w:w="40" w:type="dxa"/>
              <w:right w:w="40" w:type="dxa"/>
            </w:tcMar>
            <w:vAlign w:val="bottom"/>
          </w:tcPr>
          <w:p w14:paraId="0BC98FE5"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0BC98F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FE7"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49</w:t>
            </w:r>
          </w:p>
        </w:tc>
        <w:tc>
          <w:tcPr>
            <w:tcW w:w="0" w:type="auto"/>
            <w:shd w:val="clear" w:color="auto" w:fill="auto"/>
            <w:vAlign w:val="bottom"/>
          </w:tcPr>
          <w:p w14:paraId="0BC98FE8" w14:textId="77777777" w:rsidR="009F0928" w:rsidRDefault="009F0928">
            <w:pPr>
              <w:textAlignment w:val="bottom"/>
              <w:rPr>
                <w:rFonts w:ascii="Times New Roman" w:hAnsi="Times New Roman"/>
                <w:sz w:val="20"/>
                <w:szCs w:val="20"/>
              </w:rPr>
            </w:pPr>
          </w:p>
        </w:tc>
      </w:tr>
      <w:tr w:rsidR="009F0928" w14:paraId="0BC98FF3" w14:textId="77777777">
        <w:trPr>
          <w:jc w:val="center"/>
        </w:trPr>
        <w:tc>
          <w:tcPr>
            <w:tcW w:w="0" w:type="auto"/>
            <w:shd w:val="clear" w:color="auto" w:fill="E2E2E2"/>
            <w:tcMar>
              <w:top w:w="40" w:type="dxa"/>
              <w:left w:w="720" w:type="dxa"/>
              <w:bottom w:w="40" w:type="dxa"/>
              <w:right w:w="40" w:type="dxa"/>
            </w:tcMar>
            <w:vAlign w:val="bottom"/>
          </w:tcPr>
          <w:p w14:paraId="0BC98FEA" w14:textId="77777777" w:rsidR="009F0928" w:rsidRDefault="002112BD">
            <w:pPr>
              <w:textAlignment w:val="bottom"/>
              <w:rPr>
                <w:rFonts w:ascii="Times New Roman" w:hAnsi="Times New Roman"/>
                <w:sz w:val="15"/>
                <w:szCs w:val="15"/>
              </w:rPr>
            </w:pPr>
            <w:r>
              <w:rPr>
                <w:rFonts w:ascii="Arial" w:eastAsia="宋体" w:hAnsi="Arial" w:cs="Arial"/>
                <w:sz w:val="15"/>
                <w:szCs w:val="15"/>
              </w:rPr>
              <w:t>(Gain) loss on sale of business</w:t>
            </w:r>
          </w:p>
        </w:tc>
        <w:tc>
          <w:tcPr>
            <w:tcW w:w="0" w:type="auto"/>
            <w:gridSpan w:val="2"/>
            <w:shd w:val="clear" w:color="auto" w:fill="E2E2E2"/>
            <w:tcMar>
              <w:top w:w="40" w:type="dxa"/>
              <w:left w:w="40" w:type="dxa"/>
              <w:bottom w:w="40" w:type="dxa"/>
            </w:tcMar>
            <w:vAlign w:val="bottom"/>
          </w:tcPr>
          <w:p w14:paraId="0BC98FEB"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52</w:t>
            </w:r>
          </w:p>
        </w:tc>
        <w:tc>
          <w:tcPr>
            <w:tcW w:w="0" w:type="auto"/>
            <w:shd w:val="clear" w:color="auto" w:fill="E2E2E2"/>
            <w:vAlign w:val="bottom"/>
          </w:tcPr>
          <w:p w14:paraId="0BC98FE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FE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FEE"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vAlign w:val="bottom"/>
          </w:tcPr>
          <w:p w14:paraId="0BC98FE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8FF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8FF1"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(167</w:t>
            </w:r>
          </w:p>
        </w:tc>
        <w:tc>
          <w:tcPr>
            <w:tcW w:w="0" w:type="auto"/>
            <w:shd w:val="clear" w:color="auto" w:fill="E2E2E2"/>
            <w:tcMar>
              <w:top w:w="40" w:type="dxa"/>
              <w:bottom w:w="40" w:type="dxa"/>
              <w:right w:w="40" w:type="dxa"/>
            </w:tcMar>
            <w:vAlign w:val="bottom"/>
          </w:tcPr>
          <w:p w14:paraId="0BC98FF2"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r>
      <w:tr w:rsidR="009F0928" w14:paraId="0BC98FFD" w14:textId="77777777">
        <w:trPr>
          <w:jc w:val="center"/>
        </w:trPr>
        <w:tc>
          <w:tcPr>
            <w:tcW w:w="0" w:type="auto"/>
            <w:shd w:val="clear" w:color="auto" w:fill="auto"/>
            <w:tcMar>
              <w:top w:w="40" w:type="dxa"/>
              <w:left w:w="720" w:type="dxa"/>
              <w:bottom w:w="40" w:type="dxa"/>
              <w:right w:w="40" w:type="dxa"/>
            </w:tcMar>
            <w:vAlign w:val="bottom"/>
          </w:tcPr>
          <w:p w14:paraId="0BC98FF4" w14:textId="77777777" w:rsidR="009F0928" w:rsidRDefault="002112BD">
            <w:pPr>
              <w:textAlignment w:val="bottom"/>
              <w:rPr>
                <w:rFonts w:ascii="Times New Roman" w:hAnsi="Times New Roman"/>
                <w:sz w:val="15"/>
                <w:szCs w:val="15"/>
              </w:rPr>
            </w:pPr>
            <w:r>
              <w:rPr>
                <w:rFonts w:ascii="Arial" w:eastAsia="宋体" w:hAnsi="Arial" w:cs="Arial"/>
                <w:sz w:val="15"/>
                <w:szCs w:val="15"/>
              </w:rPr>
              <w:t>Deferred income taxes</w:t>
            </w:r>
          </w:p>
        </w:tc>
        <w:tc>
          <w:tcPr>
            <w:tcW w:w="0" w:type="auto"/>
            <w:gridSpan w:val="2"/>
            <w:shd w:val="clear" w:color="auto" w:fill="auto"/>
            <w:tcMar>
              <w:top w:w="40" w:type="dxa"/>
              <w:left w:w="40" w:type="dxa"/>
              <w:bottom w:w="40" w:type="dxa"/>
            </w:tcMar>
            <w:vAlign w:val="bottom"/>
          </w:tcPr>
          <w:p w14:paraId="0BC98FF5"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117</w:t>
            </w:r>
          </w:p>
        </w:tc>
        <w:tc>
          <w:tcPr>
            <w:tcW w:w="0" w:type="auto"/>
            <w:shd w:val="clear" w:color="auto" w:fill="auto"/>
            <w:vAlign w:val="bottom"/>
          </w:tcPr>
          <w:p w14:paraId="0BC98FF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8FF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FF8"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(153</w:t>
            </w:r>
          </w:p>
        </w:tc>
        <w:tc>
          <w:tcPr>
            <w:tcW w:w="0" w:type="auto"/>
            <w:shd w:val="clear" w:color="auto" w:fill="auto"/>
            <w:tcMar>
              <w:top w:w="40" w:type="dxa"/>
              <w:bottom w:w="40" w:type="dxa"/>
              <w:right w:w="40" w:type="dxa"/>
            </w:tcMar>
            <w:vAlign w:val="bottom"/>
          </w:tcPr>
          <w:p w14:paraId="0BC98FF9"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0BC98FF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8FFB"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1,728</w:t>
            </w:r>
          </w:p>
        </w:tc>
        <w:tc>
          <w:tcPr>
            <w:tcW w:w="0" w:type="auto"/>
            <w:shd w:val="clear" w:color="auto" w:fill="auto"/>
            <w:vAlign w:val="bottom"/>
          </w:tcPr>
          <w:p w14:paraId="0BC98FFC" w14:textId="77777777" w:rsidR="009F0928" w:rsidRDefault="009F0928">
            <w:pPr>
              <w:textAlignment w:val="bottom"/>
              <w:rPr>
                <w:rFonts w:ascii="Times New Roman" w:hAnsi="Times New Roman"/>
                <w:sz w:val="20"/>
                <w:szCs w:val="20"/>
              </w:rPr>
            </w:pPr>
          </w:p>
        </w:tc>
      </w:tr>
      <w:tr w:rsidR="009F0928" w14:paraId="0BC99007" w14:textId="77777777">
        <w:trPr>
          <w:jc w:val="center"/>
        </w:trPr>
        <w:tc>
          <w:tcPr>
            <w:tcW w:w="0" w:type="auto"/>
            <w:shd w:val="clear" w:color="auto" w:fill="E2E2E2"/>
            <w:tcMar>
              <w:top w:w="40" w:type="dxa"/>
              <w:left w:w="720" w:type="dxa"/>
              <w:bottom w:w="40" w:type="dxa"/>
              <w:right w:w="40" w:type="dxa"/>
            </w:tcMar>
            <w:vAlign w:val="bottom"/>
          </w:tcPr>
          <w:p w14:paraId="0BC98FFE" w14:textId="77777777" w:rsidR="009F0928" w:rsidRDefault="002112BD">
            <w:pPr>
              <w:textAlignment w:val="bottom"/>
              <w:rPr>
                <w:rFonts w:ascii="Times New Roman" w:hAnsi="Times New Roman"/>
                <w:sz w:val="15"/>
                <w:szCs w:val="15"/>
              </w:rPr>
            </w:pPr>
            <w:r>
              <w:rPr>
                <w:rFonts w:ascii="Arial" w:eastAsia="宋体" w:hAnsi="Arial" w:cs="Arial"/>
                <w:sz w:val="15"/>
                <w:szCs w:val="15"/>
              </w:rPr>
              <w:t xml:space="preserve">Change in </w:t>
            </w:r>
            <w:r>
              <w:rPr>
                <w:rFonts w:ascii="Arial" w:eastAsia="宋体" w:hAnsi="Arial" w:cs="Arial"/>
                <w:sz w:val="15"/>
                <w:szCs w:val="15"/>
              </w:rPr>
              <w:t>fair value of warrant</w:t>
            </w:r>
          </w:p>
        </w:tc>
        <w:tc>
          <w:tcPr>
            <w:tcW w:w="0" w:type="auto"/>
            <w:gridSpan w:val="2"/>
            <w:shd w:val="clear" w:color="auto" w:fill="E2E2E2"/>
            <w:tcMar>
              <w:top w:w="40" w:type="dxa"/>
              <w:left w:w="40" w:type="dxa"/>
              <w:bottom w:w="40" w:type="dxa"/>
            </w:tcMar>
            <w:vAlign w:val="bottom"/>
          </w:tcPr>
          <w:p w14:paraId="0BC98FFF"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(133</w:t>
            </w:r>
          </w:p>
        </w:tc>
        <w:tc>
          <w:tcPr>
            <w:tcW w:w="0" w:type="auto"/>
            <w:shd w:val="clear" w:color="auto" w:fill="E2E2E2"/>
            <w:tcMar>
              <w:top w:w="40" w:type="dxa"/>
              <w:bottom w:w="40" w:type="dxa"/>
              <w:right w:w="40" w:type="dxa"/>
            </w:tcMar>
            <w:vAlign w:val="bottom"/>
          </w:tcPr>
          <w:p w14:paraId="0BC99000"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left w:w="40" w:type="dxa"/>
              <w:bottom w:w="40" w:type="dxa"/>
              <w:right w:w="40" w:type="dxa"/>
            </w:tcMar>
            <w:vAlign w:val="bottom"/>
          </w:tcPr>
          <w:p w14:paraId="0BC9900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002"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(104</w:t>
            </w:r>
          </w:p>
        </w:tc>
        <w:tc>
          <w:tcPr>
            <w:tcW w:w="0" w:type="auto"/>
            <w:shd w:val="clear" w:color="auto" w:fill="E2E2E2"/>
            <w:tcMar>
              <w:top w:w="40" w:type="dxa"/>
              <w:bottom w:w="40" w:type="dxa"/>
              <w:right w:w="40" w:type="dxa"/>
            </w:tcMar>
            <w:vAlign w:val="bottom"/>
          </w:tcPr>
          <w:p w14:paraId="0BC99003"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left w:w="40" w:type="dxa"/>
              <w:bottom w:w="40" w:type="dxa"/>
              <w:right w:w="40" w:type="dxa"/>
            </w:tcMar>
            <w:vAlign w:val="bottom"/>
          </w:tcPr>
          <w:p w14:paraId="0BC990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005"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vAlign w:val="bottom"/>
          </w:tcPr>
          <w:p w14:paraId="0BC99006" w14:textId="77777777" w:rsidR="009F0928" w:rsidRDefault="009F0928">
            <w:pPr>
              <w:textAlignment w:val="bottom"/>
              <w:rPr>
                <w:rFonts w:ascii="Times New Roman" w:hAnsi="Times New Roman"/>
                <w:sz w:val="20"/>
                <w:szCs w:val="20"/>
              </w:rPr>
            </w:pPr>
          </w:p>
        </w:tc>
      </w:tr>
      <w:tr w:rsidR="009F0928" w14:paraId="0BC99011" w14:textId="77777777">
        <w:trPr>
          <w:jc w:val="center"/>
        </w:trPr>
        <w:tc>
          <w:tcPr>
            <w:tcW w:w="0" w:type="auto"/>
            <w:shd w:val="clear" w:color="auto" w:fill="auto"/>
            <w:tcMar>
              <w:top w:w="40" w:type="dxa"/>
              <w:left w:w="720" w:type="dxa"/>
              <w:bottom w:w="40" w:type="dxa"/>
              <w:right w:w="40" w:type="dxa"/>
            </w:tcMar>
            <w:vAlign w:val="bottom"/>
          </w:tcPr>
          <w:p w14:paraId="0BC99008" w14:textId="77777777" w:rsidR="009F0928" w:rsidRDefault="002112BD">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shd w:val="clear" w:color="auto" w:fill="auto"/>
            <w:tcMar>
              <w:top w:w="40" w:type="dxa"/>
              <w:left w:w="40" w:type="dxa"/>
              <w:bottom w:w="40" w:type="dxa"/>
            </w:tcMar>
            <w:vAlign w:val="bottom"/>
          </w:tcPr>
          <w:p w14:paraId="0BC99009"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0BC9900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00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0C"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19</w:t>
            </w:r>
          </w:p>
        </w:tc>
        <w:tc>
          <w:tcPr>
            <w:tcW w:w="0" w:type="auto"/>
            <w:shd w:val="clear" w:color="auto" w:fill="auto"/>
            <w:vAlign w:val="bottom"/>
          </w:tcPr>
          <w:p w14:paraId="0BC9900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00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0F"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0BC99010" w14:textId="77777777" w:rsidR="009F0928" w:rsidRDefault="009F0928">
            <w:pPr>
              <w:textAlignment w:val="bottom"/>
              <w:rPr>
                <w:rFonts w:ascii="Times New Roman" w:hAnsi="Times New Roman"/>
                <w:sz w:val="20"/>
                <w:szCs w:val="20"/>
              </w:rPr>
            </w:pPr>
          </w:p>
        </w:tc>
      </w:tr>
      <w:tr w:rsidR="009F0928" w14:paraId="0BC99018" w14:textId="77777777">
        <w:trPr>
          <w:jc w:val="center"/>
        </w:trPr>
        <w:tc>
          <w:tcPr>
            <w:tcW w:w="0" w:type="auto"/>
            <w:shd w:val="clear" w:color="auto" w:fill="E2E2E2"/>
            <w:tcMar>
              <w:top w:w="40" w:type="dxa"/>
              <w:left w:w="720" w:type="dxa"/>
              <w:bottom w:w="40" w:type="dxa"/>
              <w:right w:w="40" w:type="dxa"/>
            </w:tcMar>
            <w:vAlign w:val="bottom"/>
          </w:tcPr>
          <w:p w14:paraId="0BC99012" w14:textId="77777777" w:rsidR="009F0928" w:rsidRDefault="002112BD">
            <w:pPr>
              <w:textAlignment w:val="bottom"/>
              <w:rPr>
                <w:rFonts w:ascii="Times New Roman" w:hAnsi="Times New Roman"/>
                <w:sz w:val="15"/>
                <w:szCs w:val="15"/>
              </w:rPr>
            </w:pPr>
            <w:r>
              <w:rPr>
                <w:rFonts w:ascii="Arial" w:eastAsia="宋体" w:hAnsi="Arial" w:cs="Arial"/>
                <w:sz w:val="15"/>
                <w:szCs w:val="15"/>
              </w:rPr>
              <w:t>Changes in assets and liabilities, net of acquisition effects</w:t>
            </w:r>
          </w:p>
        </w:tc>
        <w:tc>
          <w:tcPr>
            <w:tcW w:w="0" w:type="auto"/>
            <w:gridSpan w:val="3"/>
            <w:shd w:val="clear" w:color="auto" w:fill="E2E2E2"/>
            <w:tcMar>
              <w:top w:w="40" w:type="dxa"/>
              <w:left w:w="40" w:type="dxa"/>
              <w:bottom w:w="40" w:type="dxa"/>
              <w:right w:w="40" w:type="dxa"/>
            </w:tcMar>
            <w:vAlign w:val="bottom"/>
          </w:tcPr>
          <w:p w14:paraId="0BC9901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01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01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0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01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022" w14:textId="77777777">
        <w:trPr>
          <w:jc w:val="center"/>
        </w:trPr>
        <w:tc>
          <w:tcPr>
            <w:tcW w:w="0" w:type="auto"/>
            <w:shd w:val="clear" w:color="auto" w:fill="auto"/>
            <w:tcMar>
              <w:top w:w="40" w:type="dxa"/>
              <w:left w:w="1040" w:type="dxa"/>
              <w:bottom w:w="40" w:type="dxa"/>
              <w:right w:w="40" w:type="dxa"/>
            </w:tcMar>
            <w:vAlign w:val="bottom"/>
          </w:tcPr>
          <w:p w14:paraId="0BC99019" w14:textId="77777777" w:rsidR="009F0928" w:rsidRDefault="002112BD">
            <w:pPr>
              <w:textAlignment w:val="bottom"/>
              <w:rPr>
                <w:rFonts w:ascii="Times New Roman" w:hAnsi="Times New Roman"/>
                <w:sz w:val="15"/>
                <w:szCs w:val="15"/>
              </w:rPr>
            </w:pPr>
            <w:r>
              <w:rPr>
                <w:rFonts w:ascii="Arial" w:eastAsia="宋体" w:hAnsi="Arial" w:cs="Arial"/>
                <w:sz w:val="15"/>
                <w:szCs w:val="15"/>
              </w:rPr>
              <w:t>Accounts receivable</w:t>
            </w:r>
          </w:p>
        </w:tc>
        <w:tc>
          <w:tcPr>
            <w:tcW w:w="0" w:type="auto"/>
            <w:gridSpan w:val="2"/>
            <w:shd w:val="clear" w:color="auto" w:fill="auto"/>
            <w:tcMar>
              <w:top w:w="40" w:type="dxa"/>
              <w:left w:w="40" w:type="dxa"/>
              <w:bottom w:w="40" w:type="dxa"/>
            </w:tcMar>
            <w:vAlign w:val="bottom"/>
          </w:tcPr>
          <w:p w14:paraId="0BC9901A"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(124</w:t>
            </w:r>
          </w:p>
        </w:tc>
        <w:tc>
          <w:tcPr>
            <w:tcW w:w="0" w:type="auto"/>
            <w:shd w:val="clear" w:color="auto" w:fill="auto"/>
            <w:tcMar>
              <w:top w:w="40" w:type="dxa"/>
              <w:bottom w:w="40" w:type="dxa"/>
              <w:right w:w="40" w:type="dxa"/>
            </w:tcMar>
            <w:vAlign w:val="bottom"/>
          </w:tcPr>
          <w:p w14:paraId="0BC9901B"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0BC9901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1D"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(98</w:t>
            </w:r>
          </w:p>
        </w:tc>
        <w:tc>
          <w:tcPr>
            <w:tcW w:w="0" w:type="auto"/>
            <w:shd w:val="clear" w:color="auto" w:fill="auto"/>
            <w:tcMar>
              <w:top w:w="40" w:type="dxa"/>
              <w:bottom w:w="40" w:type="dxa"/>
              <w:right w:w="40" w:type="dxa"/>
            </w:tcMar>
            <w:vAlign w:val="bottom"/>
          </w:tcPr>
          <w:p w14:paraId="0BC9901E"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0BC9901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20"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(195</w:t>
            </w:r>
          </w:p>
        </w:tc>
        <w:tc>
          <w:tcPr>
            <w:tcW w:w="0" w:type="auto"/>
            <w:shd w:val="clear" w:color="auto" w:fill="auto"/>
            <w:tcMar>
              <w:top w:w="40" w:type="dxa"/>
              <w:bottom w:w="40" w:type="dxa"/>
              <w:right w:w="40" w:type="dxa"/>
            </w:tcMar>
            <w:vAlign w:val="bottom"/>
          </w:tcPr>
          <w:p w14:paraId="0BC99021"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r>
      <w:tr w:rsidR="009F0928" w14:paraId="0BC9902C" w14:textId="77777777">
        <w:trPr>
          <w:jc w:val="center"/>
        </w:trPr>
        <w:tc>
          <w:tcPr>
            <w:tcW w:w="0" w:type="auto"/>
            <w:shd w:val="clear" w:color="auto" w:fill="E2E2E2"/>
            <w:tcMar>
              <w:top w:w="40" w:type="dxa"/>
              <w:left w:w="1040" w:type="dxa"/>
              <w:bottom w:w="40" w:type="dxa"/>
              <w:right w:w="40" w:type="dxa"/>
            </w:tcMar>
            <w:vAlign w:val="bottom"/>
          </w:tcPr>
          <w:p w14:paraId="0BC99023" w14:textId="77777777" w:rsidR="009F0928" w:rsidRDefault="002112BD">
            <w:pPr>
              <w:textAlignment w:val="bottom"/>
              <w:rPr>
                <w:rFonts w:ascii="Times New Roman" w:hAnsi="Times New Roman"/>
                <w:sz w:val="15"/>
                <w:szCs w:val="15"/>
              </w:rPr>
            </w:pPr>
            <w:r>
              <w:rPr>
                <w:rFonts w:ascii="Arial" w:eastAsia="宋体" w:hAnsi="Arial" w:cs="Arial"/>
                <w:sz w:val="15"/>
                <w:szCs w:val="15"/>
              </w:rPr>
              <w:t>Other current assets</w:t>
            </w:r>
          </w:p>
        </w:tc>
        <w:tc>
          <w:tcPr>
            <w:tcW w:w="0" w:type="auto"/>
            <w:gridSpan w:val="2"/>
            <w:shd w:val="clear" w:color="auto" w:fill="E2E2E2"/>
            <w:tcMar>
              <w:top w:w="40" w:type="dxa"/>
              <w:left w:w="40" w:type="dxa"/>
              <w:bottom w:w="40" w:type="dxa"/>
            </w:tcMar>
            <w:vAlign w:val="bottom"/>
          </w:tcPr>
          <w:p w14:paraId="0BC99024"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177</w:t>
            </w:r>
          </w:p>
        </w:tc>
        <w:tc>
          <w:tcPr>
            <w:tcW w:w="0" w:type="auto"/>
            <w:shd w:val="clear" w:color="auto" w:fill="E2E2E2"/>
            <w:vAlign w:val="bottom"/>
          </w:tcPr>
          <w:p w14:paraId="0BC9902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02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027"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(143</w:t>
            </w:r>
          </w:p>
        </w:tc>
        <w:tc>
          <w:tcPr>
            <w:tcW w:w="0" w:type="auto"/>
            <w:shd w:val="clear" w:color="auto" w:fill="E2E2E2"/>
            <w:tcMar>
              <w:top w:w="40" w:type="dxa"/>
              <w:bottom w:w="40" w:type="dxa"/>
              <w:right w:w="40" w:type="dxa"/>
            </w:tcMar>
            <w:vAlign w:val="bottom"/>
          </w:tcPr>
          <w:p w14:paraId="0BC99028"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left w:w="40" w:type="dxa"/>
              <w:bottom w:w="40" w:type="dxa"/>
              <w:right w:w="40" w:type="dxa"/>
            </w:tcMar>
            <w:vAlign w:val="bottom"/>
          </w:tcPr>
          <w:p w14:paraId="0BC9902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02A"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(148</w:t>
            </w:r>
          </w:p>
        </w:tc>
        <w:tc>
          <w:tcPr>
            <w:tcW w:w="0" w:type="auto"/>
            <w:shd w:val="clear" w:color="auto" w:fill="E2E2E2"/>
            <w:tcMar>
              <w:top w:w="40" w:type="dxa"/>
              <w:bottom w:w="40" w:type="dxa"/>
              <w:right w:w="40" w:type="dxa"/>
            </w:tcMar>
            <w:vAlign w:val="bottom"/>
          </w:tcPr>
          <w:p w14:paraId="0BC9902B"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r>
      <w:tr w:rsidR="009F0928" w14:paraId="0BC99036" w14:textId="77777777">
        <w:trPr>
          <w:jc w:val="center"/>
        </w:trPr>
        <w:tc>
          <w:tcPr>
            <w:tcW w:w="0" w:type="auto"/>
            <w:shd w:val="clear" w:color="auto" w:fill="auto"/>
            <w:tcMar>
              <w:top w:w="40" w:type="dxa"/>
              <w:left w:w="1040" w:type="dxa"/>
              <w:bottom w:w="40" w:type="dxa"/>
              <w:right w:w="40" w:type="dxa"/>
            </w:tcMar>
            <w:vAlign w:val="bottom"/>
          </w:tcPr>
          <w:p w14:paraId="0BC9902D" w14:textId="77777777" w:rsidR="009F0928" w:rsidRDefault="002112BD">
            <w:pPr>
              <w:textAlignment w:val="bottom"/>
              <w:rPr>
                <w:rFonts w:ascii="Times New Roman" w:hAnsi="Times New Roman"/>
                <w:sz w:val="15"/>
                <w:szCs w:val="15"/>
              </w:rPr>
            </w:pPr>
            <w:r>
              <w:rPr>
                <w:rFonts w:ascii="Arial" w:eastAsia="宋体" w:hAnsi="Arial" w:cs="Arial"/>
                <w:sz w:val="15"/>
                <w:szCs w:val="15"/>
              </w:rPr>
              <w:t xml:space="preserve">Other non-current </w:t>
            </w:r>
            <w:r>
              <w:rPr>
                <w:rFonts w:ascii="Arial" w:eastAsia="宋体" w:hAnsi="Arial" w:cs="Arial"/>
                <w:sz w:val="15"/>
                <w:szCs w:val="15"/>
              </w:rPr>
              <w:t>assets</w:t>
            </w:r>
          </w:p>
        </w:tc>
        <w:tc>
          <w:tcPr>
            <w:tcW w:w="0" w:type="auto"/>
            <w:gridSpan w:val="2"/>
            <w:shd w:val="clear" w:color="auto" w:fill="auto"/>
            <w:tcMar>
              <w:top w:w="40" w:type="dxa"/>
              <w:left w:w="40" w:type="dxa"/>
              <w:bottom w:w="40" w:type="dxa"/>
            </w:tcMar>
            <w:vAlign w:val="bottom"/>
          </w:tcPr>
          <w:p w14:paraId="0BC9902E"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222</w:t>
            </w:r>
          </w:p>
        </w:tc>
        <w:tc>
          <w:tcPr>
            <w:tcW w:w="0" w:type="auto"/>
            <w:shd w:val="clear" w:color="auto" w:fill="auto"/>
            <w:vAlign w:val="bottom"/>
          </w:tcPr>
          <w:p w14:paraId="0BC9902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03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31"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108</w:t>
            </w:r>
          </w:p>
        </w:tc>
        <w:tc>
          <w:tcPr>
            <w:tcW w:w="0" w:type="auto"/>
            <w:shd w:val="clear" w:color="auto" w:fill="auto"/>
            <w:vAlign w:val="bottom"/>
          </w:tcPr>
          <w:p w14:paraId="0BC9903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03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34"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19</w:t>
            </w:r>
          </w:p>
        </w:tc>
        <w:tc>
          <w:tcPr>
            <w:tcW w:w="0" w:type="auto"/>
            <w:shd w:val="clear" w:color="auto" w:fill="auto"/>
            <w:vAlign w:val="bottom"/>
          </w:tcPr>
          <w:p w14:paraId="0BC99035" w14:textId="77777777" w:rsidR="009F0928" w:rsidRDefault="009F0928">
            <w:pPr>
              <w:textAlignment w:val="bottom"/>
              <w:rPr>
                <w:rFonts w:ascii="Times New Roman" w:hAnsi="Times New Roman"/>
                <w:sz w:val="20"/>
                <w:szCs w:val="20"/>
              </w:rPr>
            </w:pPr>
          </w:p>
        </w:tc>
      </w:tr>
      <w:tr w:rsidR="009F0928" w14:paraId="0BC99040" w14:textId="77777777">
        <w:trPr>
          <w:jc w:val="center"/>
        </w:trPr>
        <w:tc>
          <w:tcPr>
            <w:tcW w:w="0" w:type="auto"/>
            <w:shd w:val="clear" w:color="auto" w:fill="E2E2E2"/>
            <w:tcMar>
              <w:top w:w="40" w:type="dxa"/>
              <w:left w:w="1040" w:type="dxa"/>
              <w:bottom w:w="40" w:type="dxa"/>
              <w:right w:w="40" w:type="dxa"/>
            </w:tcMar>
            <w:vAlign w:val="bottom"/>
          </w:tcPr>
          <w:p w14:paraId="0BC99037" w14:textId="77777777" w:rsidR="009F0928" w:rsidRDefault="002112BD">
            <w:pPr>
              <w:textAlignment w:val="bottom"/>
              <w:rPr>
                <w:rFonts w:ascii="Times New Roman" w:hAnsi="Times New Roman"/>
                <w:sz w:val="15"/>
                <w:szCs w:val="15"/>
              </w:rPr>
            </w:pPr>
            <w:r>
              <w:rPr>
                <w:rFonts w:ascii="Arial" w:eastAsia="宋体" w:hAnsi="Arial" w:cs="Arial"/>
                <w:sz w:val="15"/>
                <w:szCs w:val="15"/>
              </w:rPr>
              <w:t>Accounts payable</w:t>
            </w:r>
          </w:p>
        </w:tc>
        <w:tc>
          <w:tcPr>
            <w:tcW w:w="0" w:type="auto"/>
            <w:gridSpan w:val="2"/>
            <w:shd w:val="clear" w:color="auto" w:fill="E2E2E2"/>
            <w:tcMar>
              <w:top w:w="40" w:type="dxa"/>
              <w:left w:w="40" w:type="dxa"/>
              <w:bottom w:w="40" w:type="dxa"/>
            </w:tcMar>
            <w:vAlign w:val="bottom"/>
          </w:tcPr>
          <w:p w14:paraId="0BC99038"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E2E2E2"/>
            <w:vAlign w:val="bottom"/>
          </w:tcPr>
          <w:p w14:paraId="0BC9903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0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03B"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(47</w:t>
            </w:r>
          </w:p>
        </w:tc>
        <w:tc>
          <w:tcPr>
            <w:tcW w:w="0" w:type="auto"/>
            <w:shd w:val="clear" w:color="auto" w:fill="E2E2E2"/>
            <w:tcMar>
              <w:top w:w="40" w:type="dxa"/>
              <w:bottom w:w="40" w:type="dxa"/>
              <w:right w:w="40" w:type="dxa"/>
            </w:tcMar>
            <w:vAlign w:val="bottom"/>
          </w:tcPr>
          <w:p w14:paraId="0BC9903C"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left w:w="40" w:type="dxa"/>
              <w:bottom w:w="40" w:type="dxa"/>
              <w:right w:w="40" w:type="dxa"/>
            </w:tcMar>
            <w:vAlign w:val="bottom"/>
          </w:tcPr>
          <w:p w14:paraId="0BC990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03E"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19</w:t>
            </w:r>
          </w:p>
        </w:tc>
        <w:tc>
          <w:tcPr>
            <w:tcW w:w="0" w:type="auto"/>
            <w:shd w:val="clear" w:color="auto" w:fill="E2E2E2"/>
            <w:vAlign w:val="bottom"/>
          </w:tcPr>
          <w:p w14:paraId="0BC9903F" w14:textId="77777777" w:rsidR="009F0928" w:rsidRDefault="009F0928">
            <w:pPr>
              <w:textAlignment w:val="bottom"/>
              <w:rPr>
                <w:rFonts w:ascii="Times New Roman" w:hAnsi="Times New Roman"/>
                <w:sz w:val="20"/>
                <w:szCs w:val="20"/>
              </w:rPr>
            </w:pPr>
          </w:p>
        </w:tc>
      </w:tr>
      <w:tr w:rsidR="009F0928" w14:paraId="0BC9904A" w14:textId="77777777">
        <w:trPr>
          <w:jc w:val="center"/>
        </w:trPr>
        <w:tc>
          <w:tcPr>
            <w:tcW w:w="0" w:type="auto"/>
            <w:shd w:val="clear" w:color="auto" w:fill="auto"/>
            <w:tcMar>
              <w:top w:w="40" w:type="dxa"/>
              <w:left w:w="1040" w:type="dxa"/>
              <w:bottom w:w="40" w:type="dxa"/>
              <w:right w:w="40" w:type="dxa"/>
            </w:tcMar>
            <w:vAlign w:val="bottom"/>
          </w:tcPr>
          <w:p w14:paraId="0BC99041" w14:textId="77777777" w:rsidR="009F0928" w:rsidRDefault="002112BD">
            <w:pPr>
              <w:textAlignment w:val="bottom"/>
              <w:rPr>
                <w:rFonts w:ascii="Times New Roman" w:hAnsi="Times New Roman"/>
                <w:sz w:val="15"/>
                <w:szCs w:val="15"/>
              </w:rPr>
            </w:pPr>
            <w:r>
              <w:rPr>
                <w:rFonts w:ascii="Arial" w:eastAsia="宋体" w:hAnsi="Arial" w:cs="Arial"/>
                <w:sz w:val="15"/>
                <w:szCs w:val="15"/>
              </w:rPr>
              <w:t>Accrued expenses and other liabilities</w:t>
            </w:r>
          </w:p>
        </w:tc>
        <w:tc>
          <w:tcPr>
            <w:tcW w:w="0" w:type="auto"/>
            <w:gridSpan w:val="2"/>
            <w:shd w:val="clear" w:color="auto" w:fill="auto"/>
            <w:tcMar>
              <w:top w:w="40" w:type="dxa"/>
              <w:left w:w="40" w:type="dxa"/>
              <w:bottom w:w="40" w:type="dxa"/>
            </w:tcMar>
            <w:vAlign w:val="bottom"/>
          </w:tcPr>
          <w:p w14:paraId="0BC99042"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(391</w:t>
            </w:r>
          </w:p>
        </w:tc>
        <w:tc>
          <w:tcPr>
            <w:tcW w:w="0" w:type="auto"/>
            <w:shd w:val="clear" w:color="auto" w:fill="auto"/>
            <w:tcMar>
              <w:top w:w="40" w:type="dxa"/>
              <w:bottom w:w="40" w:type="dxa"/>
              <w:right w:w="40" w:type="dxa"/>
            </w:tcMar>
            <w:vAlign w:val="bottom"/>
          </w:tcPr>
          <w:p w14:paraId="0BC99043"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0BC9904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45"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(437</w:t>
            </w:r>
          </w:p>
        </w:tc>
        <w:tc>
          <w:tcPr>
            <w:tcW w:w="0" w:type="auto"/>
            <w:shd w:val="clear" w:color="auto" w:fill="auto"/>
            <w:tcMar>
              <w:top w:w="40" w:type="dxa"/>
              <w:bottom w:w="40" w:type="dxa"/>
              <w:right w:w="40" w:type="dxa"/>
            </w:tcMar>
            <w:vAlign w:val="bottom"/>
          </w:tcPr>
          <w:p w14:paraId="0BC99046"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0BC9904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48"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206</w:t>
            </w:r>
          </w:p>
        </w:tc>
        <w:tc>
          <w:tcPr>
            <w:tcW w:w="0" w:type="auto"/>
            <w:shd w:val="clear" w:color="auto" w:fill="auto"/>
            <w:vAlign w:val="bottom"/>
          </w:tcPr>
          <w:p w14:paraId="0BC99049" w14:textId="77777777" w:rsidR="009F0928" w:rsidRDefault="009F0928">
            <w:pPr>
              <w:textAlignment w:val="bottom"/>
              <w:rPr>
                <w:rFonts w:ascii="Times New Roman" w:hAnsi="Times New Roman"/>
                <w:sz w:val="20"/>
                <w:szCs w:val="20"/>
              </w:rPr>
            </w:pPr>
          </w:p>
        </w:tc>
      </w:tr>
      <w:tr w:rsidR="009F0928" w14:paraId="0BC99054" w14:textId="77777777">
        <w:trPr>
          <w:jc w:val="center"/>
        </w:trPr>
        <w:tc>
          <w:tcPr>
            <w:tcW w:w="0" w:type="auto"/>
            <w:shd w:val="clear" w:color="auto" w:fill="E2E2E2"/>
            <w:tcMar>
              <w:top w:w="40" w:type="dxa"/>
              <w:left w:w="1040" w:type="dxa"/>
              <w:bottom w:w="40" w:type="dxa"/>
              <w:right w:w="40" w:type="dxa"/>
            </w:tcMar>
            <w:vAlign w:val="bottom"/>
          </w:tcPr>
          <w:p w14:paraId="0BC9904B" w14:textId="77777777" w:rsidR="009F0928" w:rsidRDefault="002112BD">
            <w:pPr>
              <w:textAlignment w:val="bottom"/>
              <w:rPr>
                <w:rFonts w:ascii="Times New Roman" w:hAnsi="Times New Roman"/>
                <w:sz w:val="15"/>
                <w:szCs w:val="15"/>
              </w:rPr>
            </w:pPr>
            <w:r>
              <w:rPr>
                <w:rFonts w:ascii="Arial" w:eastAsia="宋体" w:hAnsi="Arial" w:cs="Arial"/>
                <w:sz w:val="15"/>
                <w:szCs w:val="15"/>
              </w:rPr>
              <w:t>Deferred revenue</w:t>
            </w:r>
          </w:p>
        </w:tc>
        <w:tc>
          <w:tcPr>
            <w:tcW w:w="0" w:type="auto"/>
            <w:gridSpan w:val="2"/>
            <w:shd w:val="clear" w:color="auto" w:fill="E2E2E2"/>
            <w:tcMar>
              <w:top w:w="40" w:type="dxa"/>
              <w:left w:w="40" w:type="dxa"/>
              <w:bottom w:w="40" w:type="dxa"/>
            </w:tcMar>
            <w:vAlign w:val="bottom"/>
          </w:tcPr>
          <w:p w14:paraId="0BC9904C"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vAlign w:val="bottom"/>
          </w:tcPr>
          <w:p w14:paraId="0BC9904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04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04F"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33</w:t>
            </w:r>
          </w:p>
        </w:tc>
        <w:tc>
          <w:tcPr>
            <w:tcW w:w="0" w:type="auto"/>
            <w:shd w:val="clear" w:color="auto" w:fill="E2E2E2"/>
            <w:vAlign w:val="bottom"/>
          </w:tcPr>
          <w:p w14:paraId="0BC9905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05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052"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8</w:t>
            </w:r>
          </w:p>
        </w:tc>
        <w:tc>
          <w:tcPr>
            <w:tcW w:w="0" w:type="auto"/>
            <w:shd w:val="clear" w:color="auto" w:fill="E2E2E2"/>
            <w:vAlign w:val="bottom"/>
          </w:tcPr>
          <w:p w14:paraId="0BC99053" w14:textId="77777777" w:rsidR="009F0928" w:rsidRDefault="009F0928">
            <w:pPr>
              <w:textAlignment w:val="bottom"/>
              <w:rPr>
                <w:rFonts w:ascii="Times New Roman" w:hAnsi="Times New Roman"/>
                <w:sz w:val="20"/>
                <w:szCs w:val="20"/>
              </w:rPr>
            </w:pPr>
          </w:p>
        </w:tc>
      </w:tr>
      <w:tr w:rsidR="009F0928" w14:paraId="0BC9905E" w14:textId="77777777">
        <w:trPr>
          <w:jc w:val="center"/>
        </w:trPr>
        <w:tc>
          <w:tcPr>
            <w:tcW w:w="0" w:type="auto"/>
            <w:shd w:val="clear" w:color="auto" w:fill="auto"/>
            <w:tcMar>
              <w:top w:w="40" w:type="dxa"/>
              <w:left w:w="1040" w:type="dxa"/>
              <w:bottom w:w="40" w:type="dxa"/>
              <w:right w:w="40" w:type="dxa"/>
            </w:tcMar>
            <w:vAlign w:val="bottom"/>
          </w:tcPr>
          <w:p w14:paraId="0BC99055" w14:textId="77777777" w:rsidR="009F0928" w:rsidRDefault="002112BD">
            <w:pPr>
              <w:textAlignment w:val="bottom"/>
              <w:rPr>
                <w:rFonts w:ascii="Times New Roman" w:hAnsi="Times New Roman"/>
                <w:sz w:val="15"/>
                <w:szCs w:val="15"/>
              </w:rPr>
            </w:pPr>
            <w:r>
              <w:rPr>
                <w:rFonts w:ascii="Arial" w:eastAsia="宋体" w:hAnsi="Arial" w:cs="Arial"/>
                <w:sz w:val="15"/>
                <w:szCs w:val="15"/>
              </w:rPr>
              <w:t>Income taxes payable and other tax liabilities</w:t>
            </w:r>
          </w:p>
        </w:tc>
        <w:tc>
          <w:tcPr>
            <w:tcW w:w="0" w:type="auto"/>
            <w:gridSpan w:val="2"/>
            <w:shd w:val="clear" w:color="auto" w:fill="auto"/>
            <w:tcMar>
              <w:top w:w="40" w:type="dxa"/>
              <w:left w:w="40" w:type="dxa"/>
              <w:bottom w:w="40" w:type="dxa"/>
            </w:tcMar>
            <w:vAlign w:val="bottom"/>
          </w:tcPr>
          <w:p w14:paraId="0BC99056"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(88</w:t>
            </w:r>
          </w:p>
        </w:tc>
        <w:tc>
          <w:tcPr>
            <w:tcW w:w="0" w:type="auto"/>
            <w:shd w:val="clear" w:color="auto" w:fill="auto"/>
            <w:tcMar>
              <w:top w:w="40" w:type="dxa"/>
              <w:bottom w:w="40" w:type="dxa"/>
              <w:right w:w="40" w:type="dxa"/>
            </w:tcMar>
            <w:vAlign w:val="bottom"/>
          </w:tcPr>
          <w:p w14:paraId="0BC99057"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0BC9905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59"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7</w:t>
            </w:r>
          </w:p>
        </w:tc>
        <w:tc>
          <w:tcPr>
            <w:tcW w:w="0" w:type="auto"/>
            <w:shd w:val="clear" w:color="auto" w:fill="auto"/>
            <w:vAlign w:val="bottom"/>
          </w:tcPr>
          <w:p w14:paraId="0BC9905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05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5C"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1,209</w:t>
            </w:r>
          </w:p>
        </w:tc>
        <w:tc>
          <w:tcPr>
            <w:tcW w:w="0" w:type="auto"/>
            <w:shd w:val="clear" w:color="auto" w:fill="auto"/>
            <w:vAlign w:val="bottom"/>
          </w:tcPr>
          <w:p w14:paraId="0BC9905D" w14:textId="77777777" w:rsidR="009F0928" w:rsidRDefault="009F0928">
            <w:pPr>
              <w:textAlignment w:val="bottom"/>
              <w:rPr>
                <w:rFonts w:ascii="Times New Roman" w:hAnsi="Times New Roman"/>
                <w:sz w:val="20"/>
                <w:szCs w:val="20"/>
              </w:rPr>
            </w:pPr>
          </w:p>
        </w:tc>
      </w:tr>
      <w:tr w:rsidR="009F0928" w14:paraId="0BC99068" w14:textId="77777777">
        <w:trPr>
          <w:jc w:val="center"/>
        </w:trPr>
        <w:tc>
          <w:tcPr>
            <w:tcW w:w="0" w:type="auto"/>
            <w:shd w:val="clear" w:color="auto" w:fill="E2E2E2"/>
            <w:tcMar>
              <w:top w:w="40" w:type="dxa"/>
              <w:left w:w="40" w:type="dxa"/>
              <w:bottom w:w="40" w:type="dxa"/>
              <w:right w:w="40" w:type="dxa"/>
            </w:tcMar>
            <w:vAlign w:val="bottom"/>
          </w:tcPr>
          <w:p w14:paraId="0BC9905F" w14:textId="77777777" w:rsidR="009F0928" w:rsidRDefault="002112BD">
            <w:pPr>
              <w:textAlignment w:val="bottom"/>
              <w:rPr>
                <w:rFonts w:ascii="Times New Roman" w:hAnsi="Times New Roman"/>
                <w:sz w:val="15"/>
                <w:szCs w:val="15"/>
              </w:rPr>
            </w:pPr>
            <w:r>
              <w:rPr>
                <w:rFonts w:ascii="Arial" w:eastAsia="宋体" w:hAnsi="Arial" w:cs="Arial"/>
                <w:sz w:val="15"/>
                <w:szCs w:val="15"/>
              </w:rPr>
              <w:t xml:space="preserve">Net cash provided by </w:t>
            </w:r>
            <w:r>
              <w:rPr>
                <w:rFonts w:ascii="Arial" w:eastAsia="宋体" w:hAnsi="Arial" w:cs="Arial"/>
                <w:sz w:val="15"/>
                <w:szCs w:val="15"/>
              </w:rPr>
              <w:t>continuing operating activities</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060"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3,114</w:t>
            </w:r>
          </w:p>
        </w:tc>
        <w:tc>
          <w:tcPr>
            <w:tcW w:w="0" w:type="auto"/>
            <w:tcBorders>
              <w:top w:val="single" w:sz="8" w:space="0" w:color="000000"/>
              <w:bottom w:val="single" w:sz="8" w:space="0" w:color="000000"/>
            </w:tcBorders>
            <w:shd w:val="clear" w:color="auto" w:fill="E2E2E2"/>
            <w:vAlign w:val="bottom"/>
          </w:tcPr>
          <w:p w14:paraId="0BC9906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06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063"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2,661</w:t>
            </w:r>
          </w:p>
        </w:tc>
        <w:tc>
          <w:tcPr>
            <w:tcW w:w="0" w:type="auto"/>
            <w:tcBorders>
              <w:top w:val="single" w:sz="8" w:space="0" w:color="000000"/>
              <w:bottom w:val="single" w:sz="8" w:space="0" w:color="000000"/>
            </w:tcBorders>
            <w:shd w:val="clear" w:color="auto" w:fill="E2E2E2"/>
            <w:vAlign w:val="bottom"/>
          </w:tcPr>
          <w:p w14:paraId="0BC9906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0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066"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3,146</w:t>
            </w:r>
          </w:p>
        </w:tc>
        <w:tc>
          <w:tcPr>
            <w:tcW w:w="0" w:type="auto"/>
            <w:tcBorders>
              <w:top w:val="single" w:sz="8" w:space="0" w:color="000000"/>
              <w:bottom w:val="single" w:sz="8" w:space="0" w:color="000000"/>
            </w:tcBorders>
            <w:shd w:val="clear" w:color="auto" w:fill="E2E2E2"/>
            <w:vAlign w:val="bottom"/>
          </w:tcPr>
          <w:p w14:paraId="0BC99067" w14:textId="77777777" w:rsidR="009F0928" w:rsidRDefault="009F0928">
            <w:pPr>
              <w:textAlignment w:val="bottom"/>
              <w:rPr>
                <w:rFonts w:ascii="Times New Roman" w:hAnsi="Times New Roman"/>
                <w:sz w:val="20"/>
                <w:szCs w:val="20"/>
              </w:rPr>
            </w:pPr>
          </w:p>
        </w:tc>
      </w:tr>
      <w:tr w:rsidR="009F0928" w14:paraId="0BC99072" w14:textId="77777777">
        <w:trPr>
          <w:jc w:val="center"/>
        </w:trPr>
        <w:tc>
          <w:tcPr>
            <w:tcW w:w="0" w:type="auto"/>
            <w:shd w:val="clear" w:color="auto" w:fill="auto"/>
            <w:tcMar>
              <w:top w:w="40" w:type="dxa"/>
              <w:left w:w="40" w:type="dxa"/>
              <w:bottom w:w="40" w:type="dxa"/>
              <w:right w:w="40" w:type="dxa"/>
            </w:tcMar>
            <w:vAlign w:val="bottom"/>
          </w:tcPr>
          <w:p w14:paraId="0BC99069" w14:textId="77777777" w:rsidR="009F0928" w:rsidRDefault="002112BD">
            <w:pPr>
              <w:textAlignment w:val="bottom"/>
              <w:rPr>
                <w:rFonts w:ascii="Times New Roman" w:hAnsi="Times New Roman"/>
                <w:sz w:val="15"/>
                <w:szCs w:val="15"/>
              </w:rPr>
            </w:pPr>
            <w:r>
              <w:rPr>
                <w:rFonts w:ascii="Arial" w:eastAsia="宋体" w:hAnsi="Arial" w:cs="Arial"/>
                <w:sz w:val="15"/>
                <w:szCs w:val="15"/>
              </w:rPr>
              <w:t>Net cash used in discontinued operating activities</w:t>
            </w:r>
          </w:p>
        </w:tc>
        <w:tc>
          <w:tcPr>
            <w:tcW w:w="0" w:type="auto"/>
            <w:gridSpan w:val="2"/>
            <w:tcBorders>
              <w:bottom w:val="single" w:sz="8" w:space="0" w:color="000000"/>
            </w:tcBorders>
            <w:shd w:val="clear" w:color="auto" w:fill="auto"/>
            <w:tcMar>
              <w:top w:w="40" w:type="dxa"/>
              <w:left w:w="40" w:type="dxa"/>
              <w:bottom w:w="40" w:type="dxa"/>
            </w:tcMar>
            <w:vAlign w:val="bottom"/>
          </w:tcPr>
          <w:p w14:paraId="0BC9906A"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auto"/>
            <w:vAlign w:val="bottom"/>
          </w:tcPr>
          <w:p w14:paraId="0BC9906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06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06D"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w:t>
            </w:r>
          </w:p>
        </w:tc>
        <w:tc>
          <w:tcPr>
            <w:tcW w:w="0" w:type="auto"/>
            <w:tcBorders>
              <w:bottom w:val="single" w:sz="8" w:space="0" w:color="000000"/>
            </w:tcBorders>
            <w:shd w:val="clear" w:color="auto" w:fill="auto"/>
            <w:tcMar>
              <w:top w:w="40" w:type="dxa"/>
              <w:bottom w:w="40" w:type="dxa"/>
              <w:right w:w="40" w:type="dxa"/>
            </w:tcMar>
            <w:vAlign w:val="bottom"/>
          </w:tcPr>
          <w:p w14:paraId="0BC9906E"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0BC9906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070"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auto"/>
            <w:vAlign w:val="bottom"/>
          </w:tcPr>
          <w:p w14:paraId="0BC99071" w14:textId="77777777" w:rsidR="009F0928" w:rsidRDefault="009F0928">
            <w:pPr>
              <w:textAlignment w:val="bottom"/>
              <w:rPr>
                <w:rFonts w:ascii="Times New Roman" w:hAnsi="Times New Roman"/>
                <w:sz w:val="20"/>
                <w:szCs w:val="20"/>
              </w:rPr>
            </w:pPr>
          </w:p>
        </w:tc>
      </w:tr>
      <w:tr w:rsidR="009F0928" w14:paraId="0BC9907C" w14:textId="77777777">
        <w:trPr>
          <w:jc w:val="center"/>
        </w:trPr>
        <w:tc>
          <w:tcPr>
            <w:tcW w:w="0" w:type="auto"/>
            <w:shd w:val="clear" w:color="auto" w:fill="E2E2E2"/>
            <w:tcMar>
              <w:top w:w="40" w:type="dxa"/>
              <w:left w:w="40" w:type="dxa"/>
              <w:bottom w:w="40" w:type="dxa"/>
              <w:right w:w="40" w:type="dxa"/>
            </w:tcMar>
            <w:vAlign w:val="bottom"/>
          </w:tcPr>
          <w:p w14:paraId="0BC99073" w14:textId="77777777" w:rsidR="009F0928" w:rsidRDefault="002112BD">
            <w:pPr>
              <w:textAlignment w:val="bottom"/>
              <w:rPr>
                <w:rFonts w:ascii="Times New Roman" w:hAnsi="Times New Roman"/>
                <w:sz w:val="15"/>
                <w:szCs w:val="15"/>
              </w:rPr>
            </w:pPr>
            <w:r>
              <w:rPr>
                <w:rFonts w:ascii="Arial" w:eastAsia="宋体" w:hAnsi="Arial" w:cs="Arial"/>
                <w:sz w:val="15"/>
                <w:szCs w:val="15"/>
              </w:rPr>
              <w:t>Net cash provided by operating activities</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074"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3,114</w:t>
            </w:r>
          </w:p>
        </w:tc>
        <w:tc>
          <w:tcPr>
            <w:tcW w:w="0" w:type="auto"/>
            <w:tcBorders>
              <w:bottom w:val="single" w:sz="8" w:space="0" w:color="000000"/>
            </w:tcBorders>
            <w:shd w:val="clear" w:color="auto" w:fill="E2E2E2"/>
            <w:vAlign w:val="bottom"/>
          </w:tcPr>
          <w:p w14:paraId="0BC9907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07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077"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2,658</w:t>
            </w:r>
          </w:p>
        </w:tc>
        <w:tc>
          <w:tcPr>
            <w:tcW w:w="0" w:type="auto"/>
            <w:tcBorders>
              <w:bottom w:val="single" w:sz="8" w:space="0" w:color="000000"/>
            </w:tcBorders>
            <w:shd w:val="clear" w:color="auto" w:fill="E2E2E2"/>
            <w:vAlign w:val="bottom"/>
          </w:tcPr>
          <w:p w14:paraId="0BC9907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0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07A"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3,146</w:t>
            </w:r>
          </w:p>
        </w:tc>
        <w:tc>
          <w:tcPr>
            <w:tcW w:w="0" w:type="auto"/>
            <w:tcBorders>
              <w:bottom w:val="single" w:sz="8" w:space="0" w:color="000000"/>
            </w:tcBorders>
            <w:shd w:val="clear" w:color="auto" w:fill="E2E2E2"/>
            <w:vAlign w:val="bottom"/>
          </w:tcPr>
          <w:p w14:paraId="0BC9907B" w14:textId="77777777" w:rsidR="009F0928" w:rsidRDefault="009F0928">
            <w:pPr>
              <w:textAlignment w:val="bottom"/>
              <w:rPr>
                <w:rFonts w:ascii="Times New Roman" w:hAnsi="Times New Roman"/>
                <w:sz w:val="20"/>
                <w:szCs w:val="20"/>
              </w:rPr>
            </w:pPr>
          </w:p>
        </w:tc>
      </w:tr>
      <w:tr w:rsidR="009F0928" w14:paraId="0BC99086" w14:textId="77777777">
        <w:trPr>
          <w:jc w:val="center"/>
        </w:trPr>
        <w:tc>
          <w:tcPr>
            <w:tcW w:w="0" w:type="auto"/>
            <w:shd w:val="clear" w:color="auto" w:fill="auto"/>
            <w:tcMar>
              <w:top w:w="40" w:type="dxa"/>
              <w:left w:w="40" w:type="dxa"/>
              <w:bottom w:w="40" w:type="dxa"/>
              <w:right w:w="40" w:type="dxa"/>
            </w:tcMar>
            <w:vAlign w:val="bottom"/>
          </w:tcPr>
          <w:p w14:paraId="0BC9907D" w14:textId="77777777" w:rsidR="009F0928" w:rsidRDefault="002112BD">
            <w:pPr>
              <w:textAlignment w:val="bottom"/>
              <w:rPr>
                <w:rFonts w:ascii="Times New Roman" w:hAnsi="Times New Roman"/>
                <w:sz w:val="15"/>
                <w:szCs w:val="15"/>
              </w:rPr>
            </w:pPr>
            <w:r>
              <w:rPr>
                <w:rFonts w:ascii="Arial" w:eastAsia="宋体" w:hAnsi="Arial" w:cs="Arial"/>
                <w:sz w:val="15"/>
                <w:szCs w:val="15"/>
              </w:rPr>
              <w:t>Cash flows from investing activities:</w:t>
            </w:r>
          </w:p>
        </w:tc>
        <w:tc>
          <w:tcPr>
            <w:tcW w:w="0" w:type="auto"/>
            <w:gridSpan w:val="2"/>
            <w:shd w:val="clear" w:color="auto" w:fill="auto"/>
            <w:tcMar>
              <w:top w:w="40" w:type="dxa"/>
              <w:left w:w="40" w:type="dxa"/>
              <w:bottom w:w="40" w:type="dxa"/>
            </w:tcMar>
            <w:vAlign w:val="bottom"/>
          </w:tcPr>
          <w:p w14:paraId="0BC9907E"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 </w:t>
            </w:r>
          </w:p>
        </w:tc>
        <w:tc>
          <w:tcPr>
            <w:tcW w:w="0" w:type="auto"/>
            <w:shd w:val="clear" w:color="auto" w:fill="auto"/>
            <w:vAlign w:val="bottom"/>
          </w:tcPr>
          <w:p w14:paraId="0BC9907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08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81"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 </w:t>
            </w:r>
          </w:p>
        </w:tc>
        <w:tc>
          <w:tcPr>
            <w:tcW w:w="0" w:type="auto"/>
            <w:shd w:val="clear" w:color="auto" w:fill="auto"/>
            <w:vAlign w:val="bottom"/>
          </w:tcPr>
          <w:p w14:paraId="0BC9908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08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84"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 </w:t>
            </w:r>
          </w:p>
        </w:tc>
        <w:tc>
          <w:tcPr>
            <w:tcW w:w="0" w:type="auto"/>
            <w:shd w:val="clear" w:color="auto" w:fill="auto"/>
            <w:vAlign w:val="bottom"/>
          </w:tcPr>
          <w:p w14:paraId="0BC99085" w14:textId="77777777" w:rsidR="009F0928" w:rsidRDefault="009F0928">
            <w:pPr>
              <w:textAlignment w:val="bottom"/>
              <w:rPr>
                <w:rFonts w:ascii="Times New Roman" w:hAnsi="Times New Roman"/>
                <w:sz w:val="20"/>
                <w:szCs w:val="20"/>
              </w:rPr>
            </w:pPr>
          </w:p>
        </w:tc>
      </w:tr>
      <w:tr w:rsidR="009F0928" w14:paraId="0BC99090" w14:textId="77777777">
        <w:trPr>
          <w:jc w:val="center"/>
        </w:trPr>
        <w:tc>
          <w:tcPr>
            <w:tcW w:w="0" w:type="auto"/>
            <w:shd w:val="clear" w:color="auto" w:fill="E2E2E2"/>
            <w:tcMar>
              <w:top w:w="40" w:type="dxa"/>
              <w:left w:w="400" w:type="dxa"/>
              <w:bottom w:w="40" w:type="dxa"/>
              <w:right w:w="40" w:type="dxa"/>
            </w:tcMar>
            <w:vAlign w:val="bottom"/>
          </w:tcPr>
          <w:p w14:paraId="0BC99087" w14:textId="77777777" w:rsidR="009F0928" w:rsidRDefault="002112BD">
            <w:pPr>
              <w:textAlignment w:val="bottom"/>
              <w:rPr>
                <w:rFonts w:ascii="Times New Roman" w:hAnsi="Times New Roman"/>
                <w:sz w:val="15"/>
                <w:szCs w:val="15"/>
              </w:rPr>
            </w:pPr>
            <w:r>
              <w:rPr>
                <w:rFonts w:ascii="Arial" w:eastAsia="宋体" w:hAnsi="Arial" w:cs="Arial"/>
                <w:sz w:val="15"/>
                <w:szCs w:val="15"/>
              </w:rPr>
              <w:t>Purchases of property and equipment</w:t>
            </w:r>
          </w:p>
        </w:tc>
        <w:tc>
          <w:tcPr>
            <w:tcW w:w="0" w:type="auto"/>
            <w:gridSpan w:val="2"/>
            <w:shd w:val="clear" w:color="auto" w:fill="E2E2E2"/>
            <w:tcMar>
              <w:top w:w="40" w:type="dxa"/>
              <w:left w:w="40" w:type="dxa"/>
              <w:bottom w:w="40" w:type="dxa"/>
            </w:tcMar>
            <w:vAlign w:val="bottom"/>
          </w:tcPr>
          <w:p w14:paraId="0BC99088"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(554</w:t>
            </w:r>
          </w:p>
        </w:tc>
        <w:tc>
          <w:tcPr>
            <w:tcW w:w="0" w:type="auto"/>
            <w:shd w:val="clear" w:color="auto" w:fill="E2E2E2"/>
            <w:tcMar>
              <w:top w:w="40" w:type="dxa"/>
              <w:bottom w:w="40" w:type="dxa"/>
              <w:right w:w="40" w:type="dxa"/>
            </w:tcMar>
            <w:vAlign w:val="bottom"/>
          </w:tcPr>
          <w:p w14:paraId="0BC99089"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left w:w="40" w:type="dxa"/>
              <w:bottom w:w="40" w:type="dxa"/>
              <w:right w:w="40" w:type="dxa"/>
            </w:tcMar>
            <w:vAlign w:val="bottom"/>
          </w:tcPr>
          <w:p w14:paraId="0BC9908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08B"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(651</w:t>
            </w:r>
          </w:p>
        </w:tc>
        <w:tc>
          <w:tcPr>
            <w:tcW w:w="0" w:type="auto"/>
            <w:shd w:val="clear" w:color="auto" w:fill="E2E2E2"/>
            <w:tcMar>
              <w:top w:w="40" w:type="dxa"/>
              <w:bottom w:w="40" w:type="dxa"/>
              <w:right w:w="40" w:type="dxa"/>
            </w:tcMar>
            <w:vAlign w:val="bottom"/>
          </w:tcPr>
          <w:p w14:paraId="0BC9908C"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left w:w="40" w:type="dxa"/>
              <w:bottom w:w="40" w:type="dxa"/>
              <w:right w:w="40" w:type="dxa"/>
            </w:tcMar>
            <w:vAlign w:val="bottom"/>
          </w:tcPr>
          <w:p w14:paraId="0BC990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08E"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(666</w:t>
            </w:r>
          </w:p>
        </w:tc>
        <w:tc>
          <w:tcPr>
            <w:tcW w:w="0" w:type="auto"/>
            <w:shd w:val="clear" w:color="auto" w:fill="E2E2E2"/>
            <w:tcMar>
              <w:top w:w="40" w:type="dxa"/>
              <w:bottom w:w="40" w:type="dxa"/>
              <w:right w:w="40" w:type="dxa"/>
            </w:tcMar>
            <w:vAlign w:val="bottom"/>
          </w:tcPr>
          <w:p w14:paraId="0BC9908F"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r>
      <w:tr w:rsidR="009F0928" w14:paraId="0BC9909A" w14:textId="77777777">
        <w:trPr>
          <w:jc w:val="center"/>
        </w:trPr>
        <w:tc>
          <w:tcPr>
            <w:tcW w:w="0" w:type="auto"/>
            <w:shd w:val="clear" w:color="auto" w:fill="auto"/>
            <w:tcMar>
              <w:top w:w="40" w:type="dxa"/>
              <w:left w:w="400" w:type="dxa"/>
              <w:bottom w:w="40" w:type="dxa"/>
              <w:right w:w="40" w:type="dxa"/>
            </w:tcMar>
            <w:vAlign w:val="bottom"/>
          </w:tcPr>
          <w:p w14:paraId="0BC99091" w14:textId="77777777" w:rsidR="009F0928" w:rsidRDefault="002112BD">
            <w:pPr>
              <w:textAlignment w:val="bottom"/>
              <w:rPr>
                <w:rFonts w:ascii="Times New Roman" w:hAnsi="Times New Roman"/>
                <w:sz w:val="15"/>
                <w:szCs w:val="15"/>
              </w:rPr>
            </w:pPr>
            <w:r>
              <w:rPr>
                <w:rFonts w:ascii="Arial" w:eastAsia="宋体" w:hAnsi="Arial" w:cs="Arial"/>
                <w:sz w:val="15"/>
                <w:szCs w:val="15"/>
              </w:rPr>
              <w:t>Purchases of investments</w:t>
            </w:r>
          </w:p>
        </w:tc>
        <w:tc>
          <w:tcPr>
            <w:tcW w:w="0" w:type="auto"/>
            <w:gridSpan w:val="2"/>
            <w:shd w:val="clear" w:color="auto" w:fill="auto"/>
            <w:tcMar>
              <w:top w:w="40" w:type="dxa"/>
              <w:left w:w="40" w:type="dxa"/>
              <w:bottom w:w="40" w:type="dxa"/>
            </w:tcMar>
            <w:vAlign w:val="bottom"/>
          </w:tcPr>
          <w:p w14:paraId="0BC99092"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(46,977</w:t>
            </w:r>
          </w:p>
        </w:tc>
        <w:tc>
          <w:tcPr>
            <w:tcW w:w="0" w:type="auto"/>
            <w:shd w:val="clear" w:color="auto" w:fill="auto"/>
            <w:tcMar>
              <w:top w:w="40" w:type="dxa"/>
              <w:bottom w:w="40" w:type="dxa"/>
              <w:right w:w="40" w:type="dxa"/>
            </w:tcMar>
            <w:vAlign w:val="bottom"/>
          </w:tcPr>
          <w:p w14:paraId="0BC99093"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0BC9909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95"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(28,115</w:t>
            </w:r>
          </w:p>
        </w:tc>
        <w:tc>
          <w:tcPr>
            <w:tcW w:w="0" w:type="auto"/>
            <w:shd w:val="clear" w:color="auto" w:fill="auto"/>
            <w:tcMar>
              <w:top w:w="40" w:type="dxa"/>
              <w:bottom w:w="40" w:type="dxa"/>
              <w:right w:w="40" w:type="dxa"/>
            </w:tcMar>
            <w:vAlign w:val="bottom"/>
          </w:tcPr>
          <w:p w14:paraId="0BC99096"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0BC990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98"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(14,599</w:t>
            </w:r>
          </w:p>
        </w:tc>
        <w:tc>
          <w:tcPr>
            <w:tcW w:w="0" w:type="auto"/>
            <w:shd w:val="clear" w:color="auto" w:fill="auto"/>
            <w:tcMar>
              <w:top w:w="40" w:type="dxa"/>
              <w:bottom w:w="40" w:type="dxa"/>
              <w:right w:w="40" w:type="dxa"/>
            </w:tcMar>
            <w:vAlign w:val="bottom"/>
          </w:tcPr>
          <w:p w14:paraId="0BC99099"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r>
      <w:tr w:rsidR="009F0928" w14:paraId="0BC990A4" w14:textId="77777777">
        <w:trPr>
          <w:jc w:val="center"/>
        </w:trPr>
        <w:tc>
          <w:tcPr>
            <w:tcW w:w="0" w:type="auto"/>
            <w:shd w:val="clear" w:color="auto" w:fill="E2E2E2"/>
            <w:tcMar>
              <w:top w:w="40" w:type="dxa"/>
              <w:left w:w="400" w:type="dxa"/>
              <w:bottom w:w="40" w:type="dxa"/>
              <w:right w:w="40" w:type="dxa"/>
            </w:tcMar>
            <w:vAlign w:val="bottom"/>
          </w:tcPr>
          <w:p w14:paraId="0BC9909B" w14:textId="77777777" w:rsidR="009F0928" w:rsidRDefault="002112BD">
            <w:pPr>
              <w:textAlignment w:val="bottom"/>
              <w:rPr>
                <w:rFonts w:ascii="Times New Roman" w:hAnsi="Times New Roman"/>
                <w:sz w:val="15"/>
                <w:szCs w:val="15"/>
              </w:rPr>
            </w:pPr>
            <w:r>
              <w:rPr>
                <w:rFonts w:ascii="Arial" w:eastAsia="宋体" w:hAnsi="Arial" w:cs="Arial"/>
                <w:sz w:val="15"/>
                <w:szCs w:val="15"/>
              </w:rPr>
              <w:t>Maturities and sales of investments</w:t>
            </w:r>
          </w:p>
        </w:tc>
        <w:tc>
          <w:tcPr>
            <w:tcW w:w="0" w:type="auto"/>
            <w:gridSpan w:val="2"/>
            <w:shd w:val="clear" w:color="auto" w:fill="E2E2E2"/>
            <w:tcMar>
              <w:top w:w="40" w:type="dxa"/>
              <w:left w:w="40" w:type="dxa"/>
              <w:bottom w:w="40" w:type="dxa"/>
            </w:tcMar>
            <w:vAlign w:val="bottom"/>
          </w:tcPr>
          <w:p w14:paraId="0BC9909C"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50,548</w:t>
            </w:r>
          </w:p>
        </w:tc>
        <w:tc>
          <w:tcPr>
            <w:tcW w:w="0" w:type="auto"/>
            <w:shd w:val="clear" w:color="auto" w:fill="E2E2E2"/>
            <w:vAlign w:val="bottom"/>
          </w:tcPr>
          <w:p w14:paraId="0BC9909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09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09F"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30,901</w:t>
            </w:r>
          </w:p>
        </w:tc>
        <w:tc>
          <w:tcPr>
            <w:tcW w:w="0" w:type="auto"/>
            <w:shd w:val="clear" w:color="auto" w:fill="E2E2E2"/>
            <w:vAlign w:val="bottom"/>
          </w:tcPr>
          <w:p w14:paraId="0BC990A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0A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0A2"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14,520</w:t>
            </w:r>
          </w:p>
        </w:tc>
        <w:tc>
          <w:tcPr>
            <w:tcW w:w="0" w:type="auto"/>
            <w:shd w:val="clear" w:color="auto" w:fill="E2E2E2"/>
            <w:vAlign w:val="bottom"/>
          </w:tcPr>
          <w:p w14:paraId="0BC990A3" w14:textId="77777777" w:rsidR="009F0928" w:rsidRDefault="009F0928">
            <w:pPr>
              <w:textAlignment w:val="bottom"/>
              <w:rPr>
                <w:rFonts w:ascii="Times New Roman" w:hAnsi="Times New Roman"/>
                <w:sz w:val="20"/>
                <w:szCs w:val="20"/>
              </w:rPr>
            </w:pPr>
          </w:p>
        </w:tc>
      </w:tr>
      <w:tr w:rsidR="009F0928" w14:paraId="0BC990AE" w14:textId="77777777">
        <w:trPr>
          <w:jc w:val="center"/>
        </w:trPr>
        <w:tc>
          <w:tcPr>
            <w:tcW w:w="0" w:type="auto"/>
            <w:shd w:val="clear" w:color="auto" w:fill="auto"/>
            <w:tcMar>
              <w:top w:w="40" w:type="dxa"/>
              <w:left w:w="400" w:type="dxa"/>
              <w:bottom w:w="40" w:type="dxa"/>
              <w:right w:w="40" w:type="dxa"/>
            </w:tcMar>
            <w:vAlign w:val="bottom"/>
          </w:tcPr>
          <w:p w14:paraId="0BC990A5" w14:textId="77777777" w:rsidR="009F0928" w:rsidRDefault="002112BD">
            <w:pPr>
              <w:textAlignment w:val="bottom"/>
              <w:rPr>
                <w:rFonts w:ascii="Times New Roman" w:hAnsi="Times New Roman"/>
                <w:sz w:val="15"/>
                <w:szCs w:val="15"/>
              </w:rPr>
            </w:pPr>
            <w:r>
              <w:rPr>
                <w:rFonts w:ascii="Arial" w:eastAsia="宋体" w:hAnsi="Arial" w:cs="Arial"/>
                <w:sz w:val="15"/>
                <w:szCs w:val="15"/>
              </w:rPr>
              <w:t>Equity investment in Flipkart</w:t>
            </w:r>
          </w:p>
        </w:tc>
        <w:tc>
          <w:tcPr>
            <w:tcW w:w="0" w:type="auto"/>
            <w:gridSpan w:val="2"/>
            <w:shd w:val="clear" w:color="auto" w:fill="auto"/>
            <w:tcMar>
              <w:top w:w="40" w:type="dxa"/>
              <w:left w:w="40" w:type="dxa"/>
              <w:bottom w:w="40" w:type="dxa"/>
            </w:tcMar>
            <w:vAlign w:val="bottom"/>
          </w:tcPr>
          <w:p w14:paraId="0BC990A6"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0BC990A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0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A9"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0BC990A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0A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AC"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(514</w:t>
            </w:r>
          </w:p>
        </w:tc>
        <w:tc>
          <w:tcPr>
            <w:tcW w:w="0" w:type="auto"/>
            <w:shd w:val="clear" w:color="auto" w:fill="auto"/>
            <w:tcMar>
              <w:top w:w="40" w:type="dxa"/>
              <w:bottom w:w="40" w:type="dxa"/>
              <w:right w:w="40" w:type="dxa"/>
            </w:tcMar>
            <w:vAlign w:val="bottom"/>
          </w:tcPr>
          <w:p w14:paraId="0BC990AD"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r>
      <w:tr w:rsidR="009F0928" w14:paraId="0BC990B8" w14:textId="77777777">
        <w:trPr>
          <w:jc w:val="center"/>
        </w:trPr>
        <w:tc>
          <w:tcPr>
            <w:tcW w:w="0" w:type="auto"/>
            <w:shd w:val="clear" w:color="auto" w:fill="E2E2E2"/>
            <w:tcMar>
              <w:top w:w="40" w:type="dxa"/>
              <w:left w:w="400" w:type="dxa"/>
              <w:bottom w:w="40" w:type="dxa"/>
              <w:right w:w="40" w:type="dxa"/>
            </w:tcMar>
            <w:vAlign w:val="bottom"/>
          </w:tcPr>
          <w:p w14:paraId="0BC990AF" w14:textId="77777777" w:rsidR="009F0928" w:rsidRDefault="002112BD">
            <w:pPr>
              <w:textAlignment w:val="bottom"/>
              <w:rPr>
                <w:rFonts w:ascii="Times New Roman" w:hAnsi="Times New Roman"/>
                <w:sz w:val="15"/>
                <w:szCs w:val="15"/>
              </w:rPr>
            </w:pPr>
            <w:r>
              <w:rPr>
                <w:rFonts w:ascii="Arial" w:eastAsia="宋体" w:hAnsi="Arial" w:cs="Arial"/>
                <w:sz w:val="15"/>
                <w:szCs w:val="15"/>
              </w:rPr>
              <w:t xml:space="preserve">Equity </w:t>
            </w:r>
            <w:r>
              <w:rPr>
                <w:rFonts w:ascii="Arial" w:eastAsia="宋体" w:hAnsi="Arial" w:cs="Arial"/>
                <w:sz w:val="15"/>
                <w:szCs w:val="15"/>
              </w:rPr>
              <w:t>investment in Paytm Mall</w:t>
            </w:r>
          </w:p>
        </w:tc>
        <w:tc>
          <w:tcPr>
            <w:tcW w:w="0" w:type="auto"/>
            <w:gridSpan w:val="2"/>
            <w:shd w:val="clear" w:color="auto" w:fill="E2E2E2"/>
            <w:tcMar>
              <w:top w:w="40" w:type="dxa"/>
              <w:left w:w="40" w:type="dxa"/>
              <w:bottom w:w="40" w:type="dxa"/>
            </w:tcMar>
            <w:vAlign w:val="bottom"/>
          </w:tcPr>
          <w:p w14:paraId="0BC990B0"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(160</w:t>
            </w:r>
          </w:p>
        </w:tc>
        <w:tc>
          <w:tcPr>
            <w:tcW w:w="0" w:type="auto"/>
            <w:shd w:val="clear" w:color="auto" w:fill="E2E2E2"/>
            <w:tcMar>
              <w:top w:w="40" w:type="dxa"/>
              <w:bottom w:w="40" w:type="dxa"/>
              <w:right w:w="40" w:type="dxa"/>
            </w:tcMar>
            <w:vAlign w:val="bottom"/>
          </w:tcPr>
          <w:p w14:paraId="0BC990B1"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left w:w="40" w:type="dxa"/>
              <w:bottom w:w="40" w:type="dxa"/>
              <w:right w:w="40" w:type="dxa"/>
            </w:tcMar>
            <w:vAlign w:val="bottom"/>
          </w:tcPr>
          <w:p w14:paraId="0BC990B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0B3"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vAlign w:val="bottom"/>
          </w:tcPr>
          <w:p w14:paraId="0BC990B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0B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0B6"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vAlign w:val="bottom"/>
          </w:tcPr>
          <w:p w14:paraId="0BC990B7" w14:textId="77777777" w:rsidR="009F0928" w:rsidRDefault="009F0928">
            <w:pPr>
              <w:textAlignment w:val="bottom"/>
              <w:rPr>
                <w:rFonts w:ascii="Times New Roman" w:hAnsi="Times New Roman"/>
                <w:sz w:val="20"/>
                <w:szCs w:val="20"/>
              </w:rPr>
            </w:pPr>
          </w:p>
        </w:tc>
      </w:tr>
      <w:tr w:rsidR="009F0928" w14:paraId="0BC990C2" w14:textId="77777777">
        <w:trPr>
          <w:jc w:val="center"/>
        </w:trPr>
        <w:tc>
          <w:tcPr>
            <w:tcW w:w="0" w:type="auto"/>
            <w:shd w:val="clear" w:color="auto" w:fill="auto"/>
            <w:tcMar>
              <w:top w:w="40" w:type="dxa"/>
              <w:left w:w="400" w:type="dxa"/>
              <w:bottom w:w="40" w:type="dxa"/>
              <w:right w:w="40" w:type="dxa"/>
            </w:tcMar>
            <w:vAlign w:val="bottom"/>
          </w:tcPr>
          <w:p w14:paraId="0BC990B9" w14:textId="77777777" w:rsidR="009F0928" w:rsidRDefault="002112BD">
            <w:pPr>
              <w:textAlignment w:val="bottom"/>
              <w:rPr>
                <w:rFonts w:ascii="Times New Roman" w:hAnsi="Times New Roman"/>
                <w:sz w:val="15"/>
                <w:szCs w:val="15"/>
              </w:rPr>
            </w:pPr>
            <w:r>
              <w:rPr>
                <w:rFonts w:ascii="Arial" w:eastAsia="宋体" w:hAnsi="Arial" w:cs="Arial"/>
                <w:sz w:val="15"/>
                <w:szCs w:val="15"/>
              </w:rPr>
              <w:t>Proceeds from sale of equity investment in Flipkart</w:t>
            </w:r>
          </w:p>
        </w:tc>
        <w:tc>
          <w:tcPr>
            <w:tcW w:w="0" w:type="auto"/>
            <w:gridSpan w:val="2"/>
            <w:shd w:val="clear" w:color="auto" w:fill="auto"/>
            <w:tcMar>
              <w:top w:w="40" w:type="dxa"/>
              <w:left w:w="40" w:type="dxa"/>
              <w:bottom w:w="40" w:type="dxa"/>
            </w:tcMar>
            <w:vAlign w:val="bottom"/>
          </w:tcPr>
          <w:p w14:paraId="0BC990BA"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0BC990B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0B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BD"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1,029</w:t>
            </w:r>
          </w:p>
        </w:tc>
        <w:tc>
          <w:tcPr>
            <w:tcW w:w="0" w:type="auto"/>
            <w:shd w:val="clear" w:color="auto" w:fill="auto"/>
            <w:vAlign w:val="bottom"/>
          </w:tcPr>
          <w:p w14:paraId="0BC990B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0B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C0"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0BC990C1" w14:textId="77777777" w:rsidR="009F0928" w:rsidRDefault="009F0928">
            <w:pPr>
              <w:textAlignment w:val="bottom"/>
              <w:rPr>
                <w:rFonts w:ascii="Times New Roman" w:hAnsi="Times New Roman"/>
                <w:sz w:val="20"/>
                <w:szCs w:val="20"/>
              </w:rPr>
            </w:pPr>
          </w:p>
        </w:tc>
      </w:tr>
      <w:tr w:rsidR="009F0928" w14:paraId="0BC990CC" w14:textId="77777777">
        <w:trPr>
          <w:jc w:val="center"/>
        </w:trPr>
        <w:tc>
          <w:tcPr>
            <w:tcW w:w="0" w:type="auto"/>
            <w:shd w:val="clear" w:color="auto" w:fill="E2E2E2"/>
            <w:tcMar>
              <w:top w:w="40" w:type="dxa"/>
              <w:left w:w="400" w:type="dxa"/>
              <w:bottom w:w="40" w:type="dxa"/>
              <w:right w:w="40" w:type="dxa"/>
            </w:tcMar>
            <w:vAlign w:val="bottom"/>
          </w:tcPr>
          <w:p w14:paraId="0BC990C3" w14:textId="77777777" w:rsidR="009F0928" w:rsidRDefault="002112BD">
            <w:pPr>
              <w:textAlignment w:val="bottom"/>
              <w:rPr>
                <w:rFonts w:ascii="Times New Roman" w:hAnsi="Times New Roman"/>
                <w:sz w:val="15"/>
                <w:szCs w:val="15"/>
              </w:rPr>
            </w:pPr>
            <w:r>
              <w:rPr>
                <w:rFonts w:ascii="Arial" w:eastAsia="宋体" w:hAnsi="Arial" w:cs="Arial"/>
                <w:sz w:val="15"/>
                <w:szCs w:val="15"/>
              </w:rPr>
              <w:t>Acquisitions, net of cash acquired</w:t>
            </w:r>
          </w:p>
        </w:tc>
        <w:tc>
          <w:tcPr>
            <w:tcW w:w="0" w:type="auto"/>
            <w:gridSpan w:val="2"/>
            <w:shd w:val="clear" w:color="auto" w:fill="E2E2E2"/>
            <w:tcMar>
              <w:top w:w="40" w:type="dxa"/>
              <w:left w:w="40" w:type="dxa"/>
              <w:bottom w:w="40" w:type="dxa"/>
            </w:tcMar>
            <w:vAlign w:val="bottom"/>
          </w:tcPr>
          <w:p w14:paraId="0BC990C4"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(93</w:t>
            </w:r>
          </w:p>
        </w:tc>
        <w:tc>
          <w:tcPr>
            <w:tcW w:w="0" w:type="auto"/>
            <w:shd w:val="clear" w:color="auto" w:fill="E2E2E2"/>
            <w:tcMar>
              <w:top w:w="40" w:type="dxa"/>
              <w:bottom w:w="40" w:type="dxa"/>
              <w:right w:w="40" w:type="dxa"/>
            </w:tcMar>
            <w:vAlign w:val="bottom"/>
          </w:tcPr>
          <w:p w14:paraId="0BC990C5"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left w:w="40" w:type="dxa"/>
              <w:bottom w:w="40" w:type="dxa"/>
              <w:right w:w="40" w:type="dxa"/>
            </w:tcMar>
            <w:vAlign w:val="bottom"/>
          </w:tcPr>
          <w:p w14:paraId="0BC990C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0C7"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(302</w:t>
            </w:r>
          </w:p>
        </w:tc>
        <w:tc>
          <w:tcPr>
            <w:tcW w:w="0" w:type="auto"/>
            <w:shd w:val="clear" w:color="auto" w:fill="E2E2E2"/>
            <w:tcMar>
              <w:top w:w="40" w:type="dxa"/>
              <w:bottom w:w="40" w:type="dxa"/>
              <w:right w:w="40" w:type="dxa"/>
            </w:tcMar>
            <w:vAlign w:val="bottom"/>
          </w:tcPr>
          <w:p w14:paraId="0BC990C8"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left w:w="40" w:type="dxa"/>
              <w:bottom w:w="40" w:type="dxa"/>
              <w:right w:w="40" w:type="dxa"/>
            </w:tcMar>
            <w:vAlign w:val="bottom"/>
          </w:tcPr>
          <w:p w14:paraId="0BC990C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0CA"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(34</w:t>
            </w:r>
          </w:p>
        </w:tc>
        <w:tc>
          <w:tcPr>
            <w:tcW w:w="0" w:type="auto"/>
            <w:shd w:val="clear" w:color="auto" w:fill="E2E2E2"/>
            <w:tcMar>
              <w:top w:w="40" w:type="dxa"/>
              <w:bottom w:w="40" w:type="dxa"/>
              <w:right w:w="40" w:type="dxa"/>
            </w:tcMar>
            <w:vAlign w:val="bottom"/>
          </w:tcPr>
          <w:p w14:paraId="0BC990CB"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r>
      <w:tr w:rsidR="009F0928" w14:paraId="0BC990D6" w14:textId="77777777">
        <w:trPr>
          <w:jc w:val="center"/>
        </w:trPr>
        <w:tc>
          <w:tcPr>
            <w:tcW w:w="0" w:type="auto"/>
            <w:shd w:val="clear" w:color="auto" w:fill="auto"/>
            <w:tcMar>
              <w:top w:w="40" w:type="dxa"/>
              <w:left w:w="400" w:type="dxa"/>
              <w:bottom w:w="40" w:type="dxa"/>
              <w:right w:w="40" w:type="dxa"/>
            </w:tcMar>
            <w:vAlign w:val="bottom"/>
          </w:tcPr>
          <w:p w14:paraId="0BC990CD" w14:textId="77777777" w:rsidR="009F0928" w:rsidRDefault="002112BD">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0BC990CE"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23</w:t>
            </w:r>
          </w:p>
        </w:tc>
        <w:tc>
          <w:tcPr>
            <w:tcW w:w="0" w:type="auto"/>
            <w:tcBorders>
              <w:bottom w:val="single" w:sz="8" w:space="0" w:color="000000"/>
            </w:tcBorders>
            <w:shd w:val="clear" w:color="auto" w:fill="auto"/>
            <w:vAlign w:val="bottom"/>
          </w:tcPr>
          <w:p w14:paraId="0BC990C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0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0D1"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32</w:t>
            </w:r>
          </w:p>
        </w:tc>
        <w:tc>
          <w:tcPr>
            <w:tcW w:w="0" w:type="auto"/>
            <w:tcBorders>
              <w:bottom w:val="single" w:sz="8" w:space="0" w:color="000000"/>
            </w:tcBorders>
            <w:shd w:val="clear" w:color="auto" w:fill="auto"/>
            <w:vAlign w:val="bottom"/>
          </w:tcPr>
          <w:p w14:paraId="0BC990D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0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0D4"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w:t>
            </w:r>
          </w:p>
        </w:tc>
        <w:tc>
          <w:tcPr>
            <w:tcW w:w="0" w:type="auto"/>
            <w:tcBorders>
              <w:bottom w:val="single" w:sz="8" w:space="0" w:color="000000"/>
            </w:tcBorders>
            <w:shd w:val="clear" w:color="auto" w:fill="auto"/>
            <w:tcMar>
              <w:top w:w="40" w:type="dxa"/>
              <w:bottom w:w="40" w:type="dxa"/>
              <w:right w:w="40" w:type="dxa"/>
            </w:tcMar>
            <w:vAlign w:val="bottom"/>
          </w:tcPr>
          <w:p w14:paraId="0BC990D5"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r>
      <w:tr w:rsidR="009F0928" w14:paraId="0BC990E0" w14:textId="77777777">
        <w:trPr>
          <w:jc w:val="center"/>
        </w:trPr>
        <w:tc>
          <w:tcPr>
            <w:tcW w:w="0" w:type="auto"/>
            <w:shd w:val="clear" w:color="auto" w:fill="E2E2E2"/>
            <w:tcMar>
              <w:top w:w="40" w:type="dxa"/>
              <w:left w:w="40" w:type="dxa"/>
              <w:bottom w:w="40" w:type="dxa"/>
              <w:right w:w="40" w:type="dxa"/>
            </w:tcMar>
            <w:vAlign w:val="bottom"/>
          </w:tcPr>
          <w:p w14:paraId="0BC990D7" w14:textId="77777777" w:rsidR="009F0928" w:rsidRDefault="002112BD">
            <w:pPr>
              <w:textAlignment w:val="bottom"/>
              <w:rPr>
                <w:rFonts w:ascii="Times New Roman" w:hAnsi="Times New Roman"/>
                <w:sz w:val="15"/>
                <w:szCs w:val="15"/>
              </w:rPr>
            </w:pPr>
            <w:r>
              <w:rPr>
                <w:rFonts w:ascii="Arial" w:eastAsia="宋体" w:hAnsi="Arial" w:cs="Arial"/>
                <w:sz w:val="15"/>
                <w:szCs w:val="15"/>
              </w:rPr>
              <w:t xml:space="preserve">Net cash provided by (used in) investing </w:t>
            </w:r>
            <w:r>
              <w:rPr>
                <w:rFonts w:ascii="Arial" w:eastAsia="宋体" w:hAnsi="Arial" w:cs="Arial"/>
                <w:sz w:val="15"/>
                <w:szCs w:val="15"/>
              </w:rPr>
              <w:t>activities</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0D8"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2,787</w:t>
            </w:r>
          </w:p>
        </w:tc>
        <w:tc>
          <w:tcPr>
            <w:tcW w:w="0" w:type="auto"/>
            <w:tcBorders>
              <w:bottom w:val="single" w:sz="8" w:space="0" w:color="000000"/>
            </w:tcBorders>
            <w:shd w:val="clear" w:color="auto" w:fill="E2E2E2"/>
            <w:vAlign w:val="bottom"/>
          </w:tcPr>
          <w:p w14:paraId="0BC990D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0D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0DB"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2,894</w:t>
            </w:r>
          </w:p>
        </w:tc>
        <w:tc>
          <w:tcPr>
            <w:tcW w:w="0" w:type="auto"/>
            <w:tcBorders>
              <w:bottom w:val="single" w:sz="8" w:space="0" w:color="000000"/>
            </w:tcBorders>
            <w:shd w:val="clear" w:color="auto" w:fill="E2E2E2"/>
            <w:vAlign w:val="bottom"/>
          </w:tcPr>
          <w:p w14:paraId="0BC990D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0D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0DE"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(1,295</w:t>
            </w:r>
          </w:p>
        </w:tc>
        <w:tc>
          <w:tcPr>
            <w:tcW w:w="0" w:type="auto"/>
            <w:tcBorders>
              <w:bottom w:val="single" w:sz="8" w:space="0" w:color="000000"/>
            </w:tcBorders>
            <w:shd w:val="clear" w:color="auto" w:fill="E2E2E2"/>
            <w:tcMar>
              <w:top w:w="40" w:type="dxa"/>
              <w:bottom w:w="40" w:type="dxa"/>
              <w:right w:w="40" w:type="dxa"/>
            </w:tcMar>
            <w:vAlign w:val="bottom"/>
          </w:tcPr>
          <w:p w14:paraId="0BC990DF"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r>
      <w:tr w:rsidR="009F0928" w14:paraId="0BC990EA" w14:textId="77777777">
        <w:trPr>
          <w:jc w:val="center"/>
        </w:trPr>
        <w:tc>
          <w:tcPr>
            <w:tcW w:w="0" w:type="auto"/>
            <w:shd w:val="clear" w:color="auto" w:fill="auto"/>
            <w:tcMar>
              <w:top w:w="40" w:type="dxa"/>
              <w:left w:w="40" w:type="dxa"/>
              <w:bottom w:w="40" w:type="dxa"/>
              <w:right w:w="40" w:type="dxa"/>
            </w:tcMar>
            <w:vAlign w:val="bottom"/>
          </w:tcPr>
          <w:p w14:paraId="0BC990E1" w14:textId="77777777" w:rsidR="009F0928" w:rsidRDefault="002112BD">
            <w:pPr>
              <w:textAlignment w:val="bottom"/>
              <w:rPr>
                <w:rFonts w:ascii="Times New Roman" w:hAnsi="Times New Roman"/>
                <w:sz w:val="15"/>
                <w:szCs w:val="15"/>
              </w:rPr>
            </w:pPr>
            <w:r>
              <w:rPr>
                <w:rFonts w:ascii="Arial" w:eastAsia="宋体" w:hAnsi="Arial" w:cs="Arial"/>
                <w:sz w:val="15"/>
                <w:szCs w:val="15"/>
              </w:rPr>
              <w:t>Cash flows from financing activities:</w:t>
            </w:r>
          </w:p>
        </w:tc>
        <w:tc>
          <w:tcPr>
            <w:tcW w:w="0" w:type="auto"/>
            <w:gridSpan w:val="2"/>
            <w:shd w:val="clear" w:color="auto" w:fill="auto"/>
            <w:tcMar>
              <w:top w:w="40" w:type="dxa"/>
              <w:left w:w="40" w:type="dxa"/>
              <w:bottom w:w="40" w:type="dxa"/>
            </w:tcMar>
            <w:vAlign w:val="bottom"/>
          </w:tcPr>
          <w:p w14:paraId="0BC990E2"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 </w:t>
            </w:r>
          </w:p>
        </w:tc>
        <w:tc>
          <w:tcPr>
            <w:tcW w:w="0" w:type="auto"/>
            <w:shd w:val="clear" w:color="auto" w:fill="auto"/>
            <w:vAlign w:val="bottom"/>
          </w:tcPr>
          <w:p w14:paraId="0BC990E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0E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E5"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 </w:t>
            </w:r>
          </w:p>
        </w:tc>
        <w:tc>
          <w:tcPr>
            <w:tcW w:w="0" w:type="auto"/>
            <w:shd w:val="clear" w:color="auto" w:fill="auto"/>
            <w:vAlign w:val="bottom"/>
          </w:tcPr>
          <w:p w14:paraId="0BC990E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0E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E8"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 </w:t>
            </w:r>
          </w:p>
        </w:tc>
        <w:tc>
          <w:tcPr>
            <w:tcW w:w="0" w:type="auto"/>
            <w:shd w:val="clear" w:color="auto" w:fill="auto"/>
            <w:vAlign w:val="bottom"/>
          </w:tcPr>
          <w:p w14:paraId="0BC990E9" w14:textId="77777777" w:rsidR="009F0928" w:rsidRDefault="009F0928">
            <w:pPr>
              <w:textAlignment w:val="bottom"/>
              <w:rPr>
                <w:rFonts w:ascii="Times New Roman" w:hAnsi="Times New Roman"/>
                <w:sz w:val="20"/>
                <w:szCs w:val="20"/>
              </w:rPr>
            </w:pPr>
          </w:p>
        </w:tc>
      </w:tr>
      <w:tr w:rsidR="009F0928" w14:paraId="0BC990F4" w14:textId="77777777">
        <w:trPr>
          <w:jc w:val="center"/>
        </w:trPr>
        <w:tc>
          <w:tcPr>
            <w:tcW w:w="0" w:type="auto"/>
            <w:shd w:val="clear" w:color="auto" w:fill="E2E2E2"/>
            <w:tcMar>
              <w:top w:w="40" w:type="dxa"/>
              <w:left w:w="400" w:type="dxa"/>
              <w:bottom w:w="40" w:type="dxa"/>
              <w:right w:w="40" w:type="dxa"/>
            </w:tcMar>
            <w:vAlign w:val="bottom"/>
          </w:tcPr>
          <w:p w14:paraId="0BC990EB" w14:textId="77777777" w:rsidR="009F0928" w:rsidRDefault="002112BD">
            <w:pPr>
              <w:textAlignment w:val="bottom"/>
              <w:rPr>
                <w:rFonts w:ascii="Times New Roman" w:hAnsi="Times New Roman"/>
                <w:sz w:val="15"/>
                <w:szCs w:val="15"/>
              </w:rPr>
            </w:pPr>
            <w:r>
              <w:rPr>
                <w:rFonts w:ascii="Arial" w:eastAsia="宋体" w:hAnsi="Arial" w:cs="Arial"/>
                <w:sz w:val="15"/>
                <w:szCs w:val="15"/>
              </w:rPr>
              <w:t>Proceeds from issuance of common stock</w:t>
            </w:r>
          </w:p>
        </w:tc>
        <w:tc>
          <w:tcPr>
            <w:tcW w:w="0" w:type="auto"/>
            <w:gridSpan w:val="2"/>
            <w:shd w:val="clear" w:color="auto" w:fill="E2E2E2"/>
            <w:tcMar>
              <w:top w:w="40" w:type="dxa"/>
              <w:left w:w="40" w:type="dxa"/>
              <w:bottom w:w="40" w:type="dxa"/>
            </w:tcMar>
            <w:vAlign w:val="bottom"/>
          </w:tcPr>
          <w:p w14:paraId="0BC990EC"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106</w:t>
            </w:r>
          </w:p>
        </w:tc>
        <w:tc>
          <w:tcPr>
            <w:tcW w:w="0" w:type="auto"/>
            <w:shd w:val="clear" w:color="auto" w:fill="E2E2E2"/>
            <w:vAlign w:val="bottom"/>
          </w:tcPr>
          <w:p w14:paraId="0BC990E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0E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0EF"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109</w:t>
            </w:r>
          </w:p>
        </w:tc>
        <w:tc>
          <w:tcPr>
            <w:tcW w:w="0" w:type="auto"/>
            <w:shd w:val="clear" w:color="auto" w:fill="E2E2E2"/>
            <w:vAlign w:val="bottom"/>
          </w:tcPr>
          <w:p w14:paraId="0BC990F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0F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0F2"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120</w:t>
            </w:r>
          </w:p>
        </w:tc>
        <w:tc>
          <w:tcPr>
            <w:tcW w:w="0" w:type="auto"/>
            <w:shd w:val="clear" w:color="auto" w:fill="E2E2E2"/>
            <w:vAlign w:val="bottom"/>
          </w:tcPr>
          <w:p w14:paraId="0BC990F3" w14:textId="77777777" w:rsidR="009F0928" w:rsidRDefault="009F0928">
            <w:pPr>
              <w:textAlignment w:val="bottom"/>
              <w:rPr>
                <w:rFonts w:ascii="Times New Roman" w:hAnsi="Times New Roman"/>
                <w:sz w:val="20"/>
                <w:szCs w:val="20"/>
              </w:rPr>
            </w:pPr>
          </w:p>
        </w:tc>
      </w:tr>
      <w:tr w:rsidR="009F0928" w14:paraId="0BC990FE" w14:textId="77777777">
        <w:trPr>
          <w:jc w:val="center"/>
        </w:trPr>
        <w:tc>
          <w:tcPr>
            <w:tcW w:w="0" w:type="auto"/>
            <w:shd w:val="clear" w:color="auto" w:fill="auto"/>
            <w:tcMar>
              <w:top w:w="40" w:type="dxa"/>
              <w:left w:w="400" w:type="dxa"/>
              <w:bottom w:w="40" w:type="dxa"/>
              <w:right w:w="40" w:type="dxa"/>
            </w:tcMar>
            <w:vAlign w:val="bottom"/>
          </w:tcPr>
          <w:p w14:paraId="0BC990F5" w14:textId="77777777" w:rsidR="009F0928" w:rsidRDefault="002112BD">
            <w:pPr>
              <w:textAlignment w:val="bottom"/>
              <w:rPr>
                <w:rFonts w:ascii="Times New Roman" w:hAnsi="Times New Roman"/>
                <w:sz w:val="15"/>
                <w:szCs w:val="15"/>
              </w:rPr>
            </w:pPr>
            <w:r>
              <w:rPr>
                <w:rFonts w:ascii="Arial" w:eastAsia="宋体" w:hAnsi="Arial" w:cs="Arial"/>
                <w:sz w:val="15"/>
                <w:szCs w:val="15"/>
              </w:rPr>
              <w:t>Repurchases of common stock</w:t>
            </w:r>
          </w:p>
        </w:tc>
        <w:tc>
          <w:tcPr>
            <w:tcW w:w="0" w:type="auto"/>
            <w:gridSpan w:val="2"/>
            <w:shd w:val="clear" w:color="auto" w:fill="auto"/>
            <w:tcMar>
              <w:top w:w="40" w:type="dxa"/>
              <w:left w:w="40" w:type="dxa"/>
              <w:bottom w:w="40" w:type="dxa"/>
            </w:tcMar>
            <w:vAlign w:val="bottom"/>
          </w:tcPr>
          <w:p w14:paraId="0BC990F6"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(4,973</w:t>
            </w:r>
          </w:p>
        </w:tc>
        <w:tc>
          <w:tcPr>
            <w:tcW w:w="0" w:type="auto"/>
            <w:shd w:val="clear" w:color="auto" w:fill="auto"/>
            <w:tcMar>
              <w:top w:w="40" w:type="dxa"/>
              <w:bottom w:w="40" w:type="dxa"/>
              <w:right w:w="40" w:type="dxa"/>
            </w:tcMar>
            <w:vAlign w:val="bottom"/>
          </w:tcPr>
          <w:p w14:paraId="0BC990F7"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0BC990F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F9"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(4,502</w:t>
            </w:r>
          </w:p>
        </w:tc>
        <w:tc>
          <w:tcPr>
            <w:tcW w:w="0" w:type="auto"/>
            <w:shd w:val="clear" w:color="auto" w:fill="auto"/>
            <w:tcMar>
              <w:top w:w="40" w:type="dxa"/>
              <w:bottom w:w="40" w:type="dxa"/>
              <w:right w:w="40" w:type="dxa"/>
            </w:tcMar>
            <w:vAlign w:val="bottom"/>
          </w:tcPr>
          <w:p w14:paraId="0BC990FA"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0BC990F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0FC"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(2,746</w:t>
            </w:r>
          </w:p>
        </w:tc>
        <w:tc>
          <w:tcPr>
            <w:tcW w:w="0" w:type="auto"/>
            <w:shd w:val="clear" w:color="auto" w:fill="auto"/>
            <w:tcMar>
              <w:top w:w="40" w:type="dxa"/>
              <w:bottom w:w="40" w:type="dxa"/>
              <w:right w:w="40" w:type="dxa"/>
            </w:tcMar>
            <w:vAlign w:val="bottom"/>
          </w:tcPr>
          <w:p w14:paraId="0BC990FD"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r>
      <w:tr w:rsidR="009F0928" w14:paraId="0BC99108" w14:textId="77777777">
        <w:trPr>
          <w:jc w:val="center"/>
        </w:trPr>
        <w:tc>
          <w:tcPr>
            <w:tcW w:w="0" w:type="auto"/>
            <w:shd w:val="clear" w:color="auto" w:fill="E2E2E2"/>
            <w:tcMar>
              <w:top w:w="40" w:type="dxa"/>
              <w:left w:w="400" w:type="dxa"/>
              <w:bottom w:w="40" w:type="dxa"/>
              <w:right w:w="40" w:type="dxa"/>
            </w:tcMar>
            <w:vAlign w:val="bottom"/>
          </w:tcPr>
          <w:p w14:paraId="0BC990FF" w14:textId="77777777" w:rsidR="009F0928" w:rsidRDefault="002112BD">
            <w:pPr>
              <w:textAlignment w:val="bottom"/>
              <w:rPr>
                <w:rFonts w:ascii="Times New Roman" w:hAnsi="Times New Roman"/>
                <w:sz w:val="15"/>
                <w:szCs w:val="15"/>
              </w:rPr>
            </w:pPr>
            <w:r>
              <w:rPr>
                <w:rFonts w:ascii="Arial" w:eastAsia="宋体" w:hAnsi="Arial" w:cs="Arial"/>
                <w:sz w:val="15"/>
                <w:szCs w:val="15"/>
              </w:rPr>
              <w:t xml:space="preserve">Tax withholdings related to net share </w:t>
            </w:r>
            <w:r>
              <w:rPr>
                <w:rFonts w:ascii="Arial" w:eastAsia="宋体" w:hAnsi="Arial" w:cs="Arial"/>
                <w:sz w:val="15"/>
                <w:szCs w:val="15"/>
              </w:rPr>
              <w:t>settlements of restricted stock awards and units</w:t>
            </w:r>
          </w:p>
        </w:tc>
        <w:tc>
          <w:tcPr>
            <w:tcW w:w="0" w:type="auto"/>
            <w:gridSpan w:val="2"/>
            <w:shd w:val="clear" w:color="auto" w:fill="E2E2E2"/>
            <w:tcMar>
              <w:top w:w="40" w:type="dxa"/>
              <w:left w:w="40" w:type="dxa"/>
              <w:bottom w:w="40" w:type="dxa"/>
            </w:tcMar>
            <w:vAlign w:val="bottom"/>
          </w:tcPr>
          <w:p w14:paraId="0BC99100"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(202</w:t>
            </w:r>
          </w:p>
        </w:tc>
        <w:tc>
          <w:tcPr>
            <w:tcW w:w="0" w:type="auto"/>
            <w:shd w:val="clear" w:color="auto" w:fill="E2E2E2"/>
            <w:tcMar>
              <w:top w:w="40" w:type="dxa"/>
              <w:bottom w:w="40" w:type="dxa"/>
              <w:right w:w="40" w:type="dxa"/>
            </w:tcMar>
            <w:vAlign w:val="bottom"/>
          </w:tcPr>
          <w:p w14:paraId="0BC99101"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left w:w="40" w:type="dxa"/>
              <w:bottom w:w="40" w:type="dxa"/>
              <w:right w:w="40" w:type="dxa"/>
            </w:tcMar>
            <w:vAlign w:val="bottom"/>
          </w:tcPr>
          <w:p w14:paraId="0BC9910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103"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(225</w:t>
            </w:r>
          </w:p>
        </w:tc>
        <w:tc>
          <w:tcPr>
            <w:tcW w:w="0" w:type="auto"/>
            <w:shd w:val="clear" w:color="auto" w:fill="E2E2E2"/>
            <w:tcMar>
              <w:top w:w="40" w:type="dxa"/>
              <w:bottom w:w="40" w:type="dxa"/>
              <w:right w:w="40" w:type="dxa"/>
            </w:tcMar>
            <w:vAlign w:val="bottom"/>
          </w:tcPr>
          <w:p w14:paraId="0BC99104"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left w:w="40" w:type="dxa"/>
              <w:bottom w:w="40" w:type="dxa"/>
              <w:right w:w="40" w:type="dxa"/>
            </w:tcMar>
            <w:vAlign w:val="bottom"/>
          </w:tcPr>
          <w:p w14:paraId="0BC9910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106"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(219</w:t>
            </w:r>
          </w:p>
        </w:tc>
        <w:tc>
          <w:tcPr>
            <w:tcW w:w="0" w:type="auto"/>
            <w:shd w:val="clear" w:color="auto" w:fill="E2E2E2"/>
            <w:tcMar>
              <w:top w:w="40" w:type="dxa"/>
              <w:bottom w:w="40" w:type="dxa"/>
              <w:right w:w="40" w:type="dxa"/>
            </w:tcMar>
            <w:vAlign w:val="bottom"/>
          </w:tcPr>
          <w:p w14:paraId="0BC99107"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r>
      <w:tr w:rsidR="009F0928" w14:paraId="0BC99112" w14:textId="77777777">
        <w:trPr>
          <w:jc w:val="center"/>
        </w:trPr>
        <w:tc>
          <w:tcPr>
            <w:tcW w:w="0" w:type="auto"/>
            <w:shd w:val="clear" w:color="auto" w:fill="auto"/>
            <w:tcMar>
              <w:top w:w="40" w:type="dxa"/>
              <w:left w:w="400" w:type="dxa"/>
              <w:bottom w:w="40" w:type="dxa"/>
              <w:right w:w="40" w:type="dxa"/>
            </w:tcMar>
            <w:vAlign w:val="bottom"/>
          </w:tcPr>
          <w:p w14:paraId="0BC99109" w14:textId="77777777" w:rsidR="009F0928" w:rsidRDefault="002112BD">
            <w:pPr>
              <w:textAlignment w:val="bottom"/>
              <w:rPr>
                <w:rFonts w:ascii="Times New Roman" w:hAnsi="Times New Roman"/>
                <w:sz w:val="15"/>
                <w:szCs w:val="15"/>
              </w:rPr>
            </w:pPr>
            <w:r>
              <w:rPr>
                <w:rFonts w:ascii="Arial" w:eastAsia="宋体" w:hAnsi="Arial" w:cs="Arial"/>
                <w:sz w:val="15"/>
                <w:szCs w:val="15"/>
              </w:rPr>
              <w:t>Proceeds from issuance of long-term debt, net</w:t>
            </w:r>
          </w:p>
        </w:tc>
        <w:tc>
          <w:tcPr>
            <w:tcW w:w="0" w:type="auto"/>
            <w:gridSpan w:val="2"/>
            <w:shd w:val="clear" w:color="auto" w:fill="auto"/>
            <w:tcMar>
              <w:top w:w="40" w:type="dxa"/>
              <w:left w:w="40" w:type="dxa"/>
              <w:bottom w:w="40" w:type="dxa"/>
            </w:tcMar>
            <w:vAlign w:val="bottom"/>
          </w:tcPr>
          <w:p w14:paraId="0BC9910A"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0BC9910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10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10D"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0BC9910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10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110"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2,484</w:t>
            </w:r>
          </w:p>
        </w:tc>
        <w:tc>
          <w:tcPr>
            <w:tcW w:w="0" w:type="auto"/>
            <w:shd w:val="clear" w:color="auto" w:fill="auto"/>
            <w:vAlign w:val="bottom"/>
          </w:tcPr>
          <w:p w14:paraId="0BC99111" w14:textId="77777777" w:rsidR="009F0928" w:rsidRDefault="009F0928">
            <w:pPr>
              <w:textAlignment w:val="bottom"/>
              <w:rPr>
                <w:rFonts w:ascii="Times New Roman" w:hAnsi="Times New Roman"/>
                <w:sz w:val="20"/>
                <w:szCs w:val="20"/>
              </w:rPr>
            </w:pPr>
          </w:p>
        </w:tc>
      </w:tr>
      <w:tr w:rsidR="009F0928" w14:paraId="0BC9911C" w14:textId="77777777">
        <w:trPr>
          <w:jc w:val="center"/>
        </w:trPr>
        <w:tc>
          <w:tcPr>
            <w:tcW w:w="0" w:type="auto"/>
            <w:shd w:val="clear" w:color="auto" w:fill="E2E2E2"/>
            <w:tcMar>
              <w:top w:w="40" w:type="dxa"/>
              <w:left w:w="400" w:type="dxa"/>
              <w:bottom w:w="40" w:type="dxa"/>
              <w:right w:w="40" w:type="dxa"/>
            </w:tcMar>
            <w:vAlign w:val="bottom"/>
          </w:tcPr>
          <w:p w14:paraId="0BC99113" w14:textId="77777777" w:rsidR="009F0928" w:rsidRDefault="002112BD">
            <w:pPr>
              <w:textAlignment w:val="bottom"/>
              <w:rPr>
                <w:rFonts w:ascii="Times New Roman" w:hAnsi="Times New Roman"/>
                <w:sz w:val="15"/>
                <w:szCs w:val="15"/>
              </w:rPr>
            </w:pPr>
            <w:r>
              <w:rPr>
                <w:rFonts w:ascii="Arial" w:eastAsia="宋体" w:hAnsi="Arial" w:cs="Arial"/>
                <w:sz w:val="15"/>
                <w:szCs w:val="15"/>
              </w:rPr>
              <w:t>Payments for dividends</w:t>
            </w:r>
          </w:p>
        </w:tc>
        <w:tc>
          <w:tcPr>
            <w:tcW w:w="0" w:type="auto"/>
            <w:gridSpan w:val="2"/>
            <w:shd w:val="clear" w:color="auto" w:fill="E2E2E2"/>
            <w:tcMar>
              <w:top w:w="40" w:type="dxa"/>
              <w:left w:w="40" w:type="dxa"/>
              <w:bottom w:w="40" w:type="dxa"/>
            </w:tcMar>
            <w:vAlign w:val="bottom"/>
          </w:tcPr>
          <w:p w14:paraId="0BC99114"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(473</w:t>
            </w:r>
          </w:p>
        </w:tc>
        <w:tc>
          <w:tcPr>
            <w:tcW w:w="0" w:type="auto"/>
            <w:shd w:val="clear" w:color="auto" w:fill="E2E2E2"/>
            <w:tcMar>
              <w:top w:w="40" w:type="dxa"/>
              <w:bottom w:w="40" w:type="dxa"/>
              <w:right w:w="40" w:type="dxa"/>
            </w:tcMar>
            <w:vAlign w:val="bottom"/>
          </w:tcPr>
          <w:p w14:paraId="0BC99115"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left w:w="40" w:type="dxa"/>
              <w:bottom w:w="40" w:type="dxa"/>
              <w:right w:w="40" w:type="dxa"/>
            </w:tcMar>
            <w:vAlign w:val="bottom"/>
          </w:tcPr>
          <w:p w14:paraId="0BC991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117"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vAlign w:val="bottom"/>
          </w:tcPr>
          <w:p w14:paraId="0BC9911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11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11A"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vAlign w:val="bottom"/>
          </w:tcPr>
          <w:p w14:paraId="0BC9911B" w14:textId="77777777" w:rsidR="009F0928" w:rsidRDefault="009F0928">
            <w:pPr>
              <w:textAlignment w:val="bottom"/>
              <w:rPr>
                <w:rFonts w:ascii="Times New Roman" w:hAnsi="Times New Roman"/>
                <w:sz w:val="20"/>
                <w:szCs w:val="20"/>
              </w:rPr>
            </w:pPr>
          </w:p>
        </w:tc>
      </w:tr>
      <w:tr w:rsidR="009F0928" w14:paraId="0BC99126" w14:textId="77777777">
        <w:trPr>
          <w:jc w:val="center"/>
        </w:trPr>
        <w:tc>
          <w:tcPr>
            <w:tcW w:w="0" w:type="auto"/>
            <w:shd w:val="clear" w:color="auto" w:fill="auto"/>
            <w:tcMar>
              <w:top w:w="40" w:type="dxa"/>
              <w:left w:w="400" w:type="dxa"/>
              <w:bottom w:w="40" w:type="dxa"/>
              <w:right w:w="40" w:type="dxa"/>
            </w:tcMar>
            <w:vAlign w:val="bottom"/>
          </w:tcPr>
          <w:p w14:paraId="0BC9911D" w14:textId="77777777" w:rsidR="009F0928" w:rsidRDefault="002112BD">
            <w:pPr>
              <w:textAlignment w:val="bottom"/>
              <w:rPr>
                <w:rFonts w:ascii="Times New Roman" w:hAnsi="Times New Roman"/>
                <w:sz w:val="15"/>
                <w:szCs w:val="15"/>
              </w:rPr>
            </w:pPr>
            <w:r>
              <w:rPr>
                <w:rFonts w:ascii="Arial" w:eastAsia="宋体" w:hAnsi="Arial" w:cs="Arial"/>
                <w:sz w:val="15"/>
                <w:szCs w:val="15"/>
              </w:rPr>
              <w:t>Repayment of debt</w:t>
            </w:r>
          </w:p>
        </w:tc>
        <w:tc>
          <w:tcPr>
            <w:tcW w:w="0" w:type="auto"/>
            <w:gridSpan w:val="2"/>
            <w:shd w:val="clear" w:color="auto" w:fill="auto"/>
            <w:tcMar>
              <w:top w:w="40" w:type="dxa"/>
              <w:left w:w="40" w:type="dxa"/>
              <w:bottom w:w="40" w:type="dxa"/>
            </w:tcMar>
            <w:vAlign w:val="bottom"/>
          </w:tcPr>
          <w:p w14:paraId="0BC9911E"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(1,550</w:t>
            </w:r>
          </w:p>
        </w:tc>
        <w:tc>
          <w:tcPr>
            <w:tcW w:w="0" w:type="auto"/>
            <w:shd w:val="clear" w:color="auto" w:fill="auto"/>
            <w:tcMar>
              <w:top w:w="40" w:type="dxa"/>
              <w:bottom w:w="40" w:type="dxa"/>
              <w:right w:w="40" w:type="dxa"/>
            </w:tcMar>
            <w:vAlign w:val="bottom"/>
          </w:tcPr>
          <w:p w14:paraId="0BC9911F"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0BC9912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121"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(750</w:t>
            </w:r>
          </w:p>
        </w:tc>
        <w:tc>
          <w:tcPr>
            <w:tcW w:w="0" w:type="auto"/>
            <w:shd w:val="clear" w:color="auto" w:fill="auto"/>
            <w:tcMar>
              <w:top w:w="40" w:type="dxa"/>
              <w:bottom w:w="40" w:type="dxa"/>
              <w:right w:w="40" w:type="dxa"/>
            </w:tcMar>
            <w:vAlign w:val="bottom"/>
          </w:tcPr>
          <w:p w14:paraId="0BC99122"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0BC9912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124"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(1,452</w:t>
            </w:r>
          </w:p>
        </w:tc>
        <w:tc>
          <w:tcPr>
            <w:tcW w:w="0" w:type="auto"/>
            <w:shd w:val="clear" w:color="auto" w:fill="auto"/>
            <w:tcMar>
              <w:top w:w="40" w:type="dxa"/>
              <w:bottom w:w="40" w:type="dxa"/>
              <w:right w:w="40" w:type="dxa"/>
            </w:tcMar>
            <w:vAlign w:val="bottom"/>
          </w:tcPr>
          <w:p w14:paraId="0BC99125"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r>
      <w:tr w:rsidR="009F0928" w14:paraId="0BC99130" w14:textId="77777777">
        <w:trPr>
          <w:jc w:val="center"/>
        </w:trPr>
        <w:tc>
          <w:tcPr>
            <w:tcW w:w="0" w:type="auto"/>
            <w:shd w:val="clear" w:color="auto" w:fill="E2E2E2"/>
            <w:tcMar>
              <w:top w:w="40" w:type="dxa"/>
              <w:left w:w="400" w:type="dxa"/>
              <w:bottom w:w="40" w:type="dxa"/>
              <w:right w:w="40" w:type="dxa"/>
            </w:tcMar>
            <w:vAlign w:val="bottom"/>
          </w:tcPr>
          <w:p w14:paraId="0BC99127" w14:textId="77777777" w:rsidR="009F0928" w:rsidRDefault="002112BD">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shd w:val="clear" w:color="auto" w:fill="E2E2E2"/>
            <w:tcMar>
              <w:top w:w="40" w:type="dxa"/>
              <w:left w:w="40" w:type="dxa"/>
              <w:bottom w:w="40" w:type="dxa"/>
            </w:tcMar>
            <w:vAlign w:val="bottom"/>
          </w:tcPr>
          <w:p w14:paraId="0BC99128"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E2E2E2"/>
            <w:vAlign w:val="bottom"/>
          </w:tcPr>
          <w:p w14:paraId="0BC9912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12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12B"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(30</w:t>
            </w:r>
          </w:p>
        </w:tc>
        <w:tc>
          <w:tcPr>
            <w:tcW w:w="0" w:type="auto"/>
            <w:tcBorders>
              <w:bottom w:val="single" w:sz="8" w:space="0" w:color="000000"/>
            </w:tcBorders>
            <w:shd w:val="clear" w:color="auto" w:fill="E2E2E2"/>
            <w:tcMar>
              <w:top w:w="40" w:type="dxa"/>
              <w:bottom w:w="40" w:type="dxa"/>
              <w:right w:w="40" w:type="dxa"/>
            </w:tcMar>
            <w:vAlign w:val="bottom"/>
          </w:tcPr>
          <w:p w14:paraId="0BC9912C"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left w:w="40" w:type="dxa"/>
              <w:bottom w:w="40" w:type="dxa"/>
              <w:right w:w="40" w:type="dxa"/>
            </w:tcMar>
            <w:vAlign w:val="bottom"/>
          </w:tcPr>
          <w:p w14:paraId="0BC9912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12E"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29</w:t>
            </w:r>
          </w:p>
        </w:tc>
        <w:tc>
          <w:tcPr>
            <w:tcW w:w="0" w:type="auto"/>
            <w:tcBorders>
              <w:bottom w:val="single" w:sz="8" w:space="0" w:color="000000"/>
            </w:tcBorders>
            <w:shd w:val="clear" w:color="auto" w:fill="E2E2E2"/>
            <w:vAlign w:val="bottom"/>
          </w:tcPr>
          <w:p w14:paraId="0BC9912F" w14:textId="77777777" w:rsidR="009F0928" w:rsidRDefault="009F0928">
            <w:pPr>
              <w:textAlignment w:val="bottom"/>
              <w:rPr>
                <w:rFonts w:ascii="Times New Roman" w:hAnsi="Times New Roman"/>
                <w:sz w:val="20"/>
                <w:szCs w:val="20"/>
              </w:rPr>
            </w:pPr>
          </w:p>
        </w:tc>
      </w:tr>
      <w:tr w:rsidR="009F0928" w14:paraId="0BC9913A" w14:textId="77777777">
        <w:trPr>
          <w:jc w:val="center"/>
        </w:trPr>
        <w:tc>
          <w:tcPr>
            <w:tcW w:w="0" w:type="auto"/>
            <w:shd w:val="clear" w:color="auto" w:fill="auto"/>
            <w:tcMar>
              <w:top w:w="40" w:type="dxa"/>
              <w:left w:w="40" w:type="dxa"/>
              <w:bottom w:w="40" w:type="dxa"/>
              <w:right w:w="40" w:type="dxa"/>
            </w:tcMar>
            <w:vAlign w:val="bottom"/>
          </w:tcPr>
          <w:p w14:paraId="0BC99131" w14:textId="77777777" w:rsidR="009F0928" w:rsidRDefault="002112BD">
            <w:pPr>
              <w:textAlignment w:val="bottom"/>
              <w:rPr>
                <w:rFonts w:ascii="Times New Roman" w:hAnsi="Times New Roman"/>
                <w:sz w:val="15"/>
                <w:szCs w:val="15"/>
              </w:rPr>
            </w:pPr>
            <w:r>
              <w:rPr>
                <w:rFonts w:ascii="Arial" w:eastAsia="宋体" w:hAnsi="Arial" w:cs="Arial"/>
                <w:sz w:val="15"/>
                <w:szCs w:val="15"/>
              </w:rPr>
              <w:t>Net cash used in financing activities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9132"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(7,091</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0BC99133"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0BC9913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135"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(5,398</w:t>
            </w:r>
          </w:p>
        </w:tc>
        <w:tc>
          <w:tcPr>
            <w:tcW w:w="0" w:type="auto"/>
            <w:tcBorders>
              <w:bottom w:val="single" w:sz="8" w:space="0" w:color="000000"/>
            </w:tcBorders>
            <w:shd w:val="clear" w:color="auto" w:fill="auto"/>
            <w:tcMar>
              <w:top w:w="40" w:type="dxa"/>
              <w:bottom w:w="40" w:type="dxa"/>
              <w:right w:w="40" w:type="dxa"/>
            </w:tcMar>
            <w:vAlign w:val="bottom"/>
          </w:tcPr>
          <w:p w14:paraId="0BC99136"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0BC991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138"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(1,784</w:t>
            </w:r>
          </w:p>
        </w:tc>
        <w:tc>
          <w:tcPr>
            <w:tcW w:w="0" w:type="auto"/>
            <w:tcBorders>
              <w:bottom w:val="single" w:sz="8" w:space="0" w:color="000000"/>
            </w:tcBorders>
            <w:shd w:val="clear" w:color="auto" w:fill="auto"/>
            <w:tcMar>
              <w:top w:w="40" w:type="dxa"/>
              <w:bottom w:w="40" w:type="dxa"/>
              <w:right w:w="40" w:type="dxa"/>
            </w:tcMar>
            <w:vAlign w:val="bottom"/>
          </w:tcPr>
          <w:p w14:paraId="0BC99139"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r>
      <w:tr w:rsidR="009F0928" w14:paraId="0BC99144" w14:textId="77777777">
        <w:trPr>
          <w:jc w:val="center"/>
        </w:trPr>
        <w:tc>
          <w:tcPr>
            <w:tcW w:w="0" w:type="auto"/>
            <w:shd w:val="clear" w:color="auto" w:fill="E2E2E2"/>
            <w:tcMar>
              <w:top w:w="40" w:type="dxa"/>
              <w:left w:w="40" w:type="dxa"/>
              <w:bottom w:w="40" w:type="dxa"/>
              <w:right w:w="40" w:type="dxa"/>
            </w:tcMar>
            <w:vAlign w:val="bottom"/>
          </w:tcPr>
          <w:p w14:paraId="0BC9913B" w14:textId="77777777" w:rsidR="009F0928" w:rsidRDefault="002112BD">
            <w:pPr>
              <w:textAlignment w:val="bottom"/>
              <w:rPr>
                <w:rFonts w:ascii="Times New Roman" w:hAnsi="Times New Roman"/>
                <w:sz w:val="15"/>
                <w:szCs w:val="15"/>
              </w:rPr>
            </w:pPr>
            <w:r>
              <w:rPr>
                <w:rFonts w:ascii="Arial" w:eastAsia="宋体" w:hAnsi="Arial" w:cs="Arial"/>
                <w:sz w:val="15"/>
                <w:szCs w:val="15"/>
              </w:rPr>
              <w:t>Effect of exchange rate changes on cash, cash equivalents and restricted cash</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13C"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(33</w:t>
            </w:r>
          </w:p>
        </w:tc>
        <w:tc>
          <w:tcPr>
            <w:tcW w:w="0" w:type="auto"/>
            <w:tcBorders>
              <w:top w:val="single" w:sz="8" w:space="0" w:color="000000"/>
              <w:bottom w:val="single" w:sz="8" w:space="0" w:color="000000"/>
            </w:tcBorders>
            <w:shd w:val="clear" w:color="auto" w:fill="E2E2E2"/>
            <w:tcMar>
              <w:top w:w="40" w:type="dxa"/>
              <w:bottom w:w="40" w:type="dxa"/>
              <w:right w:w="40" w:type="dxa"/>
            </w:tcMar>
            <w:vAlign w:val="bottom"/>
          </w:tcPr>
          <w:p w14:paraId="0BC9913D"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left w:w="40" w:type="dxa"/>
              <w:bottom w:w="40" w:type="dxa"/>
              <w:right w:w="40" w:type="dxa"/>
            </w:tcMar>
            <w:vAlign w:val="bottom"/>
          </w:tcPr>
          <w:p w14:paraId="0BC9913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13F"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(75</w:t>
            </w:r>
          </w:p>
        </w:tc>
        <w:tc>
          <w:tcPr>
            <w:tcW w:w="0" w:type="auto"/>
            <w:shd w:val="clear" w:color="auto" w:fill="E2E2E2"/>
            <w:tcMar>
              <w:top w:w="40" w:type="dxa"/>
              <w:bottom w:w="40" w:type="dxa"/>
              <w:right w:w="40" w:type="dxa"/>
            </w:tcMar>
            <w:vAlign w:val="bottom"/>
          </w:tcPr>
          <w:p w14:paraId="0BC99140"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left w:w="40" w:type="dxa"/>
              <w:bottom w:w="40" w:type="dxa"/>
              <w:right w:w="40" w:type="dxa"/>
            </w:tcMar>
            <w:vAlign w:val="bottom"/>
          </w:tcPr>
          <w:p w14:paraId="0BC9914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142"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238</w:t>
            </w:r>
          </w:p>
        </w:tc>
        <w:tc>
          <w:tcPr>
            <w:tcW w:w="0" w:type="auto"/>
            <w:shd w:val="clear" w:color="auto" w:fill="E2E2E2"/>
            <w:vAlign w:val="bottom"/>
          </w:tcPr>
          <w:p w14:paraId="0BC99143" w14:textId="77777777" w:rsidR="009F0928" w:rsidRDefault="009F0928">
            <w:pPr>
              <w:textAlignment w:val="bottom"/>
              <w:rPr>
                <w:rFonts w:ascii="Times New Roman" w:hAnsi="Times New Roman"/>
                <w:sz w:val="20"/>
                <w:szCs w:val="20"/>
              </w:rPr>
            </w:pPr>
          </w:p>
        </w:tc>
      </w:tr>
      <w:tr w:rsidR="009F0928" w14:paraId="0BC9914E" w14:textId="77777777">
        <w:trPr>
          <w:jc w:val="center"/>
        </w:trPr>
        <w:tc>
          <w:tcPr>
            <w:tcW w:w="0" w:type="auto"/>
            <w:shd w:val="clear" w:color="auto" w:fill="auto"/>
            <w:tcMar>
              <w:top w:w="40" w:type="dxa"/>
              <w:left w:w="40" w:type="dxa"/>
              <w:bottom w:w="40" w:type="dxa"/>
              <w:right w:w="40" w:type="dxa"/>
            </w:tcMar>
            <w:vAlign w:val="bottom"/>
          </w:tcPr>
          <w:p w14:paraId="0BC99145" w14:textId="77777777" w:rsidR="009F0928" w:rsidRDefault="002112BD">
            <w:pPr>
              <w:textAlignment w:val="bottom"/>
              <w:rPr>
                <w:rFonts w:ascii="Times New Roman" w:hAnsi="Times New Roman"/>
                <w:sz w:val="15"/>
                <w:szCs w:val="15"/>
              </w:rPr>
            </w:pPr>
            <w:r>
              <w:rPr>
                <w:rFonts w:ascii="Arial" w:eastAsia="宋体" w:hAnsi="Arial" w:cs="Arial"/>
                <w:sz w:val="15"/>
                <w:szCs w:val="15"/>
              </w:rPr>
              <w:t>Net increase (decrease) in cash, cash equivalents and restricted cash</w:t>
            </w:r>
          </w:p>
        </w:tc>
        <w:tc>
          <w:tcPr>
            <w:tcW w:w="0" w:type="auto"/>
            <w:gridSpan w:val="2"/>
            <w:tcBorders>
              <w:top w:val="single" w:sz="8" w:space="0" w:color="000000"/>
            </w:tcBorders>
            <w:shd w:val="clear" w:color="auto" w:fill="auto"/>
            <w:tcMar>
              <w:top w:w="40" w:type="dxa"/>
              <w:left w:w="40" w:type="dxa"/>
              <w:bottom w:w="40" w:type="dxa"/>
            </w:tcMar>
            <w:vAlign w:val="bottom"/>
          </w:tcPr>
          <w:p w14:paraId="0BC99146"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(1,223</w:t>
            </w:r>
          </w:p>
        </w:tc>
        <w:tc>
          <w:tcPr>
            <w:tcW w:w="0" w:type="auto"/>
            <w:tcBorders>
              <w:top w:val="single" w:sz="8" w:space="0" w:color="000000"/>
            </w:tcBorders>
            <w:shd w:val="clear" w:color="auto" w:fill="auto"/>
            <w:tcMar>
              <w:top w:w="40" w:type="dxa"/>
              <w:bottom w:w="40" w:type="dxa"/>
              <w:right w:w="40" w:type="dxa"/>
            </w:tcMar>
            <w:vAlign w:val="bottom"/>
          </w:tcPr>
          <w:p w14:paraId="0BC99147"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0BC9914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BC99149"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79</w:t>
            </w:r>
          </w:p>
        </w:tc>
        <w:tc>
          <w:tcPr>
            <w:tcW w:w="0" w:type="auto"/>
            <w:tcBorders>
              <w:top w:val="single" w:sz="8" w:space="0" w:color="000000"/>
            </w:tcBorders>
            <w:shd w:val="clear" w:color="auto" w:fill="auto"/>
            <w:vAlign w:val="bottom"/>
          </w:tcPr>
          <w:p w14:paraId="0BC9914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14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BC9914C"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305</w:t>
            </w:r>
          </w:p>
        </w:tc>
        <w:tc>
          <w:tcPr>
            <w:tcW w:w="0" w:type="auto"/>
            <w:tcBorders>
              <w:top w:val="single" w:sz="8" w:space="0" w:color="000000"/>
            </w:tcBorders>
            <w:shd w:val="clear" w:color="auto" w:fill="auto"/>
            <w:vAlign w:val="bottom"/>
          </w:tcPr>
          <w:p w14:paraId="0BC9914D" w14:textId="77777777" w:rsidR="009F0928" w:rsidRDefault="009F0928">
            <w:pPr>
              <w:textAlignment w:val="bottom"/>
              <w:rPr>
                <w:rFonts w:ascii="Times New Roman" w:hAnsi="Times New Roman"/>
                <w:sz w:val="20"/>
                <w:szCs w:val="20"/>
              </w:rPr>
            </w:pPr>
          </w:p>
        </w:tc>
      </w:tr>
      <w:tr w:rsidR="009F0928" w14:paraId="0BC99158" w14:textId="77777777">
        <w:trPr>
          <w:jc w:val="center"/>
        </w:trPr>
        <w:tc>
          <w:tcPr>
            <w:tcW w:w="0" w:type="auto"/>
            <w:shd w:val="clear" w:color="auto" w:fill="E2E2E2"/>
            <w:tcMar>
              <w:top w:w="40" w:type="dxa"/>
              <w:left w:w="40" w:type="dxa"/>
              <w:bottom w:w="40" w:type="dxa"/>
              <w:right w:w="40" w:type="dxa"/>
            </w:tcMar>
            <w:vAlign w:val="bottom"/>
          </w:tcPr>
          <w:p w14:paraId="0BC9914F" w14:textId="77777777" w:rsidR="009F0928" w:rsidRDefault="002112BD">
            <w:pPr>
              <w:textAlignment w:val="bottom"/>
              <w:rPr>
                <w:rFonts w:ascii="Times New Roman" w:hAnsi="Times New Roman"/>
                <w:sz w:val="15"/>
                <w:szCs w:val="15"/>
              </w:rPr>
            </w:pPr>
            <w:r>
              <w:rPr>
                <w:rFonts w:ascii="Arial" w:eastAsia="宋体" w:hAnsi="Arial" w:cs="Arial"/>
                <w:sz w:val="15"/>
                <w:szCs w:val="15"/>
              </w:rPr>
              <w:t>Cash, cash equivalents and restricted cash at beginning of period</w:t>
            </w:r>
          </w:p>
        </w:tc>
        <w:tc>
          <w:tcPr>
            <w:tcW w:w="0" w:type="auto"/>
            <w:gridSpan w:val="2"/>
            <w:shd w:val="clear" w:color="auto" w:fill="E2E2E2"/>
            <w:tcMar>
              <w:top w:w="40" w:type="dxa"/>
              <w:left w:w="40" w:type="dxa"/>
              <w:bottom w:w="40" w:type="dxa"/>
            </w:tcMar>
            <w:vAlign w:val="bottom"/>
          </w:tcPr>
          <w:p w14:paraId="0BC99150"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2,219</w:t>
            </w:r>
          </w:p>
        </w:tc>
        <w:tc>
          <w:tcPr>
            <w:tcW w:w="0" w:type="auto"/>
            <w:shd w:val="clear" w:color="auto" w:fill="E2E2E2"/>
            <w:vAlign w:val="bottom"/>
          </w:tcPr>
          <w:p w14:paraId="0BC9915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15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153"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2,140</w:t>
            </w:r>
          </w:p>
        </w:tc>
        <w:tc>
          <w:tcPr>
            <w:tcW w:w="0" w:type="auto"/>
            <w:shd w:val="clear" w:color="auto" w:fill="E2E2E2"/>
            <w:vAlign w:val="bottom"/>
          </w:tcPr>
          <w:p w14:paraId="0BC9915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15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156"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1,835</w:t>
            </w:r>
          </w:p>
        </w:tc>
        <w:tc>
          <w:tcPr>
            <w:tcW w:w="0" w:type="auto"/>
            <w:shd w:val="clear" w:color="auto" w:fill="E2E2E2"/>
            <w:vAlign w:val="bottom"/>
          </w:tcPr>
          <w:p w14:paraId="0BC99157" w14:textId="77777777" w:rsidR="009F0928" w:rsidRDefault="009F0928">
            <w:pPr>
              <w:textAlignment w:val="bottom"/>
              <w:rPr>
                <w:rFonts w:ascii="Times New Roman" w:hAnsi="Times New Roman"/>
                <w:sz w:val="20"/>
                <w:szCs w:val="20"/>
              </w:rPr>
            </w:pPr>
          </w:p>
        </w:tc>
      </w:tr>
      <w:tr w:rsidR="009F0928" w14:paraId="0BC99165" w14:textId="77777777">
        <w:trPr>
          <w:jc w:val="center"/>
        </w:trPr>
        <w:tc>
          <w:tcPr>
            <w:tcW w:w="0" w:type="auto"/>
            <w:shd w:val="clear" w:color="auto" w:fill="auto"/>
            <w:tcMar>
              <w:top w:w="40" w:type="dxa"/>
              <w:left w:w="40" w:type="dxa"/>
              <w:bottom w:w="40" w:type="dxa"/>
              <w:right w:w="40" w:type="dxa"/>
            </w:tcMar>
            <w:vAlign w:val="bottom"/>
          </w:tcPr>
          <w:p w14:paraId="0BC99159" w14:textId="77777777" w:rsidR="009F0928" w:rsidRDefault="002112BD">
            <w:pPr>
              <w:textAlignment w:val="bottom"/>
              <w:rPr>
                <w:rFonts w:ascii="Times New Roman" w:hAnsi="Times New Roman"/>
                <w:sz w:val="15"/>
                <w:szCs w:val="15"/>
              </w:rPr>
            </w:pPr>
            <w:r>
              <w:rPr>
                <w:rFonts w:ascii="Arial" w:eastAsia="宋体" w:hAnsi="Arial" w:cs="Arial"/>
                <w:sz w:val="15"/>
                <w:szCs w:val="15"/>
              </w:rPr>
              <w:t>Cash, cash equivalents and restricted cash at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15A"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15B"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996</w:t>
            </w:r>
          </w:p>
        </w:tc>
        <w:tc>
          <w:tcPr>
            <w:tcW w:w="0" w:type="auto"/>
            <w:tcBorders>
              <w:top w:val="single" w:sz="8" w:space="0" w:color="000000"/>
              <w:bottom w:val="double" w:sz="6" w:space="0" w:color="000000"/>
            </w:tcBorders>
            <w:shd w:val="clear" w:color="auto" w:fill="auto"/>
            <w:vAlign w:val="bottom"/>
          </w:tcPr>
          <w:p w14:paraId="0BC9915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15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15E"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15F"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2,219</w:t>
            </w:r>
          </w:p>
        </w:tc>
        <w:tc>
          <w:tcPr>
            <w:tcW w:w="0" w:type="auto"/>
            <w:tcBorders>
              <w:top w:val="single" w:sz="8" w:space="0" w:color="000000"/>
              <w:bottom w:val="double" w:sz="6" w:space="0" w:color="000000"/>
            </w:tcBorders>
            <w:shd w:val="clear" w:color="auto" w:fill="auto"/>
            <w:vAlign w:val="bottom"/>
          </w:tcPr>
          <w:p w14:paraId="0BC9916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16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162"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163"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2,140</w:t>
            </w:r>
          </w:p>
        </w:tc>
        <w:tc>
          <w:tcPr>
            <w:tcW w:w="0" w:type="auto"/>
            <w:tcBorders>
              <w:top w:val="single" w:sz="8" w:space="0" w:color="000000"/>
              <w:bottom w:val="double" w:sz="6" w:space="0" w:color="000000"/>
            </w:tcBorders>
            <w:shd w:val="clear" w:color="auto" w:fill="auto"/>
            <w:vAlign w:val="bottom"/>
          </w:tcPr>
          <w:p w14:paraId="0BC99164" w14:textId="77777777" w:rsidR="009F0928" w:rsidRDefault="009F0928">
            <w:pPr>
              <w:textAlignment w:val="bottom"/>
              <w:rPr>
                <w:rFonts w:ascii="Times New Roman" w:hAnsi="Times New Roman"/>
                <w:sz w:val="20"/>
                <w:szCs w:val="20"/>
              </w:rPr>
            </w:pPr>
          </w:p>
        </w:tc>
      </w:tr>
      <w:tr w:rsidR="009F0928" w14:paraId="0BC9916C" w14:textId="77777777">
        <w:trPr>
          <w:jc w:val="center"/>
        </w:trPr>
        <w:tc>
          <w:tcPr>
            <w:tcW w:w="0" w:type="auto"/>
            <w:shd w:val="clear" w:color="auto" w:fill="auto"/>
            <w:tcMar>
              <w:top w:w="40" w:type="dxa"/>
              <w:left w:w="40" w:type="dxa"/>
              <w:bottom w:w="40" w:type="dxa"/>
              <w:right w:w="40" w:type="dxa"/>
            </w:tcMar>
            <w:vAlign w:val="bottom"/>
          </w:tcPr>
          <w:p w14:paraId="0BC9916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16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16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16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16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16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173" w14:textId="77777777">
        <w:trPr>
          <w:jc w:val="center"/>
        </w:trPr>
        <w:tc>
          <w:tcPr>
            <w:tcW w:w="0" w:type="auto"/>
            <w:shd w:val="clear" w:color="auto" w:fill="auto"/>
            <w:tcMar>
              <w:top w:w="40" w:type="dxa"/>
              <w:left w:w="40" w:type="dxa"/>
              <w:bottom w:w="40" w:type="dxa"/>
              <w:right w:w="40" w:type="dxa"/>
            </w:tcMar>
            <w:vAlign w:val="bottom"/>
          </w:tcPr>
          <w:p w14:paraId="0BC9916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16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16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17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17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17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9174" w14:textId="77777777" w:rsidR="009F0928" w:rsidRDefault="009F0928">
      <w:pPr>
        <w:rPr>
          <w:rFonts w:ascii="Times New Roman" w:hAnsi="Times New Roman"/>
          <w:sz w:val="20"/>
          <w:szCs w:val="20"/>
        </w:rPr>
      </w:pPr>
    </w:p>
    <w:p w14:paraId="0BC99175"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F-7</w:t>
      </w:r>
    </w:p>
    <w:p w14:paraId="0BC99176" w14:textId="77777777" w:rsidR="009F0928" w:rsidRDefault="002112BD">
      <w:r>
        <w:rPr>
          <w:rFonts w:ascii="Times New Roman" w:hAnsi="Times New Roman"/>
          <w:sz w:val="18"/>
          <w:szCs w:val="18"/>
        </w:rPr>
        <w:pict w14:anchorId="0BC9B501">
          <v:rect id="_x0000_i1093" style="width:415.3pt;height:1.5pt" o:hralign="center" o:hrstd="t" o:hr="t" fillcolor="#a0a0a0" stroked="f"/>
        </w:pict>
      </w:r>
    </w:p>
    <w:p w14:paraId="0BC99177" w14:textId="77777777" w:rsidR="009F0928" w:rsidRDefault="009F0928">
      <w:pPr>
        <w:spacing w:line="288" w:lineRule="auto"/>
        <w:rPr>
          <w:rFonts w:ascii="Times New Roman" w:hAnsi="Times New Roman"/>
          <w:sz w:val="20"/>
          <w:szCs w:val="20"/>
        </w:rPr>
      </w:pPr>
    </w:p>
    <w:p w14:paraId="0BC99178" w14:textId="77777777" w:rsidR="009F0928" w:rsidRDefault="009F0928">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4869"/>
        <w:gridCol w:w="124"/>
        <w:gridCol w:w="883"/>
        <w:gridCol w:w="52"/>
        <w:gridCol w:w="130"/>
        <w:gridCol w:w="124"/>
        <w:gridCol w:w="883"/>
        <w:gridCol w:w="52"/>
        <w:gridCol w:w="130"/>
        <w:gridCol w:w="124"/>
        <w:gridCol w:w="883"/>
        <w:gridCol w:w="52"/>
      </w:tblGrid>
      <w:tr w:rsidR="009F0928" w14:paraId="0BC9917A" w14:textId="77777777">
        <w:trPr>
          <w:jc w:val="center"/>
        </w:trPr>
        <w:tc>
          <w:tcPr>
            <w:tcW w:w="0" w:type="auto"/>
            <w:gridSpan w:val="12"/>
            <w:shd w:val="clear" w:color="auto" w:fill="auto"/>
            <w:vAlign w:val="center"/>
          </w:tcPr>
          <w:p w14:paraId="0BC99179" w14:textId="77777777" w:rsidR="009F0928" w:rsidRDefault="009F0928">
            <w:pPr>
              <w:rPr>
                <w:rFonts w:ascii="Times New Roman" w:hAnsi="Times New Roman"/>
                <w:sz w:val="20"/>
                <w:szCs w:val="20"/>
              </w:rPr>
            </w:pPr>
          </w:p>
        </w:tc>
      </w:tr>
      <w:tr w:rsidR="009F0928" w14:paraId="0BC99187" w14:textId="77777777">
        <w:trPr>
          <w:jc w:val="center"/>
        </w:trPr>
        <w:tc>
          <w:tcPr>
            <w:tcW w:w="2950" w:type="pct"/>
            <w:shd w:val="clear" w:color="auto" w:fill="auto"/>
            <w:vAlign w:val="center"/>
          </w:tcPr>
          <w:p w14:paraId="0BC9917B" w14:textId="77777777" w:rsidR="009F0928" w:rsidRDefault="009F0928">
            <w:pPr>
              <w:rPr>
                <w:rFonts w:ascii="Times New Roman" w:hAnsi="Times New Roman"/>
                <w:sz w:val="20"/>
                <w:szCs w:val="20"/>
              </w:rPr>
            </w:pPr>
          </w:p>
        </w:tc>
        <w:tc>
          <w:tcPr>
            <w:tcW w:w="50" w:type="pct"/>
            <w:shd w:val="clear" w:color="auto" w:fill="auto"/>
            <w:vAlign w:val="center"/>
          </w:tcPr>
          <w:p w14:paraId="0BC9917C" w14:textId="77777777" w:rsidR="009F0928" w:rsidRDefault="009F0928">
            <w:pPr>
              <w:rPr>
                <w:rFonts w:ascii="Times New Roman" w:hAnsi="Times New Roman"/>
                <w:sz w:val="20"/>
                <w:szCs w:val="20"/>
              </w:rPr>
            </w:pPr>
          </w:p>
        </w:tc>
        <w:tc>
          <w:tcPr>
            <w:tcW w:w="550" w:type="pct"/>
            <w:shd w:val="clear" w:color="auto" w:fill="auto"/>
            <w:vAlign w:val="center"/>
          </w:tcPr>
          <w:p w14:paraId="0BC9917D" w14:textId="77777777" w:rsidR="009F0928" w:rsidRDefault="009F0928">
            <w:pPr>
              <w:rPr>
                <w:rFonts w:ascii="Times New Roman" w:hAnsi="Times New Roman"/>
                <w:sz w:val="20"/>
                <w:szCs w:val="20"/>
              </w:rPr>
            </w:pPr>
          </w:p>
        </w:tc>
        <w:tc>
          <w:tcPr>
            <w:tcW w:w="50" w:type="pct"/>
            <w:shd w:val="clear" w:color="auto" w:fill="auto"/>
            <w:vAlign w:val="center"/>
          </w:tcPr>
          <w:p w14:paraId="0BC9917E" w14:textId="77777777" w:rsidR="009F0928" w:rsidRDefault="009F0928">
            <w:pPr>
              <w:rPr>
                <w:rFonts w:ascii="Times New Roman" w:hAnsi="Times New Roman"/>
                <w:sz w:val="20"/>
                <w:szCs w:val="20"/>
              </w:rPr>
            </w:pPr>
          </w:p>
        </w:tc>
        <w:tc>
          <w:tcPr>
            <w:tcW w:w="50" w:type="pct"/>
            <w:shd w:val="clear" w:color="auto" w:fill="auto"/>
            <w:vAlign w:val="center"/>
          </w:tcPr>
          <w:p w14:paraId="0BC9917F" w14:textId="77777777" w:rsidR="009F0928" w:rsidRDefault="009F0928">
            <w:pPr>
              <w:rPr>
                <w:rFonts w:ascii="Times New Roman" w:hAnsi="Times New Roman"/>
                <w:sz w:val="20"/>
                <w:szCs w:val="20"/>
              </w:rPr>
            </w:pPr>
          </w:p>
        </w:tc>
        <w:tc>
          <w:tcPr>
            <w:tcW w:w="50" w:type="pct"/>
            <w:shd w:val="clear" w:color="auto" w:fill="auto"/>
            <w:vAlign w:val="center"/>
          </w:tcPr>
          <w:p w14:paraId="0BC99180" w14:textId="77777777" w:rsidR="009F0928" w:rsidRDefault="009F0928">
            <w:pPr>
              <w:rPr>
                <w:rFonts w:ascii="Times New Roman" w:hAnsi="Times New Roman"/>
                <w:sz w:val="20"/>
                <w:szCs w:val="20"/>
              </w:rPr>
            </w:pPr>
          </w:p>
        </w:tc>
        <w:tc>
          <w:tcPr>
            <w:tcW w:w="550" w:type="pct"/>
            <w:shd w:val="clear" w:color="auto" w:fill="auto"/>
            <w:vAlign w:val="center"/>
          </w:tcPr>
          <w:p w14:paraId="0BC99181" w14:textId="77777777" w:rsidR="009F0928" w:rsidRDefault="009F0928">
            <w:pPr>
              <w:rPr>
                <w:rFonts w:ascii="Times New Roman" w:hAnsi="Times New Roman"/>
                <w:sz w:val="20"/>
                <w:szCs w:val="20"/>
              </w:rPr>
            </w:pPr>
          </w:p>
        </w:tc>
        <w:tc>
          <w:tcPr>
            <w:tcW w:w="50" w:type="pct"/>
            <w:shd w:val="clear" w:color="auto" w:fill="auto"/>
            <w:vAlign w:val="center"/>
          </w:tcPr>
          <w:p w14:paraId="0BC99182" w14:textId="77777777" w:rsidR="009F0928" w:rsidRDefault="009F0928">
            <w:pPr>
              <w:rPr>
                <w:rFonts w:ascii="Times New Roman" w:hAnsi="Times New Roman"/>
                <w:sz w:val="20"/>
                <w:szCs w:val="20"/>
              </w:rPr>
            </w:pPr>
          </w:p>
        </w:tc>
        <w:tc>
          <w:tcPr>
            <w:tcW w:w="50" w:type="pct"/>
            <w:shd w:val="clear" w:color="auto" w:fill="auto"/>
            <w:vAlign w:val="center"/>
          </w:tcPr>
          <w:p w14:paraId="0BC99183" w14:textId="77777777" w:rsidR="009F0928" w:rsidRDefault="009F0928">
            <w:pPr>
              <w:rPr>
                <w:rFonts w:ascii="Times New Roman" w:hAnsi="Times New Roman"/>
                <w:sz w:val="20"/>
                <w:szCs w:val="20"/>
              </w:rPr>
            </w:pPr>
          </w:p>
        </w:tc>
        <w:tc>
          <w:tcPr>
            <w:tcW w:w="50" w:type="pct"/>
            <w:shd w:val="clear" w:color="auto" w:fill="auto"/>
            <w:vAlign w:val="center"/>
          </w:tcPr>
          <w:p w14:paraId="0BC99184" w14:textId="77777777" w:rsidR="009F0928" w:rsidRDefault="009F0928">
            <w:pPr>
              <w:rPr>
                <w:rFonts w:ascii="Times New Roman" w:hAnsi="Times New Roman"/>
                <w:sz w:val="20"/>
                <w:szCs w:val="20"/>
              </w:rPr>
            </w:pPr>
          </w:p>
        </w:tc>
        <w:tc>
          <w:tcPr>
            <w:tcW w:w="550" w:type="pct"/>
            <w:shd w:val="clear" w:color="auto" w:fill="auto"/>
            <w:vAlign w:val="center"/>
          </w:tcPr>
          <w:p w14:paraId="0BC99185" w14:textId="77777777" w:rsidR="009F0928" w:rsidRDefault="009F0928">
            <w:pPr>
              <w:rPr>
                <w:rFonts w:ascii="Times New Roman" w:hAnsi="Times New Roman"/>
                <w:sz w:val="20"/>
                <w:szCs w:val="20"/>
              </w:rPr>
            </w:pPr>
          </w:p>
        </w:tc>
        <w:tc>
          <w:tcPr>
            <w:tcW w:w="50" w:type="pct"/>
            <w:shd w:val="clear" w:color="auto" w:fill="auto"/>
            <w:vAlign w:val="center"/>
          </w:tcPr>
          <w:p w14:paraId="0BC99186" w14:textId="77777777" w:rsidR="009F0928" w:rsidRDefault="009F0928">
            <w:pPr>
              <w:rPr>
                <w:rFonts w:ascii="Times New Roman" w:hAnsi="Times New Roman"/>
                <w:sz w:val="20"/>
                <w:szCs w:val="20"/>
              </w:rPr>
            </w:pPr>
          </w:p>
        </w:tc>
      </w:tr>
      <w:tr w:rsidR="009F0928" w14:paraId="0BC9918E" w14:textId="77777777">
        <w:trPr>
          <w:jc w:val="center"/>
        </w:trPr>
        <w:tc>
          <w:tcPr>
            <w:tcW w:w="0" w:type="auto"/>
            <w:shd w:val="clear" w:color="auto" w:fill="auto"/>
            <w:tcMar>
              <w:top w:w="40" w:type="dxa"/>
              <w:left w:w="40" w:type="dxa"/>
              <w:bottom w:w="40" w:type="dxa"/>
              <w:right w:w="40" w:type="dxa"/>
            </w:tcMar>
            <w:vAlign w:val="bottom"/>
          </w:tcPr>
          <w:p w14:paraId="0BC9918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18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18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18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18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1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195" w14:textId="77777777">
        <w:trPr>
          <w:jc w:val="center"/>
        </w:trPr>
        <w:tc>
          <w:tcPr>
            <w:tcW w:w="0" w:type="auto"/>
            <w:shd w:val="clear" w:color="auto" w:fill="auto"/>
            <w:tcMar>
              <w:top w:w="40" w:type="dxa"/>
              <w:left w:w="40" w:type="dxa"/>
              <w:bottom w:w="40" w:type="dxa"/>
              <w:right w:w="40" w:type="dxa"/>
            </w:tcMar>
            <w:vAlign w:val="bottom"/>
          </w:tcPr>
          <w:p w14:paraId="0BC9918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1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19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19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1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19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19F" w14:textId="77777777">
        <w:trPr>
          <w:jc w:val="center"/>
        </w:trPr>
        <w:tc>
          <w:tcPr>
            <w:tcW w:w="0" w:type="auto"/>
            <w:shd w:val="clear" w:color="auto" w:fill="auto"/>
            <w:tcMar>
              <w:top w:w="40" w:type="dxa"/>
              <w:left w:w="40" w:type="dxa"/>
              <w:bottom w:w="40" w:type="dxa"/>
              <w:right w:w="40" w:type="dxa"/>
            </w:tcMar>
            <w:vAlign w:val="bottom"/>
          </w:tcPr>
          <w:p w14:paraId="0BC99196" w14:textId="77777777" w:rsidR="009F0928" w:rsidRDefault="002112BD">
            <w:pPr>
              <w:textAlignment w:val="bottom"/>
              <w:rPr>
                <w:rFonts w:ascii="Times New Roman" w:hAnsi="Times New Roman"/>
                <w:sz w:val="15"/>
                <w:szCs w:val="15"/>
              </w:rPr>
            </w:pPr>
            <w:r>
              <w:rPr>
                <w:rFonts w:ascii="Arial" w:eastAsia="宋体" w:hAnsi="Arial" w:cs="Arial"/>
                <w:sz w:val="15"/>
                <w:szCs w:val="15"/>
              </w:rPr>
              <w:t>Supplemental cash flow disclosures:</w:t>
            </w:r>
          </w:p>
        </w:tc>
        <w:tc>
          <w:tcPr>
            <w:tcW w:w="0" w:type="auto"/>
            <w:gridSpan w:val="2"/>
            <w:shd w:val="clear" w:color="auto" w:fill="auto"/>
            <w:tcMar>
              <w:top w:w="40" w:type="dxa"/>
              <w:left w:w="40" w:type="dxa"/>
              <w:bottom w:w="40" w:type="dxa"/>
            </w:tcMar>
            <w:vAlign w:val="bottom"/>
          </w:tcPr>
          <w:p w14:paraId="0BC99197"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 </w:t>
            </w:r>
          </w:p>
        </w:tc>
        <w:tc>
          <w:tcPr>
            <w:tcW w:w="0" w:type="auto"/>
            <w:shd w:val="clear" w:color="auto" w:fill="auto"/>
            <w:vAlign w:val="bottom"/>
          </w:tcPr>
          <w:p w14:paraId="0BC9919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19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19A"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 </w:t>
            </w:r>
          </w:p>
        </w:tc>
        <w:tc>
          <w:tcPr>
            <w:tcW w:w="0" w:type="auto"/>
            <w:shd w:val="clear" w:color="auto" w:fill="auto"/>
            <w:vAlign w:val="bottom"/>
          </w:tcPr>
          <w:p w14:paraId="0BC9919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19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19D"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 </w:t>
            </w:r>
          </w:p>
        </w:tc>
        <w:tc>
          <w:tcPr>
            <w:tcW w:w="0" w:type="auto"/>
            <w:shd w:val="clear" w:color="auto" w:fill="auto"/>
            <w:vAlign w:val="bottom"/>
          </w:tcPr>
          <w:p w14:paraId="0BC9919E" w14:textId="77777777" w:rsidR="009F0928" w:rsidRDefault="009F0928">
            <w:pPr>
              <w:textAlignment w:val="bottom"/>
              <w:rPr>
                <w:rFonts w:ascii="Times New Roman" w:hAnsi="Times New Roman"/>
                <w:sz w:val="20"/>
                <w:szCs w:val="20"/>
              </w:rPr>
            </w:pPr>
          </w:p>
        </w:tc>
      </w:tr>
      <w:tr w:rsidR="009F0928" w14:paraId="0BC991A6" w14:textId="77777777">
        <w:trPr>
          <w:jc w:val="center"/>
        </w:trPr>
        <w:tc>
          <w:tcPr>
            <w:tcW w:w="0" w:type="auto"/>
            <w:shd w:val="clear" w:color="auto" w:fill="E2E2E2"/>
            <w:tcMar>
              <w:top w:w="40" w:type="dxa"/>
              <w:left w:w="400" w:type="dxa"/>
              <w:bottom w:w="40" w:type="dxa"/>
              <w:right w:w="40" w:type="dxa"/>
            </w:tcMar>
            <w:vAlign w:val="bottom"/>
          </w:tcPr>
          <w:p w14:paraId="0BC991A0" w14:textId="77777777" w:rsidR="009F0928" w:rsidRDefault="002112BD">
            <w:pPr>
              <w:textAlignment w:val="bottom"/>
              <w:rPr>
                <w:rFonts w:ascii="Times New Roman" w:hAnsi="Times New Roman"/>
                <w:sz w:val="15"/>
                <w:szCs w:val="15"/>
              </w:rPr>
            </w:pPr>
            <w:r>
              <w:rPr>
                <w:rFonts w:ascii="Arial" w:eastAsia="宋体" w:hAnsi="Arial" w:cs="Arial"/>
                <w:sz w:val="15"/>
                <w:szCs w:val="15"/>
              </w:rPr>
              <w:t>Cash paid for:</w:t>
            </w:r>
          </w:p>
        </w:tc>
        <w:tc>
          <w:tcPr>
            <w:tcW w:w="0" w:type="auto"/>
            <w:gridSpan w:val="3"/>
            <w:shd w:val="clear" w:color="auto" w:fill="E2E2E2"/>
            <w:tcMar>
              <w:top w:w="40" w:type="dxa"/>
              <w:left w:w="40" w:type="dxa"/>
              <w:bottom w:w="40" w:type="dxa"/>
              <w:right w:w="40" w:type="dxa"/>
            </w:tcMar>
            <w:vAlign w:val="bottom"/>
          </w:tcPr>
          <w:p w14:paraId="0BC991A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1A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1A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1A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1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1B3" w14:textId="77777777">
        <w:trPr>
          <w:jc w:val="center"/>
        </w:trPr>
        <w:tc>
          <w:tcPr>
            <w:tcW w:w="0" w:type="auto"/>
            <w:shd w:val="clear" w:color="auto" w:fill="auto"/>
            <w:tcMar>
              <w:top w:w="40" w:type="dxa"/>
              <w:left w:w="720" w:type="dxa"/>
              <w:bottom w:w="40" w:type="dxa"/>
              <w:right w:w="40" w:type="dxa"/>
            </w:tcMar>
            <w:vAlign w:val="bottom"/>
          </w:tcPr>
          <w:p w14:paraId="0BC991A7" w14:textId="77777777" w:rsidR="009F0928" w:rsidRDefault="002112BD">
            <w:pPr>
              <w:textAlignment w:val="bottom"/>
              <w:rPr>
                <w:rFonts w:ascii="Times New Roman" w:hAnsi="Times New Roman"/>
                <w:sz w:val="15"/>
                <w:szCs w:val="15"/>
              </w:rPr>
            </w:pPr>
            <w:r>
              <w:rPr>
                <w:rFonts w:ascii="Arial" w:eastAsia="宋体" w:hAnsi="Arial" w:cs="Arial"/>
                <w:sz w:val="15"/>
                <w:szCs w:val="15"/>
              </w:rPr>
              <w:t>Interest</w:t>
            </w:r>
          </w:p>
        </w:tc>
        <w:tc>
          <w:tcPr>
            <w:tcW w:w="0" w:type="auto"/>
            <w:shd w:val="clear" w:color="auto" w:fill="auto"/>
            <w:tcMar>
              <w:top w:w="40" w:type="dxa"/>
              <w:left w:w="40" w:type="dxa"/>
              <w:bottom w:w="40" w:type="dxa"/>
            </w:tcMar>
            <w:vAlign w:val="bottom"/>
          </w:tcPr>
          <w:p w14:paraId="0BC991A8"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0BC991A9"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304</w:t>
            </w:r>
          </w:p>
        </w:tc>
        <w:tc>
          <w:tcPr>
            <w:tcW w:w="0" w:type="auto"/>
            <w:shd w:val="clear" w:color="auto" w:fill="auto"/>
            <w:vAlign w:val="bottom"/>
          </w:tcPr>
          <w:p w14:paraId="0BC991A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1A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1AC"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0BC991AD"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314</w:t>
            </w:r>
          </w:p>
        </w:tc>
        <w:tc>
          <w:tcPr>
            <w:tcW w:w="0" w:type="auto"/>
            <w:shd w:val="clear" w:color="auto" w:fill="auto"/>
            <w:vAlign w:val="bottom"/>
          </w:tcPr>
          <w:p w14:paraId="0BC991A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1A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1B0"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0BC991B1"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285</w:t>
            </w:r>
          </w:p>
        </w:tc>
        <w:tc>
          <w:tcPr>
            <w:tcW w:w="0" w:type="auto"/>
            <w:shd w:val="clear" w:color="auto" w:fill="auto"/>
            <w:vAlign w:val="bottom"/>
          </w:tcPr>
          <w:p w14:paraId="0BC991B2" w14:textId="77777777" w:rsidR="009F0928" w:rsidRDefault="009F0928">
            <w:pPr>
              <w:textAlignment w:val="bottom"/>
              <w:rPr>
                <w:rFonts w:ascii="Times New Roman" w:hAnsi="Times New Roman"/>
                <w:sz w:val="20"/>
                <w:szCs w:val="20"/>
              </w:rPr>
            </w:pPr>
          </w:p>
        </w:tc>
      </w:tr>
      <w:tr w:rsidR="009F0928" w14:paraId="0BC991C0" w14:textId="77777777">
        <w:trPr>
          <w:jc w:val="center"/>
        </w:trPr>
        <w:tc>
          <w:tcPr>
            <w:tcW w:w="0" w:type="auto"/>
            <w:shd w:val="clear" w:color="auto" w:fill="E2E2E2"/>
            <w:tcMar>
              <w:top w:w="40" w:type="dxa"/>
              <w:left w:w="720" w:type="dxa"/>
              <w:bottom w:w="40" w:type="dxa"/>
              <w:right w:w="40" w:type="dxa"/>
            </w:tcMar>
            <w:vAlign w:val="bottom"/>
          </w:tcPr>
          <w:p w14:paraId="0BC991B4" w14:textId="77777777" w:rsidR="009F0928" w:rsidRDefault="002112BD">
            <w:pPr>
              <w:textAlignment w:val="bottom"/>
              <w:rPr>
                <w:rFonts w:ascii="Times New Roman" w:hAnsi="Times New Roman"/>
                <w:sz w:val="15"/>
                <w:szCs w:val="15"/>
              </w:rPr>
            </w:pPr>
            <w:r>
              <w:rPr>
                <w:rFonts w:ascii="Arial" w:eastAsia="宋体" w:hAnsi="Arial" w:cs="Arial"/>
                <w:sz w:val="15"/>
                <w:szCs w:val="15"/>
              </w:rPr>
              <w:t>Interest on finance lease obligations</w:t>
            </w:r>
          </w:p>
        </w:tc>
        <w:tc>
          <w:tcPr>
            <w:tcW w:w="0" w:type="auto"/>
            <w:shd w:val="clear" w:color="auto" w:fill="E2E2E2"/>
            <w:tcMar>
              <w:top w:w="40" w:type="dxa"/>
              <w:left w:w="40" w:type="dxa"/>
              <w:bottom w:w="40" w:type="dxa"/>
            </w:tcMar>
            <w:vAlign w:val="bottom"/>
          </w:tcPr>
          <w:p w14:paraId="0BC991B5"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bottom w:w="40" w:type="dxa"/>
            </w:tcMar>
            <w:vAlign w:val="bottom"/>
          </w:tcPr>
          <w:p w14:paraId="0BC991B6"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E2E2E2"/>
            <w:vAlign w:val="bottom"/>
          </w:tcPr>
          <w:p w14:paraId="0BC991B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1B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1B9"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bottom w:w="40" w:type="dxa"/>
            </w:tcMar>
            <w:vAlign w:val="bottom"/>
          </w:tcPr>
          <w:p w14:paraId="0BC991BA"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vAlign w:val="bottom"/>
          </w:tcPr>
          <w:p w14:paraId="0BC991B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1B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1BD"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bottom w:w="40" w:type="dxa"/>
            </w:tcMar>
            <w:vAlign w:val="bottom"/>
          </w:tcPr>
          <w:p w14:paraId="0BC991BE"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vAlign w:val="bottom"/>
          </w:tcPr>
          <w:p w14:paraId="0BC991BF" w14:textId="77777777" w:rsidR="009F0928" w:rsidRDefault="009F0928">
            <w:pPr>
              <w:textAlignment w:val="bottom"/>
              <w:rPr>
                <w:rFonts w:ascii="Times New Roman" w:hAnsi="Times New Roman"/>
                <w:sz w:val="20"/>
                <w:szCs w:val="20"/>
              </w:rPr>
            </w:pPr>
          </w:p>
        </w:tc>
      </w:tr>
      <w:tr w:rsidR="009F0928" w14:paraId="0BC991CD" w14:textId="77777777">
        <w:trPr>
          <w:jc w:val="center"/>
        </w:trPr>
        <w:tc>
          <w:tcPr>
            <w:tcW w:w="0" w:type="auto"/>
            <w:shd w:val="clear" w:color="auto" w:fill="auto"/>
            <w:tcMar>
              <w:top w:w="40" w:type="dxa"/>
              <w:left w:w="720" w:type="dxa"/>
              <w:bottom w:w="40" w:type="dxa"/>
              <w:right w:w="40" w:type="dxa"/>
            </w:tcMar>
            <w:vAlign w:val="bottom"/>
          </w:tcPr>
          <w:p w14:paraId="0BC991C1" w14:textId="77777777" w:rsidR="009F0928" w:rsidRDefault="002112BD">
            <w:pPr>
              <w:textAlignment w:val="bottom"/>
              <w:rPr>
                <w:rFonts w:ascii="Times New Roman" w:hAnsi="Times New Roman"/>
                <w:sz w:val="15"/>
                <w:szCs w:val="15"/>
              </w:rPr>
            </w:pPr>
            <w:r>
              <w:rPr>
                <w:rFonts w:ascii="Arial" w:eastAsia="宋体" w:hAnsi="Arial" w:cs="Arial"/>
                <w:sz w:val="15"/>
                <w:szCs w:val="15"/>
              </w:rPr>
              <w:t>Income taxes</w:t>
            </w:r>
          </w:p>
        </w:tc>
        <w:tc>
          <w:tcPr>
            <w:tcW w:w="0" w:type="auto"/>
            <w:shd w:val="clear" w:color="auto" w:fill="auto"/>
            <w:tcMar>
              <w:top w:w="40" w:type="dxa"/>
              <w:left w:w="40" w:type="dxa"/>
              <w:bottom w:w="40" w:type="dxa"/>
            </w:tcMar>
            <w:vAlign w:val="bottom"/>
          </w:tcPr>
          <w:p w14:paraId="0BC991C2"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0BC991C3"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333</w:t>
            </w:r>
          </w:p>
        </w:tc>
        <w:tc>
          <w:tcPr>
            <w:tcW w:w="0" w:type="auto"/>
            <w:shd w:val="clear" w:color="auto" w:fill="auto"/>
            <w:vAlign w:val="bottom"/>
          </w:tcPr>
          <w:p w14:paraId="0BC991C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1C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1C6"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0BC991C7"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597</w:t>
            </w:r>
          </w:p>
        </w:tc>
        <w:tc>
          <w:tcPr>
            <w:tcW w:w="0" w:type="auto"/>
            <w:shd w:val="clear" w:color="auto" w:fill="auto"/>
            <w:vAlign w:val="bottom"/>
          </w:tcPr>
          <w:p w14:paraId="0BC991C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1C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1CA"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0BC991CB"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308</w:t>
            </w:r>
          </w:p>
        </w:tc>
        <w:tc>
          <w:tcPr>
            <w:tcW w:w="0" w:type="auto"/>
            <w:shd w:val="clear" w:color="auto" w:fill="auto"/>
            <w:vAlign w:val="bottom"/>
          </w:tcPr>
          <w:p w14:paraId="0BC991CC" w14:textId="77777777" w:rsidR="009F0928" w:rsidRDefault="009F0928">
            <w:pPr>
              <w:textAlignment w:val="bottom"/>
              <w:rPr>
                <w:rFonts w:ascii="Times New Roman" w:hAnsi="Times New Roman"/>
                <w:sz w:val="20"/>
                <w:szCs w:val="20"/>
              </w:rPr>
            </w:pPr>
          </w:p>
        </w:tc>
      </w:tr>
      <w:tr w:rsidR="009F0928" w14:paraId="0BC991D4" w14:textId="77777777">
        <w:trPr>
          <w:jc w:val="center"/>
        </w:trPr>
        <w:tc>
          <w:tcPr>
            <w:tcW w:w="0" w:type="auto"/>
            <w:shd w:val="clear" w:color="auto" w:fill="E2E2E2"/>
            <w:tcMar>
              <w:top w:w="40" w:type="dxa"/>
              <w:left w:w="400" w:type="dxa"/>
              <w:bottom w:w="40" w:type="dxa"/>
              <w:right w:w="40" w:type="dxa"/>
            </w:tcMar>
            <w:vAlign w:val="bottom"/>
          </w:tcPr>
          <w:p w14:paraId="0BC991CE" w14:textId="77777777" w:rsidR="009F0928" w:rsidRDefault="002112BD">
            <w:pPr>
              <w:textAlignment w:val="bottom"/>
              <w:rPr>
                <w:rFonts w:ascii="Times New Roman" w:hAnsi="Times New Roman"/>
                <w:sz w:val="15"/>
                <w:szCs w:val="15"/>
              </w:rPr>
            </w:pPr>
            <w:r>
              <w:rPr>
                <w:rFonts w:ascii="Arial" w:eastAsia="宋体" w:hAnsi="Arial" w:cs="Arial"/>
                <w:sz w:val="15"/>
                <w:szCs w:val="15"/>
              </w:rPr>
              <w:t xml:space="preserve">Noncash investing </w:t>
            </w:r>
            <w:r>
              <w:rPr>
                <w:rFonts w:ascii="Arial" w:eastAsia="宋体" w:hAnsi="Arial" w:cs="Arial"/>
                <w:sz w:val="15"/>
                <w:szCs w:val="15"/>
              </w:rPr>
              <w:t>activities:</w:t>
            </w:r>
          </w:p>
        </w:tc>
        <w:tc>
          <w:tcPr>
            <w:tcW w:w="0" w:type="auto"/>
            <w:gridSpan w:val="3"/>
            <w:shd w:val="clear" w:color="auto" w:fill="E2E2E2"/>
            <w:tcMar>
              <w:top w:w="40" w:type="dxa"/>
              <w:left w:w="40" w:type="dxa"/>
              <w:bottom w:w="40" w:type="dxa"/>
              <w:right w:w="40" w:type="dxa"/>
            </w:tcMar>
            <w:vAlign w:val="bottom"/>
          </w:tcPr>
          <w:p w14:paraId="0BC991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1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1D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1D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1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1E1" w14:textId="77777777">
        <w:trPr>
          <w:jc w:val="center"/>
        </w:trPr>
        <w:tc>
          <w:tcPr>
            <w:tcW w:w="0" w:type="auto"/>
            <w:shd w:val="clear" w:color="auto" w:fill="auto"/>
            <w:tcMar>
              <w:top w:w="40" w:type="dxa"/>
              <w:left w:w="720" w:type="dxa"/>
              <w:bottom w:w="40" w:type="dxa"/>
              <w:right w:w="40" w:type="dxa"/>
            </w:tcMar>
            <w:vAlign w:val="bottom"/>
          </w:tcPr>
          <w:p w14:paraId="0BC991D5" w14:textId="77777777" w:rsidR="009F0928" w:rsidRDefault="002112BD">
            <w:pPr>
              <w:textAlignment w:val="bottom"/>
              <w:rPr>
                <w:rFonts w:ascii="Times New Roman" w:hAnsi="Times New Roman"/>
                <w:sz w:val="15"/>
                <w:szCs w:val="15"/>
              </w:rPr>
            </w:pPr>
            <w:r>
              <w:rPr>
                <w:rFonts w:ascii="Arial" w:eastAsia="宋体" w:hAnsi="Arial" w:cs="Arial"/>
                <w:sz w:val="15"/>
                <w:szCs w:val="15"/>
              </w:rPr>
              <w:t>Relinquishment of equity method investment</w:t>
            </w:r>
          </w:p>
        </w:tc>
        <w:tc>
          <w:tcPr>
            <w:tcW w:w="0" w:type="auto"/>
            <w:shd w:val="clear" w:color="auto" w:fill="auto"/>
            <w:tcMar>
              <w:top w:w="40" w:type="dxa"/>
              <w:left w:w="40" w:type="dxa"/>
              <w:bottom w:w="40" w:type="dxa"/>
            </w:tcMar>
            <w:vAlign w:val="bottom"/>
          </w:tcPr>
          <w:p w14:paraId="0BC991D6"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0BC991D7"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0BC991D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1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1DA"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0BC991DB"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266</w:t>
            </w:r>
          </w:p>
        </w:tc>
        <w:tc>
          <w:tcPr>
            <w:tcW w:w="0" w:type="auto"/>
            <w:shd w:val="clear" w:color="auto" w:fill="auto"/>
            <w:vAlign w:val="bottom"/>
          </w:tcPr>
          <w:p w14:paraId="0BC991D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1D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1DE"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0BC991DF"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0BC991E0" w14:textId="77777777" w:rsidR="009F0928" w:rsidRDefault="009F0928">
            <w:pPr>
              <w:textAlignment w:val="bottom"/>
              <w:rPr>
                <w:rFonts w:ascii="Times New Roman" w:hAnsi="Times New Roman"/>
                <w:sz w:val="20"/>
                <w:szCs w:val="20"/>
              </w:rPr>
            </w:pPr>
          </w:p>
        </w:tc>
      </w:tr>
      <w:tr w:rsidR="009F0928" w14:paraId="0BC991EE" w14:textId="77777777">
        <w:trPr>
          <w:jc w:val="center"/>
        </w:trPr>
        <w:tc>
          <w:tcPr>
            <w:tcW w:w="0" w:type="auto"/>
            <w:shd w:val="clear" w:color="auto" w:fill="E2E2E2"/>
            <w:tcMar>
              <w:top w:w="40" w:type="dxa"/>
              <w:left w:w="720" w:type="dxa"/>
              <w:bottom w:w="40" w:type="dxa"/>
              <w:right w:w="40" w:type="dxa"/>
            </w:tcMar>
            <w:vAlign w:val="bottom"/>
          </w:tcPr>
          <w:p w14:paraId="0BC991E2" w14:textId="77777777" w:rsidR="009F0928" w:rsidRDefault="002112BD">
            <w:pPr>
              <w:textAlignment w:val="bottom"/>
              <w:rPr>
                <w:rFonts w:ascii="Times New Roman" w:hAnsi="Times New Roman"/>
                <w:sz w:val="15"/>
                <w:szCs w:val="15"/>
              </w:rPr>
            </w:pPr>
            <w:r>
              <w:rPr>
                <w:rFonts w:ascii="Arial" w:eastAsia="宋体" w:hAnsi="Arial" w:cs="Arial"/>
                <w:sz w:val="15"/>
                <w:szCs w:val="15"/>
              </w:rPr>
              <w:t>Sale of business in exchange for ownership interest in Flipkart</w:t>
            </w:r>
          </w:p>
        </w:tc>
        <w:tc>
          <w:tcPr>
            <w:tcW w:w="0" w:type="auto"/>
            <w:shd w:val="clear" w:color="auto" w:fill="E2E2E2"/>
            <w:tcMar>
              <w:top w:w="40" w:type="dxa"/>
              <w:left w:w="40" w:type="dxa"/>
              <w:bottom w:w="40" w:type="dxa"/>
            </w:tcMar>
            <w:vAlign w:val="bottom"/>
          </w:tcPr>
          <w:p w14:paraId="0BC991E3"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bottom w:w="40" w:type="dxa"/>
            </w:tcMar>
            <w:vAlign w:val="bottom"/>
          </w:tcPr>
          <w:p w14:paraId="0BC991E4"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vAlign w:val="bottom"/>
          </w:tcPr>
          <w:p w14:paraId="0BC991E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1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1E7"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bottom w:w="40" w:type="dxa"/>
            </w:tcMar>
            <w:vAlign w:val="bottom"/>
          </w:tcPr>
          <w:p w14:paraId="0BC991E8"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vAlign w:val="bottom"/>
          </w:tcPr>
          <w:p w14:paraId="0BC991E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1E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1EB" w14:textId="77777777" w:rsidR="009F0928" w:rsidRDefault="002112BD">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E2E2E2"/>
            <w:tcMar>
              <w:top w:w="40" w:type="dxa"/>
              <w:bottom w:w="40" w:type="dxa"/>
            </w:tcMar>
            <w:vAlign w:val="bottom"/>
          </w:tcPr>
          <w:p w14:paraId="0BC991EC" w14:textId="77777777" w:rsidR="009F0928" w:rsidRDefault="002112BD">
            <w:pPr>
              <w:jc w:val="right"/>
              <w:textAlignment w:val="bottom"/>
              <w:rPr>
                <w:rFonts w:ascii="Times New Roman" w:hAnsi="Times New Roman"/>
                <w:sz w:val="15"/>
                <w:szCs w:val="15"/>
              </w:rPr>
            </w:pPr>
            <w:r>
              <w:rPr>
                <w:rFonts w:ascii="Arial" w:eastAsia="宋体" w:hAnsi="Arial" w:cs="Arial"/>
                <w:sz w:val="15"/>
                <w:szCs w:val="15"/>
              </w:rPr>
              <w:t>211</w:t>
            </w:r>
          </w:p>
        </w:tc>
        <w:tc>
          <w:tcPr>
            <w:tcW w:w="0" w:type="auto"/>
            <w:shd w:val="clear" w:color="auto" w:fill="E2E2E2"/>
            <w:vAlign w:val="bottom"/>
          </w:tcPr>
          <w:p w14:paraId="0BC991ED" w14:textId="77777777" w:rsidR="009F0928" w:rsidRDefault="009F0928">
            <w:pPr>
              <w:textAlignment w:val="bottom"/>
              <w:rPr>
                <w:rFonts w:ascii="Times New Roman" w:hAnsi="Times New Roman"/>
                <w:sz w:val="20"/>
                <w:szCs w:val="20"/>
              </w:rPr>
            </w:pPr>
          </w:p>
        </w:tc>
      </w:tr>
    </w:tbl>
    <w:p w14:paraId="0BC991EF" w14:textId="77777777" w:rsidR="009F0928" w:rsidRDefault="002112BD">
      <w:pPr>
        <w:spacing w:line="288" w:lineRule="auto"/>
        <w:jc w:val="center"/>
        <w:rPr>
          <w:rFonts w:ascii="Times New Roman" w:hAnsi="Times New Roman"/>
          <w:sz w:val="16"/>
          <w:szCs w:val="16"/>
        </w:rPr>
      </w:pPr>
      <w:r>
        <w:rPr>
          <w:rFonts w:ascii="Arial" w:eastAsia="宋体" w:hAnsi="Arial" w:cs="Arial"/>
          <w:sz w:val="16"/>
          <w:szCs w:val="16"/>
        </w:rPr>
        <w:t xml:space="preserve">The accompanying notes are an integral part of these consolidated </w:t>
      </w:r>
      <w:r>
        <w:rPr>
          <w:rFonts w:ascii="Arial" w:eastAsia="宋体" w:hAnsi="Arial" w:cs="Arial"/>
          <w:sz w:val="16"/>
          <w:szCs w:val="16"/>
        </w:rPr>
        <w:t>financial statements.</w:t>
      </w:r>
    </w:p>
    <w:p w14:paraId="0BC991F0" w14:textId="77777777" w:rsidR="009F0928" w:rsidRDefault="009F0928">
      <w:pPr>
        <w:rPr>
          <w:rFonts w:ascii="Times New Roman" w:hAnsi="Times New Roman"/>
          <w:sz w:val="20"/>
          <w:szCs w:val="20"/>
        </w:rPr>
      </w:pPr>
    </w:p>
    <w:p w14:paraId="0BC991F1"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F-8</w:t>
      </w:r>
    </w:p>
    <w:p w14:paraId="0BC991F2" w14:textId="77777777" w:rsidR="009F0928" w:rsidRDefault="002112BD">
      <w:r>
        <w:rPr>
          <w:rFonts w:ascii="Times New Roman" w:hAnsi="Times New Roman"/>
          <w:sz w:val="18"/>
          <w:szCs w:val="18"/>
        </w:rPr>
        <w:pict w14:anchorId="0BC9B502">
          <v:rect id="_x0000_i1094" style="width:415.3pt;height:1.5pt" o:hralign="center" o:hrstd="t" o:hr="t" fillcolor="#a0a0a0" stroked="f"/>
        </w:pict>
      </w:r>
    </w:p>
    <w:p w14:paraId="0BC991F3" w14:textId="77777777" w:rsidR="009F0928" w:rsidRDefault="009F0928">
      <w:pPr>
        <w:spacing w:line="288" w:lineRule="auto"/>
        <w:rPr>
          <w:rFonts w:ascii="Times New Roman" w:hAnsi="Times New Roman"/>
          <w:sz w:val="20"/>
          <w:szCs w:val="20"/>
        </w:rPr>
      </w:pPr>
    </w:p>
    <w:p w14:paraId="0BC991F4" w14:textId="77777777" w:rsidR="009F0928" w:rsidRDefault="009F0928">
      <w:pPr>
        <w:rPr>
          <w:rFonts w:ascii="Times New Roman" w:hAnsi="Times New Roman"/>
          <w:sz w:val="20"/>
          <w:szCs w:val="20"/>
        </w:rPr>
      </w:pPr>
    </w:p>
    <w:p w14:paraId="0BC991F5"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eBay Inc. </w:t>
      </w:r>
    </w:p>
    <w:p w14:paraId="0BC991F6"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NOTES TO CONSOLIDATED FINANCIAL STATEMENTS </w:t>
      </w:r>
    </w:p>
    <w:p w14:paraId="0BC991F7" w14:textId="77777777" w:rsidR="009F0928" w:rsidRDefault="009F0928">
      <w:pPr>
        <w:spacing w:line="288" w:lineRule="auto"/>
        <w:jc w:val="center"/>
        <w:rPr>
          <w:rFonts w:ascii="Times New Roman" w:hAnsi="Times New Roman"/>
          <w:sz w:val="20"/>
          <w:szCs w:val="20"/>
        </w:rPr>
      </w:pPr>
    </w:p>
    <w:p w14:paraId="0BC991F8"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 xml:space="preserve">Note 1 – The Company and Summary of Significant Accounting Policies </w:t>
      </w:r>
    </w:p>
    <w:p w14:paraId="0BC991F9"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The Company </w:t>
      </w:r>
    </w:p>
    <w:p w14:paraId="0BC991FA" w14:textId="77777777" w:rsidR="009F0928" w:rsidRDefault="009F0928">
      <w:pPr>
        <w:spacing w:line="288" w:lineRule="auto"/>
        <w:ind w:firstLine="720"/>
        <w:jc w:val="both"/>
        <w:rPr>
          <w:rFonts w:ascii="Times New Roman" w:hAnsi="Times New Roman"/>
          <w:sz w:val="20"/>
          <w:szCs w:val="20"/>
        </w:rPr>
      </w:pPr>
    </w:p>
    <w:p w14:paraId="0BC991F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eBay Inc. is a global commerce leader, which includes our Marketplace, StubHub and </w:t>
      </w:r>
      <w:r>
        <w:rPr>
          <w:rFonts w:ascii="Arial" w:eastAsia="宋体" w:hAnsi="Arial" w:cs="Arial"/>
          <w:sz w:val="20"/>
          <w:szCs w:val="20"/>
        </w:rPr>
        <w:t>Classifieds platforms. Founded in 1995 in San Jose, California, eBay is one of the world’s largest and most vibrant marketplaces for discovering great value and unique selection. Collectively, we connect millions of buyers and sellers around the world, emp</w:t>
      </w:r>
      <w:r>
        <w:rPr>
          <w:rFonts w:ascii="Arial" w:eastAsia="宋体" w:hAnsi="Arial" w:cs="Arial"/>
          <w:sz w:val="20"/>
          <w:szCs w:val="20"/>
        </w:rPr>
        <w:t>owering people and creating opportunity for all. Our technologies and services are designed to give buyers choice and a breadth of relevant inventory and to enable sellers worldwide to organize and offer their inventory for sale, virtually anytime and anyw</w:t>
      </w:r>
      <w:r>
        <w:rPr>
          <w:rFonts w:ascii="Arial" w:eastAsia="宋体" w:hAnsi="Arial" w:cs="Arial"/>
          <w:sz w:val="20"/>
          <w:szCs w:val="20"/>
        </w:rPr>
        <w:t>here. </w:t>
      </w:r>
    </w:p>
    <w:p w14:paraId="0BC991FC" w14:textId="77777777" w:rsidR="009F0928" w:rsidRDefault="009F0928">
      <w:pPr>
        <w:spacing w:line="288" w:lineRule="auto"/>
        <w:ind w:firstLine="720"/>
        <w:jc w:val="both"/>
        <w:rPr>
          <w:rFonts w:ascii="Times New Roman" w:hAnsi="Times New Roman"/>
          <w:sz w:val="20"/>
          <w:szCs w:val="20"/>
        </w:rPr>
      </w:pPr>
    </w:p>
    <w:p w14:paraId="0BC991F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When we refer to “we,” “our,” “us” or “eBay” in this Annual Report on Form 10-K, we mean the current Delaware corporation (eBay Inc.) and its consolidated subsidiaries, unless otherwise expressly stated or the context otherwise requires.</w:t>
      </w:r>
    </w:p>
    <w:p w14:paraId="0BC991FE" w14:textId="77777777" w:rsidR="009F0928" w:rsidRDefault="009F0928">
      <w:pPr>
        <w:spacing w:line="288" w:lineRule="auto"/>
        <w:ind w:firstLine="720"/>
        <w:jc w:val="both"/>
        <w:rPr>
          <w:rFonts w:ascii="Times New Roman" w:hAnsi="Times New Roman"/>
          <w:sz w:val="20"/>
          <w:szCs w:val="20"/>
        </w:rPr>
      </w:pPr>
    </w:p>
    <w:p w14:paraId="0BC991F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In the </w:t>
      </w:r>
      <w:r>
        <w:rPr>
          <w:rFonts w:ascii="Arial" w:eastAsia="宋体" w:hAnsi="Arial" w:cs="Arial"/>
          <w:sz w:val="20"/>
          <w:szCs w:val="20"/>
        </w:rPr>
        <w:t>first quarter of 2019, we announced several organizational changes, including bringing our Marketplace geographic regions together under one global leadership team. We changed from one reportable segment to three reportable segments to reflect the way mana</w:t>
      </w:r>
      <w:r>
        <w:rPr>
          <w:rFonts w:ascii="Arial" w:eastAsia="宋体" w:hAnsi="Arial" w:cs="Arial"/>
          <w:sz w:val="20"/>
          <w:szCs w:val="20"/>
        </w:rPr>
        <w:t>gement and our chief operating decision maker (“CODM”) review and assess performance of the business. Our three reportable segments are Marketplace, StubHub and Classifieds. Marketplace includes our online marketplace located at www.ebay.com, its localized</w:t>
      </w:r>
      <w:r>
        <w:rPr>
          <w:rFonts w:ascii="Arial" w:eastAsia="宋体" w:hAnsi="Arial" w:cs="Arial"/>
          <w:sz w:val="20"/>
          <w:szCs w:val="20"/>
        </w:rPr>
        <w:t xml:space="preserve"> counterparts and the eBay suite of mobile apps. StubHub includes our online ticket platform located at www.stubhub.com, its localized counterparts and the StubHub mobile apps. Classifieds includes a collection of brands such as Mobile.de, Kijiji, Gumtree,</w:t>
      </w:r>
      <w:r>
        <w:rPr>
          <w:rFonts w:ascii="Arial" w:eastAsia="宋体" w:hAnsi="Arial" w:cs="Arial"/>
          <w:sz w:val="20"/>
          <w:szCs w:val="20"/>
        </w:rPr>
        <w:t xml:space="preserve"> Marktplaats, eBay Kleinanzeigen and others. Prior period information has been reclassified to conform to the current period segment presentation. For further information on our segments, refer to “Note 5 – Segments” to our consolidated financial statement</w:t>
      </w:r>
      <w:r>
        <w:rPr>
          <w:rFonts w:ascii="Arial" w:eastAsia="宋体" w:hAnsi="Arial" w:cs="Arial"/>
          <w:sz w:val="20"/>
          <w:szCs w:val="20"/>
        </w:rPr>
        <w:t>s included in this report.</w:t>
      </w:r>
    </w:p>
    <w:p w14:paraId="0BC99200" w14:textId="77777777" w:rsidR="009F0928" w:rsidRDefault="009F0928">
      <w:pPr>
        <w:spacing w:line="288" w:lineRule="auto"/>
        <w:rPr>
          <w:rFonts w:ascii="Times New Roman" w:hAnsi="Times New Roman"/>
          <w:sz w:val="20"/>
          <w:szCs w:val="20"/>
        </w:rPr>
      </w:pPr>
    </w:p>
    <w:p w14:paraId="0BC9920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On November 24, 2019, we entered into a stock purchase agreement with an affiliate of viagogo to sell StubHub for $4.05 billion, subject to certain adjustments. The completion, on our expected timeline, of the proposed sale of S</w:t>
      </w:r>
      <w:r>
        <w:rPr>
          <w:rFonts w:ascii="Arial" w:eastAsia="宋体" w:hAnsi="Arial" w:cs="Arial"/>
          <w:sz w:val="20"/>
          <w:szCs w:val="20"/>
        </w:rPr>
        <w:t>tubHub is subject to closing conditions and viagogo’s ability to obtain debt and equity financing on a timely basis, both of which have not been met as of December 31, 2019. If the conditions to the closing of the sale of StubHub are neither satisfied nor,</w:t>
      </w:r>
      <w:r>
        <w:rPr>
          <w:rFonts w:ascii="Arial" w:eastAsia="宋体" w:hAnsi="Arial" w:cs="Arial"/>
          <w:sz w:val="20"/>
          <w:szCs w:val="20"/>
        </w:rPr>
        <w:t xml:space="preserve"> where permissible, waived on a timely basis or at all, we may be unable to complete the sale of StubHub or such completion may be delayed beyond our expected timeline. Given the uncertainty, we have determined as of December 31, 2019 the transaction is no</w:t>
      </w:r>
      <w:r>
        <w:rPr>
          <w:rFonts w:ascii="Arial" w:eastAsia="宋体" w:hAnsi="Arial" w:cs="Arial"/>
          <w:sz w:val="20"/>
          <w:szCs w:val="20"/>
        </w:rPr>
        <w:t>t considered probable to close. As such, StubHub continues to be classified as held for use in our December 31, 2019 consolidated financial statements. </w:t>
      </w:r>
    </w:p>
    <w:p w14:paraId="0BC99202" w14:textId="77777777" w:rsidR="009F0928" w:rsidRDefault="009F0928">
      <w:pPr>
        <w:spacing w:line="288" w:lineRule="auto"/>
        <w:ind w:firstLine="960"/>
        <w:jc w:val="both"/>
        <w:rPr>
          <w:rFonts w:ascii="Times New Roman" w:hAnsi="Times New Roman"/>
          <w:sz w:val="20"/>
          <w:szCs w:val="20"/>
        </w:rPr>
      </w:pPr>
    </w:p>
    <w:p w14:paraId="0BC99203"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Use of Estimates </w:t>
      </w:r>
    </w:p>
    <w:p w14:paraId="0BC99204" w14:textId="77777777" w:rsidR="009F0928" w:rsidRDefault="009F0928">
      <w:pPr>
        <w:spacing w:line="288" w:lineRule="auto"/>
        <w:jc w:val="both"/>
        <w:rPr>
          <w:rFonts w:ascii="Times New Roman" w:hAnsi="Times New Roman"/>
          <w:sz w:val="20"/>
          <w:szCs w:val="20"/>
        </w:rPr>
      </w:pPr>
    </w:p>
    <w:p w14:paraId="0BC9920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preparation of consolidated financial statements in conformity with U.S. genera</w:t>
      </w:r>
      <w:r>
        <w:rPr>
          <w:rFonts w:ascii="Arial" w:eastAsia="宋体" w:hAnsi="Arial" w:cs="Arial"/>
          <w:sz w:val="20"/>
          <w:szCs w:val="20"/>
        </w:rPr>
        <w:t>lly accepted accounting principles (“GAAP”) requires management to make estimates and assumptions that affect the reported amounts of assets and liabilities and disclosure of contingent assets and liabilities at the date of the consolidated financial state</w:t>
      </w:r>
      <w:r>
        <w:rPr>
          <w:rFonts w:ascii="Arial" w:eastAsia="宋体" w:hAnsi="Arial" w:cs="Arial"/>
          <w:sz w:val="20"/>
          <w:szCs w:val="20"/>
        </w:rPr>
        <w:t>ments and the reported amounts of revenues and expenses during the reporting period. On an ongoing basis, we evaluate our estimates, including those related to provisions for transaction losses, legal contingencies, income taxes, revenue recognition, stock</w:t>
      </w:r>
      <w:r>
        <w:rPr>
          <w:rFonts w:ascii="Arial" w:eastAsia="宋体" w:hAnsi="Arial" w:cs="Arial"/>
          <w:sz w:val="20"/>
          <w:szCs w:val="20"/>
        </w:rPr>
        <w:t>-based compensation, investments, goodwill and the recoverability of intangible assets. We base our estimates on historical experience and on various other assumptions that we believe to be reasonable under the circumstances. Actual results could differ fr</w:t>
      </w:r>
      <w:r>
        <w:rPr>
          <w:rFonts w:ascii="Arial" w:eastAsia="宋体" w:hAnsi="Arial" w:cs="Arial"/>
          <w:sz w:val="20"/>
          <w:szCs w:val="20"/>
        </w:rPr>
        <w:t xml:space="preserve">om those estimates. </w:t>
      </w:r>
    </w:p>
    <w:p w14:paraId="0BC99206" w14:textId="77777777" w:rsidR="009F0928" w:rsidRDefault="009F0928">
      <w:pPr>
        <w:spacing w:line="288" w:lineRule="auto"/>
        <w:ind w:firstLine="640"/>
        <w:jc w:val="both"/>
        <w:rPr>
          <w:rFonts w:ascii="Times New Roman" w:hAnsi="Times New Roman"/>
          <w:sz w:val="20"/>
          <w:szCs w:val="20"/>
        </w:rPr>
      </w:pPr>
    </w:p>
    <w:p w14:paraId="0BC99207"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Principles of Consolidation and Basis of Presentation </w:t>
      </w:r>
    </w:p>
    <w:p w14:paraId="0BC99208" w14:textId="77777777" w:rsidR="009F0928" w:rsidRDefault="009F0928">
      <w:pPr>
        <w:spacing w:line="288" w:lineRule="auto"/>
        <w:jc w:val="both"/>
        <w:rPr>
          <w:rFonts w:ascii="Times New Roman" w:hAnsi="Times New Roman"/>
          <w:sz w:val="20"/>
          <w:szCs w:val="20"/>
        </w:rPr>
      </w:pPr>
    </w:p>
    <w:p w14:paraId="0BC9920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accompanying financial statements are consolidated and include the financial statements of eBay Inc., our wholly and majority-owned subsidiaries and variable interest entitie</w:t>
      </w:r>
      <w:r>
        <w:rPr>
          <w:rFonts w:ascii="Arial" w:eastAsia="宋体" w:hAnsi="Arial" w:cs="Arial"/>
          <w:sz w:val="20"/>
          <w:szCs w:val="20"/>
        </w:rPr>
        <w:t>s (“VIE”) where we are the primary beneficiary. All intercompany balances and transactions have been eliminated in consolidation. Minority interests are recorded as a noncontrolling interest. A qualitative approach is applied to assess the consolidation re</w:t>
      </w:r>
      <w:r>
        <w:rPr>
          <w:rFonts w:ascii="Arial" w:eastAsia="宋体" w:hAnsi="Arial" w:cs="Arial"/>
          <w:sz w:val="20"/>
          <w:szCs w:val="20"/>
        </w:rPr>
        <w:t>quirement for VIEs. Investments in entities where we hold at least a 20% ownership interest and have the ability to exercise significant influence, but not control, over the investee are accounted for using the equity method of accounting. For such investm</w:t>
      </w:r>
      <w:r>
        <w:rPr>
          <w:rFonts w:ascii="Arial" w:eastAsia="宋体" w:hAnsi="Arial" w:cs="Arial"/>
          <w:sz w:val="20"/>
          <w:szCs w:val="20"/>
        </w:rPr>
        <w:t xml:space="preserve">ents, our share of the investees’ results of operations is included in interest and other, net and our investment balance is included in long-term investments. Investments in entities where we hold less than a 20% ownership </w:t>
      </w:r>
    </w:p>
    <w:p w14:paraId="0BC9920A" w14:textId="77777777" w:rsidR="009F0928" w:rsidRDefault="009F0928">
      <w:pPr>
        <w:rPr>
          <w:rFonts w:ascii="Times New Roman" w:hAnsi="Times New Roman"/>
          <w:sz w:val="20"/>
          <w:szCs w:val="20"/>
        </w:rPr>
      </w:pPr>
    </w:p>
    <w:p w14:paraId="0BC9920B"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F-9</w:t>
      </w:r>
    </w:p>
    <w:p w14:paraId="0BC9920C" w14:textId="77777777" w:rsidR="009F0928" w:rsidRDefault="002112BD">
      <w:r>
        <w:rPr>
          <w:rFonts w:ascii="Times New Roman" w:hAnsi="Times New Roman"/>
          <w:sz w:val="18"/>
          <w:szCs w:val="18"/>
        </w:rPr>
        <w:pict w14:anchorId="0BC9B503">
          <v:rect id="_x0000_i1095" style="width:415.3pt;height:1.5pt" o:hralign="center" o:hrstd="t" o:hr="t" fillcolor="#a0a0a0" stroked="f"/>
        </w:pict>
      </w:r>
    </w:p>
    <w:p w14:paraId="0BC9920D"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20E"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NOTES TO </w:t>
      </w:r>
      <w:r>
        <w:rPr>
          <w:rFonts w:ascii="Arial" w:eastAsia="宋体" w:hAnsi="Arial" w:cs="Arial"/>
          <w:b/>
          <w:bCs/>
          <w:sz w:val="20"/>
          <w:szCs w:val="20"/>
        </w:rPr>
        <w:t>CONSOLIDATED FINANCIAL STATEMENTS—(Continued)</w:t>
      </w:r>
    </w:p>
    <w:p w14:paraId="0BC9920F" w14:textId="77777777" w:rsidR="009F0928" w:rsidRDefault="009F0928">
      <w:pPr>
        <w:spacing w:line="288" w:lineRule="auto"/>
        <w:jc w:val="center"/>
        <w:rPr>
          <w:rFonts w:ascii="Times New Roman" w:hAnsi="Times New Roman"/>
          <w:sz w:val="20"/>
          <w:szCs w:val="20"/>
        </w:rPr>
      </w:pPr>
    </w:p>
    <w:p w14:paraId="0BC99210" w14:textId="77777777" w:rsidR="009F0928" w:rsidRDefault="009F0928">
      <w:pPr>
        <w:rPr>
          <w:rFonts w:ascii="Times New Roman" w:hAnsi="Times New Roman"/>
          <w:sz w:val="20"/>
          <w:szCs w:val="20"/>
        </w:rPr>
      </w:pPr>
    </w:p>
    <w:p w14:paraId="0BC99211"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interest are generally accounted for as equity investments to be measured at fair value or, under an election, at cost if it does not have readily determinable fair value, in which case the carrying value wou</w:t>
      </w:r>
      <w:r>
        <w:rPr>
          <w:rFonts w:ascii="Arial" w:eastAsia="宋体" w:hAnsi="Arial" w:cs="Arial"/>
          <w:sz w:val="20"/>
          <w:szCs w:val="20"/>
        </w:rPr>
        <w:t xml:space="preserve">ld be adjusted upon the occurrence of an observable price change in an orderly transaction for identical or similar instruments or impairment. </w:t>
      </w:r>
    </w:p>
    <w:p w14:paraId="0BC99212" w14:textId="77777777" w:rsidR="009F0928" w:rsidRDefault="009F0928">
      <w:pPr>
        <w:spacing w:line="288" w:lineRule="auto"/>
        <w:ind w:firstLine="600"/>
        <w:jc w:val="both"/>
        <w:rPr>
          <w:rFonts w:ascii="Times New Roman" w:hAnsi="Times New Roman"/>
          <w:sz w:val="20"/>
          <w:szCs w:val="20"/>
        </w:rPr>
      </w:pPr>
    </w:p>
    <w:p w14:paraId="0BC99213"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Significant Accounting Policies</w:t>
      </w:r>
    </w:p>
    <w:p w14:paraId="0BC99214" w14:textId="77777777" w:rsidR="009F0928" w:rsidRDefault="009F0928">
      <w:pPr>
        <w:spacing w:line="288" w:lineRule="auto"/>
        <w:ind w:firstLine="360"/>
        <w:jc w:val="both"/>
        <w:rPr>
          <w:rFonts w:ascii="Times New Roman" w:hAnsi="Times New Roman"/>
          <w:sz w:val="20"/>
          <w:szCs w:val="20"/>
        </w:rPr>
      </w:pPr>
    </w:p>
    <w:p w14:paraId="0BC99215"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b/>
          <w:bCs/>
          <w:i/>
          <w:iCs/>
          <w:sz w:val="20"/>
          <w:szCs w:val="20"/>
        </w:rPr>
        <w:t>Revenue recognition</w:t>
      </w:r>
    </w:p>
    <w:p w14:paraId="0BC9921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recognize revenue when we transfer control of promised </w:t>
      </w:r>
      <w:r>
        <w:rPr>
          <w:rFonts w:ascii="Arial" w:eastAsia="宋体" w:hAnsi="Arial" w:cs="Arial"/>
          <w:sz w:val="20"/>
          <w:szCs w:val="20"/>
        </w:rPr>
        <w:t>goods or services to customers in an amount that reflects the consideration to which we expect to be entitled in exchange for those goods or services. Revenue is recognized net of any taxes collected, which are subsequently remitted to governmental authori</w:t>
      </w:r>
      <w:r>
        <w:rPr>
          <w:rFonts w:ascii="Arial" w:eastAsia="宋体" w:hAnsi="Arial" w:cs="Arial"/>
          <w:sz w:val="20"/>
          <w:szCs w:val="20"/>
        </w:rPr>
        <w:t xml:space="preserve">ties. </w:t>
      </w:r>
    </w:p>
    <w:p w14:paraId="0BC99217"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i/>
          <w:iCs/>
          <w:sz w:val="20"/>
          <w:szCs w:val="20"/>
        </w:rPr>
        <w:t xml:space="preserve">Net transaction revenues </w:t>
      </w:r>
    </w:p>
    <w:p w14:paraId="0BC9921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Our net transaction revenues primarily include final value fees, feature fees, including fees to promote listings, and listing fees from sellers in our Marketplace and final value fees from sellers and buyers on our StubHub</w:t>
      </w:r>
      <w:r>
        <w:rPr>
          <w:rFonts w:ascii="Arial" w:eastAsia="宋体" w:hAnsi="Arial" w:cs="Arial"/>
          <w:sz w:val="20"/>
          <w:szCs w:val="20"/>
        </w:rPr>
        <w:t xml:space="preserve"> platforms. Our net transaction revenues also include store subscription and other fees often from large enterprise sellers. Our net transaction revenues are reduced by incentives provided to our customers. </w:t>
      </w:r>
    </w:p>
    <w:p w14:paraId="0BC9921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identified one performance obligation to sell</w:t>
      </w:r>
      <w:r>
        <w:rPr>
          <w:rFonts w:ascii="Arial" w:eastAsia="宋体" w:hAnsi="Arial" w:cs="Arial"/>
          <w:sz w:val="20"/>
          <w:szCs w:val="20"/>
        </w:rPr>
        <w:t>ers on our Marketplace platform, which is to connect buyers and sellers on our secure and trusted Marketplace platforms. Final value fees are recognized when an item is sold on a Marketplace platform, satisfying this performance obligation. There may be ad</w:t>
      </w:r>
      <w:r>
        <w:rPr>
          <w:rFonts w:ascii="Arial" w:eastAsia="宋体" w:hAnsi="Arial" w:cs="Arial"/>
          <w:sz w:val="20"/>
          <w:szCs w:val="20"/>
        </w:rPr>
        <w:t>ditional services available to Marketplace sellers, mainly to promote or feature listings, that are not distinct within the context of the contract. Accordingly, fees for these additional services are recognized when the single performance obligation is sa</w:t>
      </w:r>
      <w:r>
        <w:rPr>
          <w:rFonts w:ascii="Arial" w:eastAsia="宋体" w:hAnsi="Arial" w:cs="Arial"/>
          <w:sz w:val="20"/>
          <w:szCs w:val="20"/>
        </w:rPr>
        <w:t>tisfied. Promoted listing fees are recognized when the item is sold and feature and listing fees are recognized when an item is sold, or when the contract expires. On our StubHub platform, our performance obligation extends to both buyers and sellers. We m</w:t>
      </w:r>
      <w:r>
        <w:rPr>
          <w:rFonts w:ascii="Arial" w:eastAsia="宋体" w:hAnsi="Arial" w:cs="Arial"/>
          <w:sz w:val="20"/>
          <w:szCs w:val="20"/>
        </w:rPr>
        <w:t>ade the policy election to consider delivery of tickets in our StubHub platform to be fulfillment activities and, consequently, the performance obligation is satisfied, and final value fees are recognized, upon payment to sellers.</w:t>
      </w:r>
    </w:p>
    <w:p w14:paraId="0BC9921A"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Store subscription and ot</w:t>
      </w:r>
      <w:r>
        <w:rPr>
          <w:rFonts w:ascii="Arial" w:eastAsia="宋体" w:hAnsi="Arial" w:cs="Arial"/>
          <w:sz w:val="20"/>
          <w:szCs w:val="20"/>
        </w:rPr>
        <w:t>her nonstandard listing contracts may contain multiple performance obligations, including discounts on future services. Determining whether performance obligations should be accounted for separately or combined may require significant judgment. The transac</w:t>
      </w:r>
      <w:r>
        <w:rPr>
          <w:rFonts w:ascii="Arial" w:eastAsia="宋体" w:hAnsi="Arial" w:cs="Arial"/>
          <w:sz w:val="20"/>
          <w:szCs w:val="20"/>
        </w:rPr>
        <w:t xml:space="preserve">tion price is allocated to each performance obligation based on its stand-alone selling price (“SSP”). In instances where SSP is not directly observable, we generally estimate selling prices based on when they are sold to customers of a similar nature and </w:t>
      </w:r>
      <w:r>
        <w:rPr>
          <w:rFonts w:ascii="Arial" w:eastAsia="宋体" w:hAnsi="Arial" w:cs="Arial"/>
          <w:sz w:val="20"/>
          <w:szCs w:val="20"/>
        </w:rPr>
        <w:t>geography. These estimates are generally based on pricing strategies, market factors, strategic objectives and observable inputs. Store subscription revenues are recognized over the subscription period, and discounts offered through store subscription or n</w:t>
      </w:r>
      <w:r>
        <w:rPr>
          <w:rFonts w:ascii="Arial" w:eastAsia="宋体" w:hAnsi="Arial" w:cs="Arial"/>
          <w:sz w:val="20"/>
          <w:szCs w:val="20"/>
        </w:rPr>
        <w:t>onstandard listing contracts are recognized when the options are exercised or when the options expire.</w:t>
      </w:r>
    </w:p>
    <w:p w14:paraId="0BC9921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Further, to drive traffic to our platforms, we provide incentives to buyers and sellers in various forms including discounts on fees, discounts on items </w:t>
      </w:r>
      <w:r>
        <w:rPr>
          <w:rFonts w:ascii="Arial" w:eastAsia="宋体" w:hAnsi="Arial" w:cs="Arial"/>
          <w:sz w:val="20"/>
          <w:szCs w:val="20"/>
        </w:rPr>
        <w:t>sold, coupons and rewards. Evaluating whether a promotion or incentive is a payment to a customer may require significant judgment. Promotions and incentives which are consideration payable to a customer are recognized as a reduction of revenue at the late</w:t>
      </w:r>
      <w:r>
        <w:rPr>
          <w:rFonts w:ascii="Arial" w:eastAsia="宋体" w:hAnsi="Arial" w:cs="Arial"/>
          <w:sz w:val="20"/>
          <w:szCs w:val="20"/>
        </w:rPr>
        <w:t>r of when revenue is recognized or when we pay or promise to pay the incentive. Promotions and incentives to most buyers on our Marketplace platforms, to whom we have no performance obligation, are recognized as sales and marketing expense. In addition, we</w:t>
      </w:r>
      <w:r>
        <w:rPr>
          <w:rFonts w:ascii="Arial" w:eastAsia="宋体" w:hAnsi="Arial" w:cs="Arial"/>
          <w:sz w:val="20"/>
          <w:szCs w:val="20"/>
        </w:rPr>
        <w:t xml:space="preserve"> may provide credits to customers when we refund certain fees. Credits are accounted for as variable consideration at contract inception when estimating the amount of revenue to be recognized when a performance obligation is satisfied to the extent that it</w:t>
      </w:r>
      <w:r>
        <w:rPr>
          <w:rFonts w:ascii="Arial" w:eastAsia="宋体" w:hAnsi="Arial" w:cs="Arial"/>
          <w:sz w:val="20"/>
          <w:szCs w:val="20"/>
        </w:rPr>
        <w:t xml:space="preserve"> is probable that a significant reversal of revenue will not occur and updated as additional information becomes available.</w:t>
      </w:r>
    </w:p>
    <w:p w14:paraId="0BC9921C"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i/>
          <w:iCs/>
          <w:sz w:val="20"/>
          <w:szCs w:val="20"/>
        </w:rPr>
        <w:t>Marketing services and other revenues</w:t>
      </w:r>
    </w:p>
    <w:p w14:paraId="0BC9921D" w14:textId="77777777" w:rsidR="009F0928" w:rsidRDefault="009F0928">
      <w:pPr>
        <w:spacing w:line="288" w:lineRule="auto"/>
        <w:ind w:firstLine="720"/>
        <w:jc w:val="both"/>
        <w:rPr>
          <w:rFonts w:ascii="Times New Roman" w:hAnsi="Times New Roman"/>
          <w:sz w:val="20"/>
          <w:szCs w:val="20"/>
        </w:rPr>
      </w:pPr>
    </w:p>
    <w:p w14:paraId="0BC9921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Our marketing services and other revenues are derived principally from the sale of advertisem</w:t>
      </w:r>
      <w:r>
        <w:rPr>
          <w:rFonts w:ascii="Arial" w:eastAsia="宋体" w:hAnsi="Arial" w:cs="Arial"/>
          <w:sz w:val="20"/>
          <w:szCs w:val="20"/>
        </w:rPr>
        <w:t>ents, classifieds fees, and revenue sharing arrangements. Advertising revenue is derived principally from the sale of online advertisements which are based on “impressions” (i.e., the number of times that an advertisement appears in pages viewed by users o</w:t>
      </w:r>
      <w:r>
        <w:rPr>
          <w:rFonts w:ascii="Arial" w:eastAsia="宋体" w:hAnsi="Arial" w:cs="Arial"/>
          <w:sz w:val="20"/>
          <w:szCs w:val="20"/>
        </w:rPr>
        <w:t>f our platforms) or “clicks” (which are generated each time users on our platforms click through our advertisements to an advertiser’s designated website) delivered to advertisers. We use the output method and apply the practical expedient to recognize adv</w:t>
      </w:r>
      <w:r>
        <w:rPr>
          <w:rFonts w:ascii="Arial" w:eastAsia="宋体" w:hAnsi="Arial" w:cs="Arial"/>
          <w:sz w:val="20"/>
          <w:szCs w:val="20"/>
        </w:rPr>
        <w:t xml:space="preserve">ertising revenue in the amount to which we have a right to invoice. For contracts </w:t>
      </w:r>
    </w:p>
    <w:p w14:paraId="0BC9921F" w14:textId="77777777" w:rsidR="009F0928" w:rsidRDefault="009F0928">
      <w:pPr>
        <w:rPr>
          <w:rFonts w:ascii="Times New Roman" w:hAnsi="Times New Roman"/>
          <w:sz w:val="20"/>
          <w:szCs w:val="20"/>
        </w:rPr>
      </w:pPr>
    </w:p>
    <w:p w14:paraId="0BC99220"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F-10</w:t>
      </w:r>
    </w:p>
    <w:p w14:paraId="0BC99221" w14:textId="77777777" w:rsidR="009F0928" w:rsidRDefault="002112BD">
      <w:r>
        <w:rPr>
          <w:rFonts w:ascii="Times New Roman" w:hAnsi="Times New Roman"/>
          <w:sz w:val="18"/>
          <w:szCs w:val="18"/>
        </w:rPr>
        <w:pict w14:anchorId="0BC9B504">
          <v:rect id="_x0000_i1096" style="width:415.3pt;height:1.5pt" o:hralign="center" o:hrstd="t" o:hr="t" fillcolor="#a0a0a0" stroked="f"/>
        </w:pict>
      </w:r>
    </w:p>
    <w:p w14:paraId="0BC99222"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223"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9224" w14:textId="77777777" w:rsidR="009F0928" w:rsidRDefault="009F0928">
      <w:pPr>
        <w:spacing w:line="288" w:lineRule="auto"/>
        <w:jc w:val="center"/>
        <w:rPr>
          <w:rFonts w:ascii="Times New Roman" w:hAnsi="Times New Roman"/>
          <w:sz w:val="20"/>
          <w:szCs w:val="20"/>
        </w:rPr>
      </w:pPr>
    </w:p>
    <w:p w14:paraId="0BC99225" w14:textId="77777777" w:rsidR="009F0928" w:rsidRDefault="009F0928">
      <w:pPr>
        <w:rPr>
          <w:rFonts w:ascii="Times New Roman" w:hAnsi="Times New Roman"/>
          <w:sz w:val="20"/>
          <w:szCs w:val="20"/>
        </w:rPr>
      </w:pPr>
    </w:p>
    <w:p w14:paraId="0BC99226"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xml:space="preserve">with target advertising commitments with rebates, estimated payout is accounted for as a </w:t>
      </w:r>
      <w:r>
        <w:rPr>
          <w:rFonts w:ascii="Arial" w:eastAsia="宋体" w:hAnsi="Arial" w:cs="Arial"/>
          <w:sz w:val="20"/>
          <w:szCs w:val="20"/>
        </w:rPr>
        <w:t>variable consideration to the extent it is probable that a significant reversal of revenue will not occur.</w:t>
      </w:r>
    </w:p>
    <w:p w14:paraId="0BC99227" w14:textId="77777777" w:rsidR="009F0928" w:rsidRDefault="009F0928">
      <w:pPr>
        <w:spacing w:line="288" w:lineRule="auto"/>
        <w:ind w:firstLine="720"/>
        <w:jc w:val="both"/>
        <w:rPr>
          <w:rFonts w:ascii="Times New Roman" w:hAnsi="Times New Roman"/>
          <w:sz w:val="20"/>
          <w:szCs w:val="20"/>
        </w:rPr>
      </w:pPr>
    </w:p>
    <w:p w14:paraId="0BC9922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generate net revenues related to fees for listing items on our Classifieds platforms, which are recognized over the estimated period of the class</w:t>
      </w:r>
      <w:r>
        <w:rPr>
          <w:rFonts w:ascii="Arial" w:eastAsia="宋体" w:hAnsi="Arial" w:cs="Arial"/>
          <w:sz w:val="20"/>
          <w:szCs w:val="20"/>
        </w:rPr>
        <w:t>ifieds listing and fees to feature the listing that are recognized over the feature period or a point in time depending on the nature of the feature purchased. Discounts offered through purchase of packages of multiple services are allocated based on the S</w:t>
      </w:r>
      <w:r>
        <w:rPr>
          <w:rFonts w:ascii="Arial" w:eastAsia="宋体" w:hAnsi="Arial" w:cs="Arial"/>
          <w:sz w:val="20"/>
          <w:szCs w:val="20"/>
        </w:rPr>
        <w:t>SP of each respective feature.</w:t>
      </w:r>
    </w:p>
    <w:p w14:paraId="0BC99229" w14:textId="77777777" w:rsidR="009F0928" w:rsidRDefault="009F0928">
      <w:pPr>
        <w:spacing w:line="288" w:lineRule="auto"/>
        <w:ind w:firstLine="720"/>
        <w:jc w:val="both"/>
        <w:rPr>
          <w:rFonts w:ascii="Times New Roman" w:hAnsi="Times New Roman"/>
          <w:sz w:val="20"/>
          <w:szCs w:val="20"/>
        </w:rPr>
      </w:pPr>
    </w:p>
    <w:p w14:paraId="0BC9922A"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Revenues related to revenue sharing arrangements are recognized based on whether we are the principal and are responsible for fulfilling the promise to provide the specified services or whether we are an agent arranging for </w:t>
      </w:r>
      <w:r>
        <w:rPr>
          <w:rFonts w:ascii="Arial" w:eastAsia="宋体" w:hAnsi="Arial" w:cs="Arial"/>
          <w:sz w:val="20"/>
          <w:szCs w:val="20"/>
        </w:rPr>
        <w:t>those services to be provided by our partners. Determining whether we are a principal or agent in these contracts may require significant judgment. If we are the principal, we recognize revenue in the gross amount of consideration received from the custome</w:t>
      </w:r>
      <w:r>
        <w:rPr>
          <w:rFonts w:ascii="Arial" w:eastAsia="宋体" w:hAnsi="Arial" w:cs="Arial"/>
          <w:sz w:val="20"/>
          <w:szCs w:val="20"/>
        </w:rPr>
        <w:t>r, whereas if we are an agent, we recognize revenue net of the consideration due to our partners at a point in time when the services are provided. Our most significant revenue share arrangements are with shipping service providers. We are primarily acting</w:t>
      </w:r>
      <w:r>
        <w:rPr>
          <w:rFonts w:ascii="Arial" w:eastAsia="宋体" w:hAnsi="Arial" w:cs="Arial"/>
          <w:sz w:val="20"/>
          <w:szCs w:val="20"/>
        </w:rPr>
        <w:t xml:space="preserve"> as an agent in these contracts and revenues are recognized at a point in time when we have satisfied our promise of connecting the shipping service provider to our customer.</w:t>
      </w:r>
    </w:p>
    <w:p w14:paraId="0BC9922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Refer to “Note 5 – Segments” for further information, including revenue by types </w:t>
      </w:r>
      <w:r>
        <w:rPr>
          <w:rFonts w:ascii="Arial" w:eastAsia="宋体" w:hAnsi="Arial" w:cs="Arial"/>
          <w:sz w:val="20"/>
          <w:szCs w:val="20"/>
        </w:rPr>
        <w:t>and geographical markets.</w:t>
      </w:r>
    </w:p>
    <w:p w14:paraId="0BC9922C"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i/>
          <w:iCs/>
          <w:sz w:val="20"/>
          <w:szCs w:val="20"/>
        </w:rPr>
        <w:t>Contract balances  </w:t>
      </w:r>
    </w:p>
    <w:p w14:paraId="0BC9922D" w14:textId="77777777" w:rsidR="009F0928" w:rsidRDefault="009F0928">
      <w:pPr>
        <w:spacing w:line="288" w:lineRule="auto"/>
        <w:ind w:firstLine="960"/>
        <w:jc w:val="both"/>
        <w:rPr>
          <w:rFonts w:ascii="Times New Roman" w:hAnsi="Times New Roman"/>
          <w:sz w:val="20"/>
          <w:szCs w:val="20"/>
        </w:rPr>
      </w:pPr>
    </w:p>
    <w:p w14:paraId="0BC9922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Timing of revenue recognition may differ from the timing of invoicing to customers. Accounts receivable represents amounts invoiced and revenue recognized prior to invoicing when we have satisfied our performa</w:t>
      </w:r>
      <w:r>
        <w:rPr>
          <w:rFonts w:ascii="Arial" w:eastAsia="宋体" w:hAnsi="Arial" w:cs="Arial"/>
          <w:sz w:val="20"/>
          <w:szCs w:val="20"/>
        </w:rPr>
        <w:t>nce obligation and have the unconditional right to payment. The allowance for doubtful accounts and authorized credits is estimated based upon our assessment of various factors including historical experience, the age of the accounts receivable balances, c</w:t>
      </w:r>
      <w:r>
        <w:rPr>
          <w:rFonts w:ascii="Arial" w:eastAsia="宋体" w:hAnsi="Arial" w:cs="Arial"/>
          <w:sz w:val="20"/>
          <w:szCs w:val="20"/>
        </w:rPr>
        <w:t xml:space="preserve">urrent economic conditions and other factors that may affect our customers’ ability to pay. The allowance for doubtful accounts and authorized credits was $128 million and $106 million as of December 31, 2019 and December 31, 2018, respectively. </w:t>
      </w:r>
    </w:p>
    <w:p w14:paraId="0BC9922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Deferred </w:t>
      </w:r>
      <w:r>
        <w:rPr>
          <w:rFonts w:ascii="Arial" w:eastAsia="宋体" w:hAnsi="Arial" w:cs="Arial"/>
          <w:sz w:val="20"/>
          <w:szCs w:val="20"/>
        </w:rPr>
        <w:t>revenue consists of fees received related to unsatisfied performance obligations at the end of the period. Due to the generally short-term duration of contracts, the majority of the performance obligations are satisfied in the following reporting period. T</w:t>
      </w:r>
      <w:r>
        <w:rPr>
          <w:rFonts w:ascii="Arial" w:eastAsia="宋体" w:hAnsi="Arial" w:cs="Arial"/>
          <w:sz w:val="20"/>
          <w:szCs w:val="20"/>
        </w:rPr>
        <w:t>he amount of revenue recognized for the twelve months ended December 31, 2019 that was included in the deferred revenue balance at the beginning of the period was $93 million. The amount of revenue recognized for the twelve months ended December 31, 2018 t</w:t>
      </w:r>
      <w:r>
        <w:rPr>
          <w:rFonts w:ascii="Arial" w:eastAsia="宋体" w:hAnsi="Arial" w:cs="Arial"/>
          <w:sz w:val="20"/>
          <w:szCs w:val="20"/>
        </w:rPr>
        <w:t xml:space="preserve">hat was included in the deferred revenue balance at the beginning of the period was $96 million. </w:t>
      </w:r>
    </w:p>
    <w:p w14:paraId="0BC99230" w14:textId="77777777" w:rsidR="009F0928" w:rsidRDefault="009F0928">
      <w:pPr>
        <w:spacing w:line="288" w:lineRule="auto"/>
        <w:jc w:val="both"/>
        <w:rPr>
          <w:rFonts w:ascii="Times New Roman" w:hAnsi="Times New Roman"/>
          <w:sz w:val="20"/>
          <w:szCs w:val="20"/>
        </w:rPr>
      </w:pPr>
    </w:p>
    <w:p w14:paraId="0BC99231"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Internal use software and platform development costs </w:t>
      </w:r>
    </w:p>
    <w:p w14:paraId="0BC99232" w14:textId="77777777" w:rsidR="009F0928" w:rsidRDefault="009F0928">
      <w:pPr>
        <w:spacing w:line="288" w:lineRule="auto"/>
        <w:ind w:firstLine="640"/>
        <w:jc w:val="both"/>
        <w:rPr>
          <w:rFonts w:ascii="Times New Roman" w:hAnsi="Times New Roman"/>
          <w:sz w:val="20"/>
          <w:szCs w:val="20"/>
        </w:rPr>
      </w:pPr>
    </w:p>
    <w:p w14:paraId="0BC9923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Direct costs incurred to develop software for internal use and platform development costs are capitali</w:t>
      </w:r>
      <w:r>
        <w:rPr>
          <w:rFonts w:ascii="Arial" w:eastAsia="宋体" w:hAnsi="Arial" w:cs="Arial"/>
          <w:sz w:val="20"/>
          <w:szCs w:val="20"/>
        </w:rPr>
        <w:t>zed and amortized over an estimated useful life of one to five years. During the years ended December 31, 2019 and 2018, we capitalized costs, primarily related to labor and stock-based compensation, of $137 million and $147 million, respectively. Amortiza</w:t>
      </w:r>
      <w:r>
        <w:rPr>
          <w:rFonts w:ascii="Arial" w:eastAsia="宋体" w:hAnsi="Arial" w:cs="Arial"/>
          <w:sz w:val="20"/>
          <w:szCs w:val="20"/>
        </w:rPr>
        <w:t xml:space="preserve">tion of previously capitalized amounts was $150 million, $160 million and $156 million for 2019, 2018 and 2017, respectively. Costs related to the design or maintenance of internal use software and platform development are expensed as incurred. </w:t>
      </w:r>
    </w:p>
    <w:p w14:paraId="0BC99234" w14:textId="77777777" w:rsidR="009F0928" w:rsidRDefault="009F0928">
      <w:pPr>
        <w:spacing w:line="288" w:lineRule="auto"/>
        <w:ind w:firstLine="640"/>
        <w:jc w:val="both"/>
        <w:rPr>
          <w:rFonts w:ascii="Times New Roman" w:hAnsi="Times New Roman"/>
          <w:sz w:val="20"/>
          <w:szCs w:val="20"/>
        </w:rPr>
      </w:pPr>
    </w:p>
    <w:p w14:paraId="0BC99235"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Advertisi</w:t>
      </w:r>
      <w:r>
        <w:rPr>
          <w:rFonts w:ascii="Arial" w:eastAsia="宋体" w:hAnsi="Arial" w:cs="Arial"/>
          <w:b/>
          <w:bCs/>
          <w:i/>
          <w:iCs/>
          <w:sz w:val="20"/>
          <w:szCs w:val="20"/>
        </w:rPr>
        <w:t xml:space="preserve">ng expense </w:t>
      </w:r>
    </w:p>
    <w:p w14:paraId="0BC99236" w14:textId="77777777" w:rsidR="009F0928" w:rsidRDefault="009F0928">
      <w:pPr>
        <w:spacing w:line="288" w:lineRule="auto"/>
        <w:ind w:firstLine="640"/>
        <w:jc w:val="both"/>
        <w:rPr>
          <w:rFonts w:ascii="Times New Roman" w:hAnsi="Times New Roman"/>
          <w:sz w:val="20"/>
          <w:szCs w:val="20"/>
        </w:rPr>
      </w:pPr>
    </w:p>
    <w:p w14:paraId="0BC9923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expense the costs of producing advertisements at the time production occurs and expense the cost of communicating advertisements in the period during which the advertising space or airtime is used, in each case as sales and marketing expens</w:t>
      </w:r>
      <w:r>
        <w:rPr>
          <w:rFonts w:ascii="Arial" w:eastAsia="宋体" w:hAnsi="Arial" w:cs="Arial"/>
          <w:sz w:val="20"/>
          <w:szCs w:val="20"/>
        </w:rPr>
        <w:t>e. Internet advertising expenses are recognized based on the terms of the individual agreements, which are generally over the greater of the ratio of the number of impressions delivered over the total number of contracted impressions, on a pay-per-click ba</w:t>
      </w:r>
      <w:r>
        <w:rPr>
          <w:rFonts w:ascii="Arial" w:eastAsia="宋体" w:hAnsi="Arial" w:cs="Arial"/>
          <w:sz w:val="20"/>
          <w:szCs w:val="20"/>
        </w:rPr>
        <w:t xml:space="preserve">sis, or on a straight-line basis over the term of the contract. Advertising expense totaled $1.4 billion, $1.4 billion and $1.3 billion for the years ended December 31, 2019, 2018 and 2017, respectively. </w:t>
      </w:r>
    </w:p>
    <w:p w14:paraId="0BC99238" w14:textId="77777777" w:rsidR="009F0928" w:rsidRDefault="009F0928">
      <w:pPr>
        <w:spacing w:line="288" w:lineRule="auto"/>
        <w:ind w:firstLine="640"/>
        <w:jc w:val="both"/>
        <w:rPr>
          <w:rFonts w:ascii="Times New Roman" w:hAnsi="Times New Roman"/>
          <w:sz w:val="20"/>
          <w:szCs w:val="20"/>
        </w:rPr>
      </w:pPr>
    </w:p>
    <w:p w14:paraId="0BC99239" w14:textId="77777777" w:rsidR="009F0928" w:rsidRDefault="009F0928">
      <w:pPr>
        <w:rPr>
          <w:rFonts w:ascii="Times New Roman" w:hAnsi="Times New Roman"/>
          <w:sz w:val="20"/>
          <w:szCs w:val="20"/>
        </w:rPr>
      </w:pPr>
    </w:p>
    <w:p w14:paraId="0BC9923A"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F-11</w:t>
      </w:r>
    </w:p>
    <w:p w14:paraId="0BC9923B" w14:textId="77777777" w:rsidR="009F0928" w:rsidRDefault="002112BD">
      <w:r>
        <w:rPr>
          <w:rFonts w:ascii="Times New Roman" w:hAnsi="Times New Roman"/>
          <w:sz w:val="18"/>
          <w:szCs w:val="18"/>
        </w:rPr>
        <w:pict w14:anchorId="0BC9B505">
          <v:rect id="_x0000_i1097" style="width:415.3pt;height:1.5pt" o:hralign="center" o:hrstd="t" o:hr="t" fillcolor="#a0a0a0" stroked="f"/>
        </w:pict>
      </w:r>
    </w:p>
    <w:p w14:paraId="0BC9923C"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23D"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NOTES TO </w:t>
      </w:r>
      <w:r>
        <w:rPr>
          <w:rFonts w:ascii="Arial" w:eastAsia="宋体" w:hAnsi="Arial" w:cs="Arial"/>
          <w:b/>
          <w:bCs/>
          <w:sz w:val="20"/>
          <w:szCs w:val="20"/>
        </w:rPr>
        <w:t>CONSOLIDATED FINANCIAL STATEMENTS—(Continued)</w:t>
      </w:r>
    </w:p>
    <w:p w14:paraId="0BC9923E" w14:textId="77777777" w:rsidR="009F0928" w:rsidRDefault="009F0928">
      <w:pPr>
        <w:spacing w:line="288" w:lineRule="auto"/>
        <w:jc w:val="center"/>
        <w:rPr>
          <w:rFonts w:ascii="Times New Roman" w:hAnsi="Times New Roman"/>
          <w:sz w:val="20"/>
          <w:szCs w:val="20"/>
        </w:rPr>
      </w:pPr>
    </w:p>
    <w:p w14:paraId="0BC9923F" w14:textId="77777777" w:rsidR="009F0928" w:rsidRDefault="009F0928">
      <w:pPr>
        <w:rPr>
          <w:rFonts w:ascii="Times New Roman" w:hAnsi="Times New Roman"/>
          <w:sz w:val="20"/>
          <w:szCs w:val="20"/>
        </w:rPr>
      </w:pPr>
    </w:p>
    <w:p w14:paraId="0BC99240"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Stock-based compensation </w:t>
      </w:r>
    </w:p>
    <w:p w14:paraId="0BC99241" w14:textId="77777777" w:rsidR="009F0928" w:rsidRDefault="009F0928">
      <w:pPr>
        <w:spacing w:line="288" w:lineRule="auto"/>
        <w:jc w:val="both"/>
        <w:rPr>
          <w:rFonts w:ascii="Times New Roman" w:hAnsi="Times New Roman"/>
          <w:sz w:val="20"/>
          <w:szCs w:val="20"/>
        </w:rPr>
      </w:pPr>
    </w:p>
    <w:p w14:paraId="0BC9924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have equity incentive plans under which we grant equity awards, including stock options, restricted stock units (“RSUs”), performance-based restricted stock units, and performanc</w:t>
      </w:r>
      <w:r>
        <w:rPr>
          <w:rFonts w:ascii="Arial" w:eastAsia="宋体" w:hAnsi="Arial" w:cs="Arial"/>
          <w:sz w:val="20"/>
          <w:szCs w:val="20"/>
        </w:rPr>
        <w:t>e share units, to our directors, officers and employees. We primarily issue RSUs. We determine compensation expense associated with RSUs based on the fair value of our common stock on the date of grant. We determine compensation expense associated with sto</w:t>
      </w:r>
      <w:r>
        <w:rPr>
          <w:rFonts w:ascii="Arial" w:eastAsia="宋体" w:hAnsi="Arial" w:cs="Arial"/>
          <w:sz w:val="20"/>
          <w:szCs w:val="20"/>
        </w:rPr>
        <w:t xml:space="preserve">ck options based on the estimated grant date fair value method using the Black-Scholes valuation model. We generally recognize compensation expense using a straight-line amortization method over the respective vesting period for awards that are ultimately </w:t>
      </w:r>
      <w:r>
        <w:rPr>
          <w:rFonts w:ascii="Arial" w:eastAsia="宋体" w:hAnsi="Arial" w:cs="Arial"/>
          <w:sz w:val="20"/>
          <w:szCs w:val="20"/>
        </w:rPr>
        <w:t xml:space="preserve">expected to vest. Accordingly, stock-based compensation expense for 2019, 2018 and 2017 has been reduced for estimated forfeitures. When estimating forfeitures, we consider voluntary termination behaviors as well as trends of actual option forfeitures. We </w:t>
      </w:r>
      <w:r>
        <w:rPr>
          <w:rFonts w:ascii="Arial" w:eastAsia="宋体" w:hAnsi="Arial" w:cs="Arial"/>
          <w:sz w:val="20"/>
          <w:szCs w:val="20"/>
        </w:rPr>
        <w:t xml:space="preserve">recognize a benefit or provision from stock-based compensation in earnings as a component of income tax expense to the extent that an incremental tax benefit or deficiency is realized by following the ordering provisions of the tax law. </w:t>
      </w:r>
    </w:p>
    <w:p w14:paraId="0BC99243" w14:textId="77777777" w:rsidR="009F0928" w:rsidRDefault="009F0928">
      <w:pPr>
        <w:spacing w:line="288" w:lineRule="auto"/>
        <w:ind w:firstLine="640"/>
        <w:jc w:val="both"/>
        <w:rPr>
          <w:rFonts w:ascii="Times New Roman" w:hAnsi="Times New Roman"/>
          <w:sz w:val="20"/>
          <w:szCs w:val="20"/>
        </w:rPr>
      </w:pPr>
    </w:p>
    <w:p w14:paraId="0BC99244"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Provision for tra</w:t>
      </w:r>
      <w:r>
        <w:rPr>
          <w:rFonts w:ascii="Arial" w:eastAsia="宋体" w:hAnsi="Arial" w:cs="Arial"/>
          <w:b/>
          <w:bCs/>
          <w:i/>
          <w:iCs/>
          <w:sz w:val="20"/>
          <w:szCs w:val="20"/>
        </w:rPr>
        <w:t xml:space="preserve">nsaction losses </w:t>
      </w:r>
    </w:p>
    <w:p w14:paraId="0BC99245" w14:textId="77777777" w:rsidR="009F0928" w:rsidRDefault="009F0928">
      <w:pPr>
        <w:spacing w:line="288" w:lineRule="auto"/>
        <w:jc w:val="both"/>
        <w:rPr>
          <w:rFonts w:ascii="Times New Roman" w:hAnsi="Times New Roman"/>
          <w:sz w:val="20"/>
          <w:szCs w:val="20"/>
        </w:rPr>
      </w:pPr>
    </w:p>
    <w:p w14:paraId="0BC9924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Provision for transaction losses consists primarily of losses resulting from our buyer protection programs, fraud and bad debt expense associated with our accounts receivable balance. Provisions for these items represent our estimate of a</w:t>
      </w:r>
      <w:r>
        <w:rPr>
          <w:rFonts w:ascii="Arial" w:eastAsia="宋体" w:hAnsi="Arial" w:cs="Arial"/>
          <w:sz w:val="20"/>
          <w:szCs w:val="20"/>
        </w:rPr>
        <w:t xml:space="preserve">ctual losses based on our historical experience and many other factors including changes to our protection programs, the impact of regulatory changes as well as economic conditions. </w:t>
      </w:r>
    </w:p>
    <w:p w14:paraId="0BC99247" w14:textId="77777777" w:rsidR="009F0928" w:rsidRDefault="009F0928">
      <w:pPr>
        <w:spacing w:line="288" w:lineRule="auto"/>
        <w:ind w:firstLine="720"/>
        <w:jc w:val="both"/>
        <w:rPr>
          <w:rFonts w:ascii="Times New Roman" w:hAnsi="Times New Roman"/>
          <w:sz w:val="20"/>
          <w:szCs w:val="20"/>
        </w:rPr>
      </w:pPr>
    </w:p>
    <w:p w14:paraId="0BC99248"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Income taxes</w:t>
      </w:r>
    </w:p>
    <w:p w14:paraId="0BC99249" w14:textId="77777777" w:rsidR="009F0928" w:rsidRDefault="009F0928">
      <w:pPr>
        <w:spacing w:line="288" w:lineRule="auto"/>
        <w:ind w:firstLine="720"/>
        <w:jc w:val="both"/>
        <w:rPr>
          <w:rFonts w:ascii="Times New Roman" w:hAnsi="Times New Roman"/>
          <w:sz w:val="20"/>
          <w:szCs w:val="20"/>
        </w:rPr>
      </w:pPr>
    </w:p>
    <w:p w14:paraId="0BC9924A" w14:textId="77777777" w:rsidR="009F0928" w:rsidRDefault="002112BD">
      <w:pPr>
        <w:spacing w:line="288" w:lineRule="auto"/>
        <w:ind w:firstLine="720"/>
        <w:rPr>
          <w:rFonts w:ascii="Times New Roman" w:hAnsi="Times New Roman"/>
          <w:sz w:val="20"/>
          <w:szCs w:val="20"/>
        </w:rPr>
      </w:pPr>
      <w:r>
        <w:rPr>
          <w:rFonts w:ascii="Arial" w:eastAsia="宋体" w:hAnsi="Arial" w:cs="Arial"/>
          <w:sz w:val="20"/>
          <w:szCs w:val="20"/>
        </w:rPr>
        <w:t>Significant judgment is required in determining our tax ex</w:t>
      </w:r>
      <w:r>
        <w:rPr>
          <w:rFonts w:ascii="Arial" w:eastAsia="宋体" w:hAnsi="Arial" w:cs="Arial"/>
          <w:sz w:val="20"/>
          <w:szCs w:val="20"/>
        </w:rPr>
        <w:t>pense and in evaluating our tax positions, including evaluating uncertainties and the complexity of taxes on foreign earnings. We review our tax positions quarterly and adjust the balances as new information becomes available. Tax positions are evaluated f</w:t>
      </w:r>
      <w:r>
        <w:rPr>
          <w:rFonts w:ascii="Arial" w:eastAsia="宋体" w:hAnsi="Arial" w:cs="Arial"/>
          <w:sz w:val="20"/>
          <w:szCs w:val="20"/>
        </w:rPr>
        <w:t>or potential reserves for uncertainty based on the estimated probability of sustaining the position under examination. Our income tax rate is affected by the tax rates that apply to our foreign earnings including U.S. minimum taxes on foreign earnings. The</w:t>
      </w:r>
      <w:r>
        <w:rPr>
          <w:rFonts w:ascii="Arial" w:eastAsia="宋体" w:hAnsi="Arial" w:cs="Arial"/>
          <w:sz w:val="20"/>
          <w:szCs w:val="20"/>
        </w:rPr>
        <w:t xml:space="preserve"> deferred tax benefit derived from the amortization of our intellectual property is based on the fair value, which has been agreed with foreign tax authorities. The deferred tax benefit may from time to time change based on changes in tax rates. </w:t>
      </w:r>
    </w:p>
    <w:p w14:paraId="0BC9924B" w14:textId="77777777" w:rsidR="009F0928" w:rsidRDefault="009F0928">
      <w:pPr>
        <w:spacing w:line="288" w:lineRule="auto"/>
        <w:ind w:firstLine="720"/>
        <w:jc w:val="both"/>
        <w:rPr>
          <w:rFonts w:ascii="Times New Roman" w:hAnsi="Times New Roman"/>
          <w:sz w:val="20"/>
          <w:szCs w:val="20"/>
        </w:rPr>
      </w:pPr>
    </w:p>
    <w:p w14:paraId="0BC9924C"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accou</w:t>
      </w:r>
      <w:r>
        <w:rPr>
          <w:rFonts w:ascii="Arial" w:eastAsia="宋体" w:hAnsi="Arial" w:cs="Arial"/>
          <w:sz w:val="20"/>
          <w:szCs w:val="20"/>
        </w:rPr>
        <w:t>nt for income taxes using an asset and liability approach, which requires the recognition of taxes payable or refundable for the current year and deferred tax liabilities and assets for the future tax consequences of events that have been recognized in our</w:t>
      </w:r>
      <w:r>
        <w:rPr>
          <w:rFonts w:ascii="Arial" w:eastAsia="宋体" w:hAnsi="Arial" w:cs="Arial"/>
          <w:sz w:val="20"/>
          <w:szCs w:val="20"/>
        </w:rPr>
        <w:t xml:space="preserve"> financial statements or tax returns. The measurement of current and deferred tax assets and liabilities is based on provisions of enacted tax laws; the effects of future changes in tax laws or rates are not anticipated. If necessary, the measurement of de</w:t>
      </w:r>
      <w:r>
        <w:rPr>
          <w:rFonts w:ascii="Arial" w:eastAsia="宋体" w:hAnsi="Arial" w:cs="Arial"/>
          <w:sz w:val="20"/>
          <w:szCs w:val="20"/>
        </w:rPr>
        <w:t xml:space="preserve">ferred tax assets is reduced by the amount of any tax benefits that are not expected to be realized based on available evidence. </w:t>
      </w:r>
    </w:p>
    <w:p w14:paraId="0BC9924D" w14:textId="77777777" w:rsidR="009F0928" w:rsidRDefault="009F0928">
      <w:pPr>
        <w:spacing w:line="288" w:lineRule="auto"/>
        <w:ind w:firstLine="640"/>
        <w:jc w:val="both"/>
        <w:rPr>
          <w:rFonts w:ascii="Times New Roman" w:hAnsi="Times New Roman"/>
          <w:sz w:val="20"/>
          <w:szCs w:val="20"/>
        </w:rPr>
      </w:pPr>
    </w:p>
    <w:p w14:paraId="0BC9924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report a liability for unrecognized tax benefits resulting from uncertain tax positions taken or expected to be taken in a</w:t>
      </w:r>
      <w:r>
        <w:rPr>
          <w:rFonts w:ascii="Arial" w:eastAsia="宋体" w:hAnsi="Arial" w:cs="Arial"/>
          <w:sz w:val="20"/>
          <w:szCs w:val="20"/>
        </w:rPr>
        <w:t xml:space="preserve"> tax return. We recognize interest and penalties, if any, related to unrecognized tax benefits in income tax expense. </w:t>
      </w:r>
    </w:p>
    <w:p w14:paraId="0BC9924F" w14:textId="77777777" w:rsidR="009F0928" w:rsidRDefault="009F0928">
      <w:pPr>
        <w:spacing w:line="288" w:lineRule="auto"/>
        <w:ind w:firstLine="600"/>
        <w:jc w:val="both"/>
        <w:rPr>
          <w:rFonts w:ascii="Times New Roman" w:hAnsi="Times New Roman"/>
          <w:sz w:val="20"/>
          <w:szCs w:val="20"/>
        </w:rPr>
      </w:pPr>
    </w:p>
    <w:p w14:paraId="0BC99250"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Cash and cash equivalents </w:t>
      </w:r>
    </w:p>
    <w:p w14:paraId="0BC99251" w14:textId="77777777" w:rsidR="009F0928" w:rsidRDefault="009F0928">
      <w:pPr>
        <w:spacing w:line="288" w:lineRule="auto"/>
        <w:ind w:firstLine="640"/>
        <w:jc w:val="both"/>
        <w:rPr>
          <w:rFonts w:ascii="Times New Roman" w:hAnsi="Times New Roman"/>
          <w:sz w:val="20"/>
          <w:szCs w:val="20"/>
        </w:rPr>
      </w:pPr>
    </w:p>
    <w:p w14:paraId="0BC9925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Cash and cash equivalents are short-term, highly liquid investments with original maturities of three </w:t>
      </w:r>
      <w:r>
        <w:rPr>
          <w:rFonts w:ascii="Arial" w:eastAsia="宋体" w:hAnsi="Arial" w:cs="Arial"/>
          <w:sz w:val="20"/>
          <w:szCs w:val="20"/>
        </w:rPr>
        <w:t>months or less when purchased, which may include bank deposits, US Treasury securities, time deposits, and certificates of deposit.</w:t>
      </w:r>
    </w:p>
    <w:p w14:paraId="0BC99253" w14:textId="77777777" w:rsidR="009F0928" w:rsidRDefault="009F0928">
      <w:pPr>
        <w:spacing w:line="288" w:lineRule="auto"/>
        <w:ind w:firstLine="600"/>
        <w:jc w:val="both"/>
        <w:rPr>
          <w:rFonts w:ascii="Times New Roman" w:hAnsi="Times New Roman"/>
          <w:sz w:val="20"/>
          <w:szCs w:val="20"/>
        </w:rPr>
      </w:pPr>
    </w:p>
    <w:p w14:paraId="0BC99254"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b/>
          <w:bCs/>
          <w:i/>
          <w:iCs/>
          <w:sz w:val="20"/>
          <w:szCs w:val="20"/>
        </w:rPr>
        <w:t>Investments</w:t>
      </w:r>
    </w:p>
    <w:p w14:paraId="0BC99255" w14:textId="77777777" w:rsidR="009F0928" w:rsidRDefault="009F0928">
      <w:pPr>
        <w:spacing w:line="288" w:lineRule="auto"/>
        <w:ind w:firstLine="340"/>
        <w:jc w:val="both"/>
        <w:rPr>
          <w:rFonts w:ascii="Times New Roman" w:hAnsi="Times New Roman"/>
          <w:sz w:val="20"/>
          <w:szCs w:val="20"/>
        </w:rPr>
      </w:pPr>
    </w:p>
    <w:p w14:paraId="0BC9925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Short-term investments are investments with original maturities of less than one year when purchased, are clas</w:t>
      </w:r>
      <w:r>
        <w:rPr>
          <w:rFonts w:ascii="Arial" w:eastAsia="宋体" w:hAnsi="Arial" w:cs="Arial"/>
          <w:sz w:val="20"/>
          <w:szCs w:val="20"/>
        </w:rPr>
        <w:t xml:space="preserve">sified as available-for-sale and are reported at fair value using the specific identification method. Short-term investments are primarily comprised of corporate debt securities, commercial paper, and agency securities. </w:t>
      </w:r>
    </w:p>
    <w:p w14:paraId="0BC99257" w14:textId="77777777" w:rsidR="009F0928" w:rsidRDefault="009F0928">
      <w:pPr>
        <w:spacing w:line="288" w:lineRule="auto"/>
        <w:ind w:firstLine="720"/>
        <w:jc w:val="both"/>
        <w:rPr>
          <w:rFonts w:ascii="Times New Roman" w:hAnsi="Times New Roman"/>
          <w:sz w:val="20"/>
          <w:szCs w:val="20"/>
        </w:rPr>
      </w:pPr>
    </w:p>
    <w:p w14:paraId="0BC9925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Long-term investments are primaril</w:t>
      </w:r>
      <w:r>
        <w:rPr>
          <w:rFonts w:ascii="Arial" w:eastAsia="宋体" w:hAnsi="Arial" w:cs="Arial"/>
          <w:sz w:val="20"/>
          <w:szCs w:val="20"/>
        </w:rPr>
        <w:t xml:space="preserve">y comprised of corporate debt securities, agency securities, and equity investments. Debt securities are classified as available-for-sale and are reported at fair value using the specific identification method. </w:t>
      </w:r>
    </w:p>
    <w:p w14:paraId="0BC99259" w14:textId="77777777" w:rsidR="009F0928" w:rsidRDefault="009F0928">
      <w:pPr>
        <w:rPr>
          <w:rFonts w:ascii="Times New Roman" w:hAnsi="Times New Roman"/>
          <w:sz w:val="20"/>
          <w:szCs w:val="20"/>
        </w:rPr>
      </w:pPr>
    </w:p>
    <w:p w14:paraId="0BC9925A"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F-12</w:t>
      </w:r>
    </w:p>
    <w:p w14:paraId="0BC9925B" w14:textId="77777777" w:rsidR="009F0928" w:rsidRDefault="002112BD">
      <w:r>
        <w:rPr>
          <w:rFonts w:ascii="Times New Roman" w:hAnsi="Times New Roman"/>
          <w:sz w:val="18"/>
          <w:szCs w:val="18"/>
        </w:rPr>
        <w:pict w14:anchorId="0BC9B506">
          <v:rect id="_x0000_i1098" style="width:415.3pt;height:1.5pt" o:hralign="center" o:hrstd="t" o:hr="t" fillcolor="#a0a0a0" stroked="f"/>
        </w:pict>
      </w:r>
    </w:p>
    <w:p w14:paraId="0BC9925C"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25D"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w:t>
      </w:r>
      <w:r>
        <w:rPr>
          <w:rFonts w:ascii="Arial" w:eastAsia="宋体" w:hAnsi="Arial" w:cs="Arial"/>
          <w:b/>
          <w:bCs/>
          <w:sz w:val="20"/>
          <w:szCs w:val="20"/>
        </w:rPr>
        <w:t>NCIAL STATEMENTS—(Continued)</w:t>
      </w:r>
    </w:p>
    <w:p w14:paraId="0BC9925E" w14:textId="77777777" w:rsidR="009F0928" w:rsidRDefault="009F0928">
      <w:pPr>
        <w:spacing w:line="288" w:lineRule="auto"/>
        <w:jc w:val="center"/>
        <w:rPr>
          <w:rFonts w:ascii="Times New Roman" w:hAnsi="Times New Roman"/>
          <w:sz w:val="20"/>
          <w:szCs w:val="20"/>
        </w:rPr>
      </w:pPr>
    </w:p>
    <w:p w14:paraId="0BC9925F" w14:textId="77777777" w:rsidR="009F0928" w:rsidRDefault="009F0928">
      <w:pPr>
        <w:rPr>
          <w:rFonts w:ascii="Times New Roman" w:hAnsi="Times New Roman"/>
          <w:sz w:val="20"/>
          <w:szCs w:val="20"/>
        </w:rPr>
      </w:pPr>
    </w:p>
    <w:p w14:paraId="0BC99260" w14:textId="77777777" w:rsidR="009F0928" w:rsidRDefault="009F0928">
      <w:pPr>
        <w:spacing w:line="288" w:lineRule="auto"/>
        <w:jc w:val="both"/>
        <w:rPr>
          <w:rFonts w:ascii="Times New Roman" w:hAnsi="Times New Roman"/>
          <w:sz w:val="20"/>
          <w:szCs w:val="20"/>
        </w:rPr>
      </w:pPr>
    </w:p>
    <w:p w14:paraId="0BC9926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Unrealized gains and losses on our available-for-sale debt securities are excluded from earnings and reported as a component of other comprehensive income (loss), net of related estimated income tax provisions or benefits.</w:t>
      </w:r>
    </w:p>
    <w:p w14:paraId="0BC99262" w14:textId="77777777" w:rsidR="009F0928" w:rsidRDefault="009F0928">
      <w:pPr>
        <w:spacing w:line="288" w:lineRule="auto"/>
        <w:jc w:val="both"/>
        <w:rPr>
          <w:rFonts w:ascii="Times New Roman" w:hAnsi="Times New Roman"/>
          <w:sz w:val="20"/>
          <w:szCs w:val="20"/>
        </w:rPr>
      </w:pPr>
    </w:p>
    <w:p w14:paraId="0BC9926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Our equity investments are primarily investments in privately-held companies. We account for equity investments through which we exercise significant influence but do not have control over the investee under the equity method. Our consolidated results of o</w:t>
      </w:r>
      <w:r>
        <w:rPr>
          <w:rFonts w:ascii="Arial" w:eastAsia="宋体" w:hAnsi="Arial" w:cs="Arial"/>
          <w:sz w:val="20"/>
          <w:szCs w:val="20"/>
        </w:rPr>
        <w:t>perations include, as a component of interest and other, net, our share of the net income or loss of the equity investments accounted for under the equity method of accounting. Our share of investees’ results of operations is not significant for any period</w:t>
      </w:r>
      <w:r>
        <w:rPr>
          <w:rFonts w:ascii="Arial" w:eastAsia="宋体" w:hAnsi="Arial" w:cs="Arial"/>
          <w:sz w:val="20"/>
          <w:szCs w:val="20"/>
        </w:rPr>
        <w:t xml:space="preserve"> presented. Our equity investments not accounted for under the equity method are carried at under the measurement alternative. Under the measurement alternative, the carrying value is measured at cost minus impairment, if any, plus or minus changes resulti</w:t>
      </w:r>
      <w:r>
        <w:rPr>
          <w:rFonts w:ascii="Arial" w:eastAsia="宋体" w:hAnsi="Arial" w:cs="Arial"/>
          <w:sz w:val="20"/>
          <w:szCs w:val="20"/>
        </w:rPr>
        <w:t>ng from observable price changes in orderly transactions for the identical or a similar investment of the same issuer. Such changes in the basis of the equity investment are recognized in interest &amp; other, net.</w:t>
      </w:r>
    </w:p>
    <w:p w14:paraId="0BC99264" w14:textId="77777777" w:rsidR="009F0928" w:rsidRDefault="009F0928">
      <w:pPr>
        <w:spacing w:line="288" w:lineRule="auto"/>
        <w:rPr>
          <w:rFonts w:ascii="Times New Roman" w:hAnsi="Times New Roman"/>
          <w:sz w:val="22"/>
          <w:szCs w:val="22"/>
        </w:rPr>
      </w:pPr>
    </w:p>
    <w:p w14:paraId="0BC9926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periodically perform impairment assessmen</w:t>
      </w:r>
      <w:r>
        <w:rPr>
          <w:rFonts w:ascii="Arial" w:eastAsia="宋体" w:hAnsi="Arial" w:cs="Arial"/>
          <w:sz w:val="20"/>
          <w:szCs w:val="20"/>
        </w:rPr>
        <w:t>t review of our debt and equity investments. For debt securities, this assessment takes into account the severity and duration of the decline in value, our intent to sell the security, whether it is more likely than not that we will be required to sell the</w:t>
      </w:r>
      <w:r>
        <w:rPr>
          <w:rFonts w:ascii="Arial" w:eastAsia="宋体" w:hAnsi="Arial" w:cs="Arial"/>
          <w:sz w:val="20"/>
          <w:szCs w:val="20"/>
        </w:rPr>
        <w:t xml:space="preserve"> security before recovery of its amortized cost basis, and whether we expect to recover the entire amortized cost basis of the security (that is, whether a credit loss exists). If any impairment is considered other-than-temporary, we will write down the se</w:t>
      </w:r>
      <w:r>
        <w:rPr>
          <w:rFonts w:ascii="Arial" w:eastAsia="宋体" w:hAnsi="Arial" w:cs="Arial"/>
          <w:sz w:val="20"/>
          <w:szCs w:val="20"/>
        </w:rPr>
        <w:t>curity to its fair value and record the corresponding charge as interest &amp; other, net. For equity investments we perform a qualitative assessment on a quarterly basis and recognize an impairment if there are sufficient indicators that the fair value of the</w:t>
      </w:r>
      <w:r>
        <w:rPr>
          <w:rFonts w:ascii="Arial" w:eastAsia="宋体" w:hAnsi="Arial" w:cs="Arial"/>
          <w:sz w:val="20"/>
          <w:szCs w:val="20"/>
        </w:rPr>
        <w:t xml:space="preserve"> investment is less than carrying value. Changes in value are recorded in interest &amp; other, net.</w:t>
      </w:r>
    </w:p>
    <w:p w14:paraId="0BC99266" w14:textId="77777777" w:rsidR="009F0928" w:rsidRDefault="009F0928">
      <w:pPr>
        <w:spacing w:line="288" w:lineRule="auto"/>
        <w:ind w:firstLine="720"/>
        <w:jc w:val="both"/>
        <w:rPr>
          <w:rFonts w:ascii="Times New Roman" w:hAnsi="Times New Roman"/>
          <w:sz w:val="20"/>
          <w:szCs w:val="20"/>
        </w:rPr>
      </w:pPr>
    </w:p>
    <w:p w14:paraId="0BC99267" w14:textId="77777777" w:rsidR="009F0928" w:rsidRDefault="002112BD">
      <w:pPr>
        <w:spacing w:line="288" w:lineRule="auto"/>
        <w:ind w:firstLine="340"/>
        <w:jc w:val="both"/>
        <w:rPr>
          <w:rFonts w:ascii="Times New Roman" w:hAnsi="Times New Roman"/>
          <w:sz w:val="20"/>
          <w:szCs w:val="20"/>
        </w:rPr>
      </w:pPr>
      <w:r>
        <w:rPr>
          <w:rFonts w:ascii="Arial" w:eastAsia="宋体" w:hAnsi="Arial" w:cs="Arial"/>
          <w:b/>
          <w:bCs/>
          <w:i/>
          <w:iCs/>
          <w:sz w:val="20"/>
          <w:szCs w:val="20"/>
        </w:rPr>
        <w:t>Leases</w:t>
      </w:r>
    </w:p>
    <w:p w14:paraId="0BC99268" w14:textId="77777777" w:rsidR="009F0928" w:rsidRDefault="009F0928">
      <w:pPr>
        <w:spacing w:line="288" w:lineRule="auto"/>
        <w:ind w:firstLine="960"/>
        <w:jc w:val="both"/>
        <w:rPr>
          <w:rFonts w:ascii="Times New Roman" w:hAnsi="Times New Roman"/>
          <w:sz w:val="20"/>
          <w:szCs w:val="20"/>
        </w:rPr>
      </w:pPr>
    </w:p>
    <w:p w14:paraId="0BC9926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determine if an arrangement is a lease or contains a lease at inception. Operating and finance lease liabilities are recognized based on the presen</w:t>
      </w:r>
      <w:r>
        <w:rPr>
          <w:rFonts w:ascii="Arial" w:eastAsia="宋体" w:hAnsi="Arial" w:cs="Arial"/>
          <w:sz w:val="20"/>
          <w:szCs w:val="20"/>
        </w:rPr>
        <w:t>t value of the remaining lease payments, discounted using the discount rate for the lease at the commencement date. As the rate implicit in the lease is not readily determinable for our operating leases, we generally use an incremental borrowing rate based</w:t>
      </w:r>
      <w:r>
        <w:rPr>
          <w:rFonts w:ascii="Arial" w:eastAsia="宋体" w:hAnsi="Arial" w:cs="Arial"/>
          <w:sz w:val="20"/>
          <w:szCs w:val="20"/>
        </w:rPr>
        <w:t xml:space="preserve"> on information available at the commencement date to determine the present value of future lease payments. Operating right-of-use (“ROU”) assets and finance lease assets are generally recognized based on the amount of the initial measurement of the lease </w:t>
      </w:r>
      <w:r>
        <w:rPr>
          <w:rFonts w:ascii="Arial" w:eastAsia="宋体" w:hAnsi="Arial" w:cs="Arial"/>
          <w:sz w:val="20"/>
          <w:szCs w:val="20"/>
        </w:rPr>
        <w:t>liability. Our leases have remaining lease terms of up to ten years, some of which include options to extend the leases for up to five years, and some of which include options to terminate the leases within one year. Lease expense is recognized on a straig</w:t>
      </w:r>
      <w:r>
        <w:rPr>
          <w:rFonts w:ascii="Arial" w:eastAsia="宋体" w:hAnsi="Arial" w:cs="Arial"/>
          <w:sz w:val="20"/>
          <w:szCs w:val="20"/>
        </w:rPr>
        <w:t>ht-line basis over the lease term. We account for lease and non-lease components as a single lease component for our data center leases. Lease and non-lease components for all other leases are accounted for separately.</w:t>
      </w:r>
    </w:p>
    <w:p w14:paraId="0BC9926A" w14:textId="77777777" w:rsidR="009F0928" w:rsidRDefault="009F0928">
      <w:pPr>
        <w:spacing w:line="288" w:lineRule="auto"/>
        <w:ind w:firstLine="720"/>
        <w:jc w:val="both"/>
        <w:rPr>
          <w:rFonts w:ascii="Times New Roman" w:hAnsi="Times New Roman"/>
          <w:sz w:val="20"/>
          <w:szCs w:val="20"/>
        </w:rPr>
      </w:pPr>
    </w:p>
    <w:p w14:paraId="0BC9926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Operating leases are included in ope</w:t>
      </w:r>
      <w:r>
        <w:rPr>
          <w:rFonts w:ascii="Arial" w:eastAsia="宋体" w:hAnsi="Arial" w:cs="Arial"/>
          <w:sz w:val="20"/>
          <w:szCs w:val="20"/>
        </w:rPr>
        <w:t>rating lease right-of-use assets, other current liabilities and operating lease liabilities on our consolidated balance sheets. Finance leases are included in property and equipment, net, short-term debt, and long-term debt on our consolidated balance shee</w:t>
      </w:r>
      <w:r>
        <w:rPr>
          <w:rFonts w:ascii="Arial" w:eastAsia="宋体" w:hAnsi="Arial" w:cs="Arial"/>
          <w:sz w:val="20"/>
          <w:szCs w:val="20"/>
        </w:rPr>
        <w:t>t.</w:t>
      </w:r>
    </w:p>
    <w:p w14:paraId="0BC9926C" w14:textId="77777777" w:rsidR="009F0928" w:rsidRDefault="009F0928">
      <w:pPr>
        <w:spacing w:line="288" w:lineRule="auto"/>
        <w:jc w:val="both"/>
        <w:rPr>
          <w:rFonts w:ascii="Times New Roman" w:hAnsi="Times New Roman"/>
          <w:sz w:val="20"/>
          <w:szCs w:val="20"/>
        </w:rPr>
      </w:pPr>
    </w:p>
    <w:p w14:paraId="0BC9926D"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Property and equipment </w:t>
      </w:r>
    </w:p>
    <w:p w14:paraId="0BC9926E" w14:textId="77777777" w:rsidR="009F0928" w:rsidRDefault="009F0928">
      <w:pPr>
        <w:spacing w:line="288" w:lineRule="auto"/>
        <w:ind w:firstLine="640"/>
        <w:jc w:val="both"/>
        <w:rPr>
          <w:rFonts w:ascii="Times New Roman" w:hAnsi="Times New Roman"/>
          <w:sz w:val="20"/>
          <w:szCs w:val="20"/>
        </w:rPr>
      </w:pPr>
    </w:p>
    <w:p w14:paraId="0BC9926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Property and equipment are stated at historical cost less accumulated depreciation. Depreciation for equipment, buildings and leasehold improvements commences once they are ready for our intended use. Depreciation is computed u</w:t>
      </w:r>
      <w:r>
        <w:rPr>
          <w:rFonts w:ascii="Arial" w:eastAsia="宋体" w:hAnsi="Arial" w:cs="Arial"/>
          <w:sz w:val="20"/>
          <w:szCs w:val="20"/>
        </w:rPr>
        <w:t>sing the straight-line method over the estimated useful lives of the assets, generally, one to three years for computer equipment and software, up to thirty years for buildings and building improvements, the shorter of five years or the term of the lease f</w:t>
      </w:r>
      <w:r>
        <w:rPr>
          <w:rFonts w:ascii="Arial" w:eastAsia="宋体" w:hAnsi="Arial" w:cs="Arial"/>
          <w:sz w:val="20"/>
          <w:szCs w:val="20"/>
        </w:rPr>
        <w:t xml:space="preserve">or leasehold improvements and three years for furniture, fixtures and vehicles. Land is not depreciated. </w:t>
      </w:r>
    </w:p>
    <w:p w14:paraId="0BC99270" w14:textId="77777777" w:rsidR="009F0928" w:rsidRDefault="009F0928">
      <w:pPr>
        <w:rPr>
          <w:rFonts w:ascii="Times New Roman" w:hAnsi="Times New Roman"/>
          <w:sz w:val="20"/>
          <w:szCs w:val="20"/>
        </w:rPr>
      </w:pPr>
    </w:p>
    <w:p w14:paraId="0BC99271"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F-13</w:t>
      </w:r>
    </w:p>
    <w:p w14:paraId="0BC99272" w14:textId="77777777" w:rsidR="009F0928" w:rsidRDefault="002112BD">
      <w:r>
        <w:rPr>
          <w:rFonts w:ascii="Times New Roman" w:hAnsi="Times New Roman"/>
          <w:sz w:val="18"/>
          <w:szCs w:val="18"/>
        </w:rPr>
        <w:pict w14:anchorId="0BC9B507">
          <v:rect id="_x0000_i1099" style="width:415.3pt;height:1.5pt" o:hralign="center" o:hrstd="t" o:hr="t" fillcolor="#a0a0a0" stroked="f"/>
        </w:pict>
      </w:r>
    </w:p>
    <w:p w14:paraId="0BC99273"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274"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9275" w14:textId="77777777" w:rsidR="009F0928" w:rsidRDefault="009F0928">
      <w:pPr>
        <w:spacing w:line="288" w:lineRule="auto"/>
        <w:jc w:val="center"/>
        <w:rPr>
          <w:rFonts w:ascii="Times New Roman" w:hAnsi="Times New Roman"/>
          <w:sz w:val="20"/>
          <w:szCs w:val="20"/>
        </w:rPr>
      </w:pPr>
    </w:p>
    <w:p w14:paraId="0BC99276" w14:textId="77777777" w:rsidR="009F0928" w:rsidRDefault="009F0928">
      <w:pPr>
        <w:rPr>
          <w:rFonts w:ascii="Times New Roman" w:hAnsi="Times New Roman"/>
          <w:sz w:val="20"/>
          <w:szCs w:val="20"/>
        </w:rPr>
      </w:pPr>
    </w:p>
    <w:p w14:paraId="0BC99277"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Goodwill and intangible assets </w:t>
      </w:r>
    </w:p>
    <w:p w14:paraId="0BC99278" w14:textId="77777777" w:rsidR="009F0928" w:rsidRDefault="009F0928">
      <w:pPr>
        <w:spacing w:line="288" w:lineRule="auto"/>
        <w:ind w:firstLine="640"/>
        <w:jc w:val="both"/>
        <w:rPr>
          <w:rFonts w:ascii="Times New Roman" w:hAnsi="Times New Roman"/>
          <w:sz w:val="20"/>
          <w:szCs w:val="20"/>
        </w:rPr>
      </w:pPr>
    </w:p>
    <w:p w14:paraId="0BC9927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Goodwill is tested for </w:t>
      </w:r>
      <w:r>
        <w:rPr>
          <w:rFonts w:ascii="Arial" w:eastAsia="宋体" w:hAnsi="Arial" w:cs="Arial"/>
          <w:sz w:val="20"/>
          <w:szCs w:val="20"/>
        </w:rPr>
        <w:t>impairment at a minimum on an annual basis at the reporting unit level. A qualitative assessment can be performed to determine whether it is more likely than not that the fair value of the reporting unit is less than its carrying value. If the reporting un</w:t>
      </w:r>
      <w:r>
        <w:rPr>
          <w:rFonts w:ascii="Arial" w:eastAsia="宋体" w:hAnsi="Arial" w:cs="Arial"/>
          <w:sz w:val="20"/>
          <w:szCs w:val="20"/>
        </w:rPr>
        <w:t>it does not pass the qualitative assessment, then the reporting unit’s carrying value is compared to its fair value. The fair values of the reporting units are estimated using income and market approaches. Goodwill is considered impaired if the carrying va</w:t>
      </w:r>
      <w:r>
        <w:rPr>
          <w:rFonts w:ascii="Arial" w:eastAsia="宋体" w:hAnsi="Arial" w:cs="Arial"/>
          <w:sz w:val="20"/>
          <w:szCs w:val="20"/>
        </w:rPr>
        <w:t>lue of the reporting unit exceeds its fair value. The discounted cash flow method, a form of the income approach, uses expected future operating results and a market participant discount rate. The market approach uses comparable company prices and other re</w:t>
      </w:r>
      <w:r>
        <w:rPr>
          <w:rFonts w:ascii="Arial" w:eastAsia="宋体" w:hAnsi="Arial" w:cs="Arial"/>
          <w:sz w:val="20"/>
          <w:szCs w:val="20"/>
        </w:rPr>
        <w:t xml:space="preserve">levant information generated by market transactions (either publicly traded entities or mergers and acquisitions) to develop pricing metrics to be applied to historical and expected future operating results of our reporting units. Failure to achieve these </w:t>
      </w:r>
      <w:r>
        <w:rPr>
          <w:rFonts w:ascii="Arial" w:eastAsia="宋体" w:hAnsi="Arial" w:cs="Arial"/>
          <w:sz w:val="20"/>
          <w:szCs w:val="20"/>
        </w:rPr>
        <w:t>expected results, changes in the discount rate or market pricing metrics may cause a future impairment of goodwill at the reporting unit. We conducted our annual impairment test of goodwill as of August 31, 2019 and 2018 and determined that no adjustment t</w:t>
      </w:r>
      <w:r>
        <w:rPr>
          <w:rFonts w:ascii="Arial" w:eastAsia="宋体" w:hAnsi="Arial" w:cs="Arial"/>
          <w:sz w:val="20"/>
          <w:szCs w:val="20"/>
        </w:rPr>
        <w:t>o the carrying value of goodwill for any reporting units was required. </w:t>
      </w:r>
    </w:p>
    <w:p w14:paraId="0BC9927A" w14:textId="77777777" w:rsidR="009F0928" w:rsidRDefault="009F0928">
      <w:pPr>
        <w:spacing w:line="288" w:lineRule="auto"/>
        <w:ind w:firstLine="720"/>
        <w:jc w:val="both"/>
        <w:rPr>
          <w:rFonts w:ascii="Times New Roman" w:hAnsi="Times New Roman"/>
          <w:sz w:val="20"/>
          <w:szCs w:val="20"/>
        </w:rPr>
      </w:pPr>
    </w:p>
    <w:p w14:paraId="0BC9927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Intangible assets consist of purchased customer lists and user base, marketing related, developed technologies and other intangible assets, including patents and contractual agreement</w:t>
      </w:r>
      <w:r>
        <w:rPr>
          <w:rFonts w:ascii="Arial" w:eastAsia="宋体" w:hAnsi="Arial" w:cs="Arial"/>
          <w:sz w:val="20"/>
          <w:szCs w:val="20"/>
        </w:rPr>
        <w:t xml:space="preserve">s. Intangible assets are amortized over the period of estimated benefit using the straight-line method and estimated useful lives ranging from one to five years. No significant residual value is estimated for intangible assets. </w:t>
      </w:r>
    </w:p>
    <w:p w14:paraId="0BC9927C" w14:textId="77777777" w:rsidR="009F0928" w:rsidRDefault="009F0928">
      <w:pPr>
        <w:spacing w:line="288" w:lineRule="auto"/>
        <w:ind w:firstLine="640"/>
        <w:jc w:val="both"/>
        <w:rPr>
          <w:rFonts w:ascii="Times New Roman" w:hAnsi="Times New Roman"/>
          <w:sz w:val="20"/>
          <w:szCs w:val="20"/>
        </w:rPr>
      </w:pPr>
    </w:p>
    <w:p w14:paraId="0BC9927D"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Impairment of long-lived a</w:t>
      </w:r>
      <w:r>
        <w:rPr>
          <w:rFonts w:ascii="Arial" w:eastAsia="宋体" w:hAnsi="Arial" w:cs="Arial"/>
          <w:b/>
          <w:bCs/>
          <w:i/>
          <w:iCs/>
          <w:sz w:val="20"/>
          <w:szCs w:val="20"/>
        </w:rPr>
        <w:t xml:space="preserve">ssets </w:t>
      </w:r>
    </w:p>
    <w:p w14:paraId="0BC9927E" w14:textId="77777777" w:rsidR="009F0928" w:rsidRDefault="009F0928">
      <w:pPr>
        <w:spacing w:line="288" w:lineRule="auto"/>
        <w:ind w:firstLine="600"/>
        <w:jc w:val="both"/>
        <w:rPr>
          <w:rFonts w:ascii="Times New Roman" w:hAnsi="Times New Roman"/>
          <w:sz w:val="20"/>
          <w:szCs w:val="20"/>
        </w:rPr>
      </w:pPr>
    </w:p>
    <w:p w14:paraId="0BC9927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evaluate long-lived assets (including intangible assets) for impairment whenever events or changes in circumstances indicate that the carrying amount of a long-lived asset may not be recoverable. An asset is considered impaired if its carrying a</w:t>
      </w:r>
      <w:r>
        <w:rPr>
          <w:rFonts w:ascii="Arial" w:eastAsia="宋体" w:hAnsi="Arial" w:cs="Arial"/>
          <w:sz w:val="20"/>
          <w:szCs w:val="20"/>
        </w:rPr>
        <w:t>mount exceeds the undiscounted future net cash flow the asset is expected to generate. In 2019, 2018 and 2017, no impairment was noted.</w:t>
      </w:r>
    </w:p>
    <w:p w14:paraId="0BC99280" w14:textId="77777777" w:rsidR="009F0928" w:rsidRDefault="009F0928">
      <w:pPr>
        <w:spacing w:line="288" w:lineRule="auto"/>
        <w:ind w:firstLine="640"/>
        <w:jc w:val="both"/>
        <w:rPr>
          <w:rFonts w:ascii="Times New Roman" w:hAnsi="Times New Roman"/>
          <w:sz w:val="20"/>
          <w:szCs w:val="20"/>
        </w:rPr>
      </w:pPr>
    </w:p>
    <w:p w14:paraId="0BC99281"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b/>
          <w:bCs/>
          <w:i/>
          <w:iCs/>
          <w:sz w:val="20"/>
          <w:szCs w:val="20"/>
        </w:rPr>
        <w:t>Foreign currency</w:t>
      </w:r>
    </w:p>
    <w:p w14:paraId="0BC99282"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b/>
          <w:bCs/>
          <w:i/>
          <w:iCs/>
          <w:sz w:val="20"/>
          <w:szCs w:val="20"/>
        </w:rPr>
        <w:t> </w:t>
      </w:r>
    </w:p>
    <w:p w14:paraId="0BC9928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Most of our foreign subsidiaries use the local currency of their respective countries as their functional currency. Assets and liabilities are translated into U.S. dollars using exchange rates prevailing at the balance sheet date, while revenues and expens</w:t>
      </w:r>
      <w:r>
        <w:rPr>
          <w:rFonts w:ascii="Arial" w:eastAsia="宋体" w:hAnsi="Arial" w:cs="Arial"/>
          <w:sz w:val="20"/>
          <w:szCs w:val="20"/>
        </w:rPr>
        <w:t xml:space="preserve">es are translated at average exchange rates during the year. Gains and losses resulting from the translation of our consolidated balance sheet are recorded as a component of accumulated other comprehensive income. </w:t>
      </w:r>
    </w:p>
    <w:p w14:paraId="0BC99284" w14:textId="77777777" w:rsidR="009F0928" w:rsidRDefault="009F0928">
      <w:pPr>
        <w:spacing w:line="288" w:lineRule="auto"/>
        <w:ind w:firstLine="640"/>
        <w:jc w:val="both"/>
        <w:rPr>
          <w:rFonts w:ascii="Times New Roman" w:hAnsi="Times New Roman"/>
          <w:sz w:val="20"/>
          <w:szCs w:val="20"/>
        </w:rPr>
      </w:pPr>
    </w:p>
    <w:p w14:paraId="0BC9928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Gains and losses from foreign currency t</w:t>
      </w:r>
      <w:r>
        <w:rPr>
          <w:rFonts w:ascii="Arial" w:eastAsia="宋体" w:hAnsi="Arial" w:cs="Arial"/>
          <w:sz w:val="20"/>
          <w:szCs w:val="20"/>
        </w:rPr>
        <w:t xml:space="preserve">ransactions are recognized as interest and other, net. </w:t>
      </w:r>
    </w:p>
    <w:p w14:paraId="0BC99286" w14:textId="77777777" w:rsidR="009F0928" w:rsidRDefault="009F0928">
      <w:pPr>
        <w:spacing w:line="288" w:lineRule="auto"/>
        <w:jc w:val="both"/>
        <w:rPr>
          <w:rFonts w:ascii="Times New Roman" w:hAnsi="Times New Roman"/>
          <w:sz w:val="20"/>
          <w:szCs w:val="20"/>
        </w:rPr>
      </w:pPr>
    </w:p>
    <w:p w14:paraId="0BC99287"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Derivative instruments </w:t>
      </w:r>
    </w:p>
    <w:p w14:paraId="0BC99288" w14:textId="77777777" w:rsidR="009F0928" w:rsidRDefault="009F0928">
      <w:pPr>
        <w:spacing w:line="288" w:lineRule="auto"/>
        <w:ind w:firstLine="640"/>
        <w:jc w:val="both"/>
        <w:rPr>
          <w:rFonts w:ascii="Times New Roman" w:hAnsi="Times New Roman"/>
          <w:sz w:val="20"/>
          <w:szCs w:val="20"/>
        </w:rPr>
      </w:pPr>
    </w:p>
    <w:p w14:paraId="0BC9928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use derivative financial instruments, primarily forwards, options and swaps, to hedge certain foreign currency and interest rate exposures. We may also use other derivativ</w:t>
      </w:r>
      <w:r>
        <w:rPr>
          <w:rFonts w:ascii="Arial" w:eastAsia="宋体" w:hAnsi="Arial" w:cs="Arial"/>
          <w:sz w:val="20"/>
          <w:szCs w:val="20"/>
        </w:rPr>
        <w:t>e instruments not designated as hedges, such as forwards to hedge foreign currency balance sheet exposures. We do not use derivative financial instruments for trading purposes. </w:t>
      </w:r>
    </w:p>
    <w:p w14:paraId="0BC9928A" w14:textId="77777777" w:rsidR="009F0928" w:rsidRDefault="009F0928">
      <w:pPr>
        <w:spacing w:line="288" w:lineRule="auto"/>
        <w:ind w:firstLine="720"/>
        <w:jc w:val="both"/>
        <w:rPr>
          <w:rFonts w:ascii="Times New Roman" w:hAnsi="Times New Roman"/>
          <w:sz w:val="20"/>
          <w:szCs w:val="20"/>
        </w:rPr>
      </w:pPr>
    </w:p>
    <w:p w14:paraId="0BC9928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also entered into a warrant agreement in addition to a commercial agreemen</w:t>
      </w:r>
      <w:r>
        <w:rPr>
          <w:rFonts w:ascii="Arial" w:eastAsia="宋体" w:hAnsi="Arial" w:cs="Arial"/>
          <w:sz w:val="20"/>
          <w:szCs w:val="20"/>
        </w:rPr>
        <w:t>t with Adyen that, subject to meeting certain conditions, entitles us to acquire a fixed number of shares up to 5% of Adyen’s fully diluted issued and outstanding share capital at a specific date. The warrant is accounted for as a derivative instrument und</w:t>
      </w:r>
      <w:r>
        <w:rPr>
          <w:rFonts w:ascii="Arial" w:eastAsia="宋体" w:hAnsi="Arial" w:cs="Arial"/>
          <w:sz w:val="20"/>
          <w:szCs w:val="20"/>
        </w:rPr>
        <w:t xml:space="preserve">er ASC Topic 815, </w:t>
      </w:r>
      <w:r>
        <w:rPr>
          <w:rFonts w:ascii="Arial" w:eastAsia="宋体" w:hAnsi="Arial" w:cs="Arial"/>
          <w:i/>
          <w:iCs/>
          <w:sz w:val="20"/>
          <w:szCs w:val="20"/>
        </w:rPr>
        <w:t>Derivatives and Hedging</w:t>
      </w:r>
      <w:r>
        <w:rPr>
          <w:rFonts w:ascii="Arial" w:eastAsia="宋体" w:hAnsi="Arial" w:cs="Arial"/>
          <w:sz w:val="20"/>
          <w:szCs w:val="20"/>
        </w:rPr>
        <w:t xml:space="preserve">. </w:t>
      </w:r>
    </w:p>
    <w:p w14:paraId="0BC9928C" w14:textId="77777777" w:rsidR="009F0928" w:rsidRDefault="009F0928">
      <w:pPr>
        <w:spacing w:line="288" w:lineRule="auto"/>
        <w:ind w:firstLine="720"/>
        <w:jc w:val="both"/>
        <w:rPr>
          <w:rFonts w:ascii="Times New Roman" w:hAnsi="Times New Roman"/>
          <w:sz w:val="20"/>
          <w:szCs w:val="20"/>
        </w:rPr>
      </w:pPr>
    </w:p>
    <w:p w14:paraId="0BC9928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See “Note 7 – Derivative Instruments” for a full description of our derivative instrument activities and related accounting policies.</w:t>
      </w:r>
    </w:p>
    <w:p w14:paraId="0BC9928E" w14:textId="77777777" w:rsidR="009F0928" w:rsidRDefault="009F0928">
      <w:pPr>
        <w:spacing w:line="288" w:lineRule="auto"/>
        <w:ind w:firstLine="640"/>
        <w:jc w:val="both"/>
        <w:rPr>
          <w:rFonts w:ascii="Times New Roman" w:hAnsi="Times New Roman"/>
          <w:sz w:val="20"/>
          <w:szCs w:val="20"/>
        </w:rPr>
      </w:pPr>
    </w:p>
    <w:p w14:paraId="0BC9928F" w14:textId="77777777" w:rsidR="009F0928" w:rsidRDefault="009F0928">
      <w:pPr>
        <w:rPr>
          <w:rFonts w:ascii="Times New Roman" w:hAnsi="Times New Roman"/>
          <w:sz w:val="20"/>
          <w:szCs w:val="20"/>
        </w:rPr>
      </w:pPr>
    </w:p>
    <w:p w14:paraId="0BC99290"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F-14</w:t>
      </w:r>
    </w:p>
    <w:p w14:paraId="0BC99291" w14:textId="77777777" w:rsidR="009F0928" w:rsidRDefault="002112BD">
      <w:r>
        <w:rPr>
          <w:rFonts w:ascii="Times New Roman" w:hAnsi="Times New Roman"/>
          <w:sz w:val="18"/>
          <w:szCs w:val="18"/>
        </w:rPr>
        <w:pict w14:anchorId="0BC9B508">
          <v:rect id="_x0000_i1100" style="width:415.3pt;height:1.5pt" o:hralign="center" o:hrstd="t" o:hr="t" fillcolor="#a0a0a0" stroked="f"/>
        </w:pict>
      </w:r>
    </w:p>
    <w:p w14:paraId="0BC99292"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293"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NOTES TO CONSOLIDATED FINANCIAL </w:t>
      </w:r>
      <w:r>
        <w:rPr>
          <w:rFonts w:ascii="Arial" w:eastAsia="宋体" w:hAnsi="Arial" w:cs="Arial"/>
          <w:b/>
          <w:bCs/>
          <w:sz w:val="20"/>
          <w:szCs w:val="20"/>
        </w:rPr>
        <w:t>STATEMENTS—(Continued)</w:t>
      </w:r>
    </w:p>
    <w:p w14:paraId="0BC99294" w14:textId="77777777" w:rsidR="009F0928" w:rsidRDefault="009F0928">
      <w:pPr>
        <w:spacing w:line="288" w:lineRule="auto"/>
        <w:jc w:val="center"/>
        <w:rPr>
          <w:rFonts w:ascii="Times New Roman" w:hAnsi="Times New Roman"/>
          <w:sz w:val="20"/>
          <w:szCs w:val="20"/>
        </w:rPr>
      </w:pPr>
    </w:p>
    <w:p w14:paraId="0BC99295" w14:textId="77777777" w:rsidR="009F0928" w:rsidRDefault="009F0928">
      <w:pPr>
        <w:rPr>
          <w:rFonts w:ascii="Times New Roman" w:hAnsi="Times New Roman"/>
          <w:sz w:val="20"/>
          <w:szCs w:val="20"/>
        </w:rPr>
      </w:pPr>
    </w:p>
    <w:p w14:paraId="0BC99296"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Concentration of credit risk </w:t>
      </w:r>
    </w:p>
    <w:p w14:paraId="0BC99297" w14:textId="77777777" w:rsidR="009F0928" w:rsidRDefault="009F0928">
      <w:pPr>
        <w:spacing w:line="288" w:lineRule="auto"/>
        <w:ind w:firstLine="640"/>
        <w:jc w:val="both"/>
        <w:rPr>
          <w:rFonts w:ascii="Times New Roman" w:hAnsi="Times New Roman"/>
          <w:sz w:val="20"/>
          <w:szCs w:val="20"/>
        </w:rPr>
      </w:pPr>
    </w:p>
    <w:p w14:paraId="0BC9929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Our cash, cash equivalents, accounts receivable and derivative instruments are potentially subject to concentration of credit risk. Cash and cash equivalents are placed with financial institutions tha</w:t>
      </w:r>
      <w:r>
        <w:rPr>
          <w:rFonts w:ascii="Arial" w:eastAsia="宋体" w:hAnsi="Arial" w:cs="Arial"/>
          <w:sz w:val="20"/>
          <w:szCs w:val="20"/>
        </w:rPr>
        <w:t>t management believes are of high credit quality. Our accounts receivable are derived from revenue earned from customers. In each of the years ended December 31, 2019, 2018 and 2017, no customer accounted for more than 10% of net revenues. Our derivative i</w:t>
      </w:r>
      <w:r>
        <w:rPr>
          <w:rFonts w:ascii="Arial" w:eastAsia="宋体" w:hAnsi="Arial" w:cs="Arial"/>
          <w:sz w:val="20"/>
          <w:szCs w:val="20"/>
        </w:rPr>
        <w:t>nstruments expose us to credit risk to the extent that our counterparties may be unable to meet the terms of the agreements.</w:t>
      </w:r>
    </w:p>
    <w:p w14:paraId="0BC99299" w14:textId="77777777" w:rsidR="009F0928" w:rsidRDefault="009F0928">
      <w:pPr>
        <w:spacing w:line="288" w:lineRule="auto"/>
        <w:jc w:val="both"/>
        <w:rPr>
          <w:rFonts w:ascii="Times New Roman" w:hAnsi="Times New Roman"/>
          <w:sz w:val="20"/>
          <w:szCs w:val="20"/>
        </w:rPr>
      </w:pPr>
    </w:p>
    <w:p w14:paraId="0BC9929A"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b/>
          <w:bCs/>
          <w:i/>
          <w:iCs/>
          <w:sz w:val="20"/>
          <w:szCs w:val="20"/>
        </w:rPr>
        <w:t>Recently Adopted Accounting Pronouncements</w:t>
      </w:r>
    </w:p>
    <w:p w14:paraId="0BC9929B" w14:textId="77777777" w:rsidR="009F0928" w:rsidRDefault="009F0928">
      <w:pPr>
        <w:spacing w:line="288" w:lineRule="auto"/>
        <w:ind w:firstLine="720"/>
        <w:jc w:val="both"/>
        <w:rPr>
          <w:rFonts w:ascii="Times New Roman" w:hAnsi="Times New Roman"/>
          <w:sz w:val="20"/>
          <w:szCs w:val="20"/>
        </w:rPr>
      </w:pPr>
    </w:p>
    <w:p w14:paraId="0BC9929C"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2016, the Financial Accounting Standards Board (“FASB”) issued new guidance related</w:t>
      </w:r>
      <w:r>
        <w:rPr>
          <w:rFonts w:ascii="Arial" w:eastAsia="宋体" w:hAnsi="Arial" w:cs="Arial"/>
          <w:sz w:val="20"/>
          <w:szCs w:val="20"/>
        </w:rPr>
        <w:t xml:space="preserve"> to accounting for leases. The new guidance requires the recognition of right-of-use (“ROU”) assets and lease liabilities by lessees for those leases classified as operating leases under previous guidance. We adopted this guidance in the first quarter of 2</w:t>
      </w:r>
      <w:r>
        <w:rPr>
          <w:rFonts w:ascii="Arial" w:eastAsia="宋体" w:hAnsi="Arial" w:cs="Arial"/>
          <w:sz w:val="20"/>
          <w:szCs w:val="20"/>
        </w:rPr>
        <w:t>019 using the modified retrospective approach, electing the package of practical expedients, and the practical expedient to not separate lease and nonlease components for data center operating leases. We also elected the optional transition method that per</w:t>
      </w:r>
      <w:r>
        <w:rPr>
          <w:rFonts w:ascii="Arial" w:eastAsia="宋体" w:hAnsi="Arial" w:cs="Arial"/>
          <w:sz w:val="20"/>
          <w:szCs w:val="20"/>
        </w:rPr>
        <w:t>mits adoption of the new standard prospectively, as of the effective date, without adjusting comparative periods presented. Adoption of the standard resulted in the recognition of $728 million of ROU assets and $744 million of lease liabilities on our cons</w:t>
      </w:r>
      <w:r>
        <w:rPr>
          <w:rFonts w:ascii="Arial" w:eastAsia="宋体" w:hAnsi="Arial" w:cs="Arial"/>
          <w:sz w:val="20"/>
          <w:szCs w:val="20"/>
        </w:rPr>
        <w:t>olidated balance sheet at adoption related to office space, data and fulfillment centers, and other corporate assets. The difference of $16 million represented deferred rent for leases that existed as of the date of adoption, which was an offset to the ope</w:t>
      </w:r>
      <w:r>
        <w:rPr>
          <w:rFonts w:ascii="Arial" w:eastAsia="宋体" w:hAnsi="Arial" w:cs="Arial"/>
          <w:sz w:val="20"/>
          <w:szCs w:val="20"/>
        </w:rPr>
        <w:t>ning balance of right-of-use assets. The adoption of the standard on January 1, 2019 did not have a material impact on our consolidated statements of income, stockholders’ equity and cash flows.</w:t>
      </w:r>
    </w:p>
    <w:p w14:paraId="0BC9929D" w14:textId="77777777" w:rsidR="009F0928" w:rsidRDefault="009F0928">
      <w:pPr>
        <w:spacing w:line="288" w:lineRule="auto"/>
        <w:ind w:firstLine="720"/>
        <w:jc w:val="both"/>
        <w:rPr>
          <w:rFonts w:ascii="Times New Roman" w:hAnsi="Times New Roman"/>
          <w:sz w:val="20"/>
          <w:szCs w:val="20"/>
        </w:rPr>
      </w:pPr>
    </w:p>
    <w:p w14:paraId="0BC9929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In 2017, the FASB issued new guidance that will shorten the </w:t>
      </w:r>
      <w:r>
        <w:rPr>
          <w:rFonts w:ascii="Arial" w:eastAsia="宋体" w:hAnsi="Arial" w:cs="Arial"/>
          <w:sz w:val="20"/>
          <w:szCs w:val="20"/>
        </w:rPr>
        <w:t>amortization period for certain callable debt securities held at a premium to the earliest call date to more closely align with expectations incorporated in market pricing. The new guidance will not impact debt securities held at a discount. Adoption of th</w:t>
      </w:r>
      <w:r>
        <w:rPr>
          <w:rFonts w:ascii="Arial" w:eastAsia="宋体" w:hAnsi="Arial" w:cs="Arial"/>
          <w:sz w:val="20"/>
          <w:szCs w:val="20"/>
        </w:rPr>
        <w:t xml:space="preserve">is standard was made on a modified retrospective basis through a cumulative-effect adjustment directly to retained earnings as of the beginning of the period of adoption. This standard is effective for annual reporting periods beginning after December 15, </w:t>
      </w:r>
      <w:r>
        <w:rPr>
          <w:rFonts w:ascii="Arial" w:eastAsia="宋体" w:hAnsi="Arial" w:cs="Arial"/>
          <w:sz w:val="20"/>
          <w:szCs w:val="20"/>
        </w:rPr>
        <w:t>2018, including interim reporting periods within those annual reporting periods. The adoption of the standard in the first quarter of 2019 did not have a material impact on our consolidated financial statements at adoption.</w:t>
      </w:r>
    </w:p>
    <w:p w14:paraId="0BC9929F" w14:textId="77777777" w:rsidR="009F0928" w:rsidRDefault="009F0928">
      <w:pPr>
        <w:spacing w:line="288" w:lineRule="auto"/>
        <w:ind w:firstLine="720"/>
        <w:jc w:val="both"/>
        <w:rPr>
          <w:rFonts w:ascii="Times New Roman" w:hAnsi="Times New Roman"/>
          <w:sz w:val="20"/>
          <w:szCs w:val="20"/>
        </w:rPr>
      </w:pPr>
    </w:p>
    <w:p w14:paraId="0BC992A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2018, the FASB issued new gu</w:t>
      </w:r>
      <w:r>
        <w:rPr>
          <w:rFonts w:ascii="Arial" w:eastAsia="宋体" w:hAnsi="Arial" w:cs="Arial"/>
          <w:sz w:val="20"/>
          <w:szCs w:val="20"/>
        </w:rPr>
        <w:t xml:space="preserve">idance to simplify the accounting for nonemployee share-based payment transactions by expanding the scope of ASC Topic 718, </w:t>
      </w:r>
      <w:r>
        <w:rPr>
          <w:rFonts w:ascii="Arial" w:eastAsia="宋体" w:hAnsi="Arial" w:cs="Arial"/>
          <w:i/>
          <w:iCs/>
          <w:sz w:val="20"/>
          <w:szCs w:val="20"/>
        </w:rPr>
        <w:t>Compensation - Stock Compensation</w:t>
      </w:r>
      <w:r>
        <w:rPr>
          <w:rFonts w:ascii="Arial" w:eastAsia="宋体" w:hAnsi="Arial" w:cs="Arial"/>
          <w:sz w:val="20"/>
          <w:szCs w:val="20"/>
        </w:rPr>
        <w:t>, to include share-based payment transactions for acquiring goods and services from nonemployees. U</w:t>
      </w:r>
      <w:r>
        <w:rPr>
          <w:rFonts w:ascii="Arial" w:eastAsia="宋体" w:hAnsi="Arial" w:cs="Arial"/>
          <w:sz w:val="20"/>
          <w:szCs w:val="20"/>
        </w:rPr>
        <w:t>nder the new standard, most of the guidance on stock compensation payments to nonemployees would be aligned with the requirements for share-based payments granted to employees. This standard is effective for annual reporting periods beginning after Decembe</w:t>
      </w:r>
      <w:r>
        <w:rPr>
          <w:rFonts w:ascii="Arial" w:eastAsia="宋体" w:hAnsi="Arial" w:cs="Arial"/>
          <w:sz w:val="20"/>
          <w:szCs w:val="20"/>
        </w:rPr>
        <w:t>r 15, 2018, including interim reporting periods within those annual reporting periods. The adoption of the standard in the first quarter of 2019 did not have an impact on our consolidated financial statements.</w:t>
      </w:r>
    </w:p>
    <w:p w14:paraId="0BC992A1" w14:textId="77777777" w:rsidR="009F0928" w:rsidRDefault="009F0928">
      <w:pPr>
        <w:spacing w:line="288" w:lineRule="auto"/>
        <w:ind w:firstLine="720"/>
        <w:jc w:val="both"/>
        <w:rPr>
          <w:rFonts w:ascii="Times New Roman" w:hAnsi="Times New Roman"/>
          <w:sz w:val="20"/>
          <w:szCs w:val="20"/>
        </w:rPr>
      </w:pPr>
    </w:p>
    <w:p w14:paraId="0BC992A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2018, the FASB issued guidance to permit u</w:t>
      </w:r>
      <w:r>
        <w:rPr>
          <w:rFonts w:ascii="Arial" w:eastAsia="宋体" w:hAnsi="Arial" w:cs="Arial"/>
          <w:sz w:val="20"/>
          <w:szCs w:val="20"/>
        </w:rPr>
        <w:t>se of the Overnight Index Swap (“OIS”) rate as a U.S. benchmark interest rate for hedge accounting purposes in addition to the UST, the London InterBank Offered Rate (“LIBOR”) swap rate, the OIS rate based on the Fed Funds Effective Rate, and the Securitie</w:t>
      </w:r>
      <w:r>
        <w:rPr>
          <w:rFonts w:ascii="Arial" w:eastAsia="宋体" w:hAnsi="Arial" w:cs="Arial"/>
          <w:sz w:val="20"/>
          <w:szCs w:val="20"/>
        </w:rPr>
        <w:t>s Industry and Financial Market Association Municipal Swap Rate. This guidance is effective for annual reporting periods beginning after December 15, 2018, including interim reporting periods within those annual reporting periods. The adoption of the stand</w:t>
      </w:r>
      <w:r>
        <w:rPr>
          <w:rFonts w:ascii="Arial" w:eastAsia="宋体" w:hAnsi="Arial" w:cs="Arial"/>
          <w:sz w:val="20"/>
          <w:szCs w:val="20"/>
        </w:rPr>
        <w:t>ard in the first quarter of 2019 did not have a material impact on our consolidated financial statements at adoption.</w:t>
      </w:r>
    </w:p>
    <w:p w14:paraId="0BC992A3" w14:textId="77777777" w:rsidR="009F0928" w:rsidRDefault="009F0928">
      <w:pPr>
        <w:spacing w:line="288" w:lineRule="auto"/>
        <w:ind w:firstLine="720"/>
        <w:jc w:val="both"/>
        <w:rPr>
          <w:rFonts w:ascii="Times New Roman" w:hAnsi="Times New Roman"/>
          <w:sz w:val="20"/>
          <w:szCs w:val="20"/>
        </w:rPr>
      </w:pPr>
    </w:p>
    <w:p w14:paraId="0BC992A4"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b/>
          <w:bCs/>
          <w:i/>
          <w:iCs/>
          <w:sz w:val="20"/>
          <w:szCs w:val="20"/>
        </w:rPr>
        <w:t>Recent Accounting Pronouncements Not Yet Adopted</w:t>
      </w:r>
    </w:p>
    <w:p w14:paraId="0BC992A5" w14:textId="77777777" w:rsidR="009F0928" w:rsidRDefault="009F0928">
      <w:pPr>
        <w:spacing w:line="288" w:lineRule="auto"/>
        <w:ind w:firstLine="720"/>
        <w:jc w:val="both"/>
        <w:rPr>
          <w:rFonts w:ascii="Times New Roman" w:hAnsi="Times New Roman"/>
          <w:sz w:val="20"/>
          <w:szCs w:val="20"/>
        </w:rPr>
      </w:pPr>
    </w:p>
    <w:p w14:paraId="0BC992A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2016, the FASB issued new guidance that requires credit losses on financial assets measured at amortized cost basis to be presented at the net amount expected to be collected, not based on incurred losses. Further, credit losses on available-for-sale de</w:t>
      </w:r>
      <w:r>
        <w:rPr>
          <w:rFonts w:ascii="Arial" w:eastAsia="宋体" w:hAnsi="Arial" w:cs="Arial"/>
          <w:sz w:val="20"/>
          <w:szCs w:val="20"/>
        </w:rPr>
        <w:t>bt securities should be recorded through an allowance for credit losses limited to the amount by which fair value is below amortized cost. The new standard is effective for fiscal years, and interim periods within those fiscal years, beginning after Decemb</w:t>
      </w:r>
      <w:r>
        <w:rPr>
          <w:rFonts w:ascii="Arial" w:eastAsia="宋体" w:hAnsi="Arial" w:cs="Arial"/>
          <w:sz w:val="20"/>
          <w:szCs w:val="20"/>
        </w:rPr>
        <w:t>er 15, 2019. This standard impacts the Company’s accounting for allowances for doubtful accounts, available-for-sale securities and other assets subject to credit risk. In preparation for the adoption of this standard, we will update our credit loss models</w:t>
      </w:r>
      <w:r>
        <w:rPr>
          <w:rFonts w:ascii="Arial" w:eastAsia="宋体" w:hAnsi="Arial" w:cs="Arial"/>
          <w:sz w:val="20"/>
          <w:szCs w:val="20"/>
        </w:rPr>
        <w:t xml:space="preserve"> as needed. The Company has completed its analysis of the impact of this guidance and the adoption of this standard will not have a material impact on our consolidated financial statements. </w:t>
      </w:r>
    </w:p>
    <w:p w14:paraId="0BC992A7" w14:textId="77777777" w:rsidR="009F0928" w:rsidRDefault="009F0928">
      <w:pPr>
        <w:rPr>
          <w:rFonts w:ascii="Times New Roman" w:hAnsi="Times New Roman"/>
          <w:sz w:val="20"/>
          <w:szCs w:val="20"/>
        </w:rPr>
      </w:pPr>
    </w:p>
    <w:p w14:paraId="0BC992A8"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F-15</w:t>
      </w:r>
    </w:p>
    <w:p w14:paraId="0BC992A9" w14:textId="77777777" w:rsidR="009F0928" w:rsidRDefault="002112BD">
      <w:r>
        <w:rPr>
          <w:rFonts w:ascii="Times New Roman" w:hAnsi="Times New Roman"/>
          <w:sz w:val="18"/>
          <w:szCs w:val="18"/>
        </w:rPr>
        <w:pict w14:anchorId="0BC9B509">
          <v:rect id="_x0000_i1101" style="width:415.3pt;height:1.5pt" o:hralign="center" o:hrstd="t" o:hr="t" fillcolor="#a0a0a0" stroked="f"/>
        </w:pict>
      </w:r>
    </w:p>
    <w:p w14:paraId="0BC992AA"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2AB"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w:t>
      </w:r>
      <w:r>
        <w:rPr>
          <w:rFonts w:ascii="Arial" w:eastAsia="宋体" w:hAnsi="Arial" w:cs="Arial"/>
          <w:b/>
          <w:bCs/>
          <w:sz w:val="20"/>
          <w:szCs w:val="20"/>
        </w:rPr>
        <w:t>tinued)</w:t>
      </w:r>
    </w:p>
    <w:p w14:paraId="0BC992AC" w14:textId="77777777" w:rsidR="009F0928" w:rsidRDefault="009F0928">
      <w:pPr>
        <w:spacing w:line="288" w:lineRule="auto"/>
        <w:jc w:val="center"/>
        <w:rPr>
          <w:rFonts w:ascii="Times New Roman" w:hAnsi="Times New Roman"/>
          <w:sz w:val="20"/>
          <w:szCs w:val="20"/>
        </w:rPr>
      </w:pPr>
    </w:p>
    <w:p w14:paraId="0BC992AD" w14:textId="77777777" w:rsidR="009F0928" w:rsidRDefault="009F0928">
      <w:pPr>
        <w:rPr>
          <w:rFonts w:ascii="Times New Roman" w:hAnsi="Times New Roman"/>
          <w:sz w:val="20"/>
          <w:szCs w:val="20"/>
        </w:rPr>
      </w:pPr>
    </w:p>
    <w:p w14:paraId="0BC992AE" w14:textId="77777777" w:rsidR="009F0928" w:rsidRDefault="009F0928">
      <w:pPr>
        <w:spacing w:line="288" w:lineRule="auto"/>
        <w:ind w:firstLine="720"/>
        <w:jc w:val="both"/>
        <w:rPr>
          <w:rFonts w:ascii="Times New Roman" w:hAnsi="Times New Roman"/>
          <w:sz w:val="20"/>
          <w:szCs w:val="20"/>
        </w:rPr>
      </w:pPr>
    </w:p>
    <w:p w14:paraId="0BC992A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In 2017, the FASB issued new guidance to simplify the subsequent measurement of goodwill by removing the requirement to perform a hypothetical purchase price allocation to compute the implied fair value of goodwill to measure </w:t>
      </w:r>
      <w:r>
        <w:rPr>
          <w:rFonts w:ascii="Arial" w:eastAsia="宋体" w:hAnsi="Arial" w:cs="Arial"/>
          <w:sz w:val="20"/>
          <w:szCs w:val="20"/>
        </w:rPr>
        <w:t>impairment. Instead, any goodwill impairment will equal the amount by which a reporting unit’s carrying value exceeds its fair value, not to exceed the carrying amount of goodwill. Further, the guidance eliminates the requirements for any reporting unit wi</w:t>
      </w:r>
      <w:r>
        <w:rPr>
          <w:rFonts w:ascii="Arial" w:eastAsia="宋体" w:hAnsi="Arial" w:cs="Arial"/>
          <w:sz w:val="20"/>
          <w:szCs w:val="20"/>
        </w:rPr>
        <w:t>th a zero or negative carrying amount to perform a qualitative assessment and, if it fails that qualitative test, to perform Step 2 of the goodwill impairment test. This standard is effective for annual or any interim goodwill impairment test in fiscal yea</w:t>
      </w:r>
      <w:r>
        <w:rPr>
          <w:rFonts w:ascii="Arial" w:eastAsia="宋体" w:hAnsi="Arial" w:cs="Arial"/>
          <w:sz w:val="20"/>
          <w:szCs w:val="20"/>
        </w:rPr>
        <w:t>rs beginning after December 15, 2019. We do not expect the adoption of this standard to have a material impact on our consolidated financial statements.</w:t>
      </w:r>
    </w:p>
    <w:p w14:paraId="0BC992B0" w14:textId="77777777" w:rsidR="009F0928" w:rsidRDefault="009F0928">
      <w:pPr>
        <w:spacing w:line="288" w:lineRule="auto"/>
        <w:ind w:firstLine="720"/>
        <w:jc w:val="both"/>
        <w:rPr>
          <w:rFonts w:ascii="Times New Roman" w:hAnsi="Times New Roman"/>
          <w:sz w:val="20"/>
          <w:szCs w:val="20"/>
        </w:rPr>
      </w:pPr>
    </w:p>
    <w:p w14:paraId="0BC992B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2018, the FASB issued new guidance on a customer's accounting for implementation, set-up, and other</w:t>
      </w:r>
      <w:r>
        <w:rPr>
          <w:rFonts w:ascii="Arial" w:eastAsia="宋体" w:hAnsi="Arial" w:cs="Arial"/>
          <w:sz w:val="20"/>
          <w:szCs w:val="20"/>
        </w:rPr>
        <w:t xml:space="preserve"> upfront costs incurred in a cloud computing arrangement that is hosted by the vendor (i.e., a service contract). Under the new guidance, customers will apply the same criteria for capitalizing implementation costs as they would for an arrangement that has</w:t>
      </w:r>
      <w:r>
        <w:rPr>
          <w:rFonts w:ascii="Arial" w:eastAsia="宋体" w:hAnsi="Arial" w:cs="Arial"/>
          <w:sz w:val="20"/>
          <w:szCs w:val="20"/>
        </w:rPr>
        <w:t xml:space="preserve"> a software license. This standard is effective for annual reporting periods beginning after December 15, 2019, including interim reporting periods within those fiscal years. The adoption of this standard will not have a material impact on our consolidated</w:t>
      </w:r>
      <w:r>
        <w:rPr>
          <w:rFonts w:ascii="Arial" w:eastAsia="宋体" w:hAnsi="Arial" w:cs="Arial"/>
          <w:sz w:val="20"/>
          <w:szCs w:val="20"/>
        </w:rPr>
        <w:t xml:space="preserve"> financial statements.</w:t>
      </w:r>
    </w:p>
    <w:p w14:paraId="0BC992B2" w14:textId="77777777" w:rsidR="009F0928" w:rsidRDefault="009F0928">
      <w:pPr>
        <w:spacing w:line="288" w:lineRule="auto"/>
        <w:ind w:firstLine="720"/>
        <w:jc w:val="both"/>
        <w:rPr>
          <w:rFonts w:ascii="Times New Roman" w:hAnsi="Times New Roman"/>
          <w:sz w:val="20"/>
          <w:szCs w:val="20"/>
        </w:rPr>
      </w:pPr>
    </w:p>
    <w:p w14:paraId="0BC992B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2018, the FASB issued new guidance to clarify the interaction between Collaborative Arrangements and Revenue from Contracts with Customers standards. The guidance (1) clarifies that certain transactions between collaborative arra</w:t>
      </w:r>
      <w:r>
        <w:rPr>
          <w:rFonts w:ascii="Arial" w:eastAsia="宋体" w:hAnsi="Arial" w:cs="Arial"/>
          <w:sz w:val="20"/>
          <w:szCs w:val="20"/>
        </w:rPr>
        <w:t>ngement participants should be accounted under revenue guidance; (2) adds unit of account guidance to the collaborative arrangement guidance to align with the revenue standard; and (3) clarifies presentation guidance for transactions with a collaborative a</w:t>
      </w:r>
      <w:r>
        <w:rPr>
          <w:rFonts w:ascii="Arial" w:eastAsia="宋体" w:hAnsi="Arial" w:cs="Arial"/>
          <w:sz w:val="20"/>
          <w:szCs w:val="20"/>
        </w:rPr>
        <w:t>rrangement participant that is not accounted for under the revenue standard. The guidance is effective for annual reporting periods beginning after December 15, 2019, including interim reporting periods within those annual reporting periods. We do not expe</w:t>
      </w:r>
      <w:r>
        <w:rPr>
          <w:rFonts w:ascii="Arial" w:eastAsia="宋体" w:hAnsi="Arial" w:cs="Arial"/>
          <w:sz w:val="20"/>
          <w:szCs w:val="20"/>
        </w:rPr>
        <w:t>ct the adoption of this standard to have a material impact on our consolidated financial statements.</w:t>
      </w:r>
    </w:p>
    <w:p w14:paraId="0BC992B4" w14:textId="77777777" w:rsidR="009F0928" w:rsidRDefault="009F0928">
      <w:pPr>
        <w:spacing w:line="288" w:lineRule="auto"/>
        <w:ind w:firstLine="720"/>
        <w:jc w:val="both"/>
        <w:rPr>
          <w:rFonts w:ascii="Times New Roman" w:hAnsi="Times New Roman"/>
          <w:sz w:val="20"/>
          <w:szCs w:val="20"/>
        </w:rPr>
      </w:pPr>
    </w:p>
    <w:p w14:paraId="0BC992B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2019, the FASB issued new guidance to simplify the accounting for income taxes by removing certain exceptions to the general principles and also simpli</w:t>
      </w:r>
      <w:r>
        <w:rPr>
          <w:rFonts w:ascii="Arial" w:eastAsia="宋体" w:hAnsi="Arial" w:cs="Arial"/>
          <w:sz w:val="20"/>
          <w:szCs w:val="20"/>
        </w:rPr>
        <w:t>fication of areas such as franchise taxes, step-up in tax basis goodwill, separate entity financial statements and interim recognition of enactment of tax laws or rate changes. The standard will be effective for our annual reporting periods beginning after</w:t>
      </w:r>
      <w:r>
        <w:rPr>
          <w:rFonts w:ascii="Arial" w:eastAsia="宋体" w:hAnsi="Arial" w:cs="Arial"/>
          <w:sz w:val="20"/>
          <w:szCs w:val="20"/>
        </w:rPr>
        <w:t xml:space="preserve"> December 15, 2020, including interim reporting periods within those fiscal years. We are evaluating the impact of adopting this new accounting guidance on our consolidated financial statements.</w:t>
      </w:r>
    </w:p>
    <w:p w14:paraId="0BC992B6" w14:textId="77777777" w:rsidR="009F0928" w:rsidRDefault="009F0928">
      <w:pPr>
        <w:spacing w:line="288" w:lineRule="auto"/>
        <w:ind w:firstLine="720"/>
        <w:jc w:val="both"/>
        <w:rPr>
          <w:rFonts w:ascii="Times New Roman" w:hAnsi="Times New Roman"/>
          <w:sz w:val="20"/>
          <w:szCs w:val="20"/>
        </w:rPr>
      </w:pPr>
    </w:p>
    <w:p w14:paraId="0BC992B7" w14:textId="77777777" w:rsidR="009F0928" w:rsidRDefault="009F0928">
      <w:pPr>
        <w:rPr>
          <w:rFonts w:ascii="Times New Roman" w:hAnsi="Times New Roman"/>
          <w:sz w:val="20"/>
          <w:szCs w:val="20"/>
        </w:rPr>
      </w:pPr>
    </w:p>
    <w:p w14:paraId="0BC992B8"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F-16</w:t>
      </w:r>
    </w:p>
    <w:p w14:paraId="0BC992B9" w14:textId="77777777" w:rsidR="009F0928" w:rsidRDefault="002112BD">
      <w:r>
        <w:rPr>
          <w:rFonts w:ascii="Times New Roman" w:hAnsi="Times New Roman"/>
          <w:sz w:val="18"/>
          <w:szCs w:val="18"/>
        </w:rPr>
        <w:pict w14:anchorId="0BC9B50A">
          <v:rect id="_x0000_i1102" style="width:415.3pt;height:1.5pt" o:hralign="center" o:hrstd="t" o:hr="t" fillcolor="#a0a0a0" stroked="f"/>
        </w:pict>
      </w:r>
    </w:p>
    <w:p w14:paraId="0BC992BA"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2BB"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w:t>
      </w:r>
      <w:r>
        <w:rPr>
          <w:rFonts w:ascii="Arial" w:eastAsia="宋体" w:hAnsi="Arial" w:cs="Arial"/>
          <w:b/>
          <w:bCs/>
          <w:sz w:val="20"/>
          <w:szCs w:val="20"/>
        </w:rPr>
        <w:t>—(Continued)</w:t>
      </w:r>
    </w:p>
    <w:p w14:paraId="0BC992BC" w14:textId="77777777" w:rsidR="009F0928" w:rsidRDefault="009F0928">
      <w:pPr>
        <w:spacing w:line="288" w:lineRule="auto"/>
        <w:jc w:val="center"/>
        <w:rPr>
          <w:rFonts w:ascii="Times New Roman" w:hAnsi="Times New Roman"/>
          <w:sz w:val="20"/>
          <w:szCs w:val="20"/>
        </w:rPr>
      </w:pPr>
    </w:p>
    <w:p w14:paraId="0BC992BD" w14:textId="77777777" w:rsidR="009F0928" w:rsidRDefault="009F0928">
      <w:pPr>
        <w:rPr>
          <w:rFonts w:ascii="Times New Roman" w:hAnsi="Times New Roman"/>
          <w:sz w:val="20"/>
          <w:szCs w:val="20"/>
        </w:rPr>
      </w:pPr>
    </w:p>
    <w:p w14:paraId="0BC992BE"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Note 2 – Net Income (loss) Per Share</w:t>
      </w:r>
    </w:p>
    <w:p w14:paraId="0BC992BF" w14:textId="77777777" w:rsidR="009F0928" w:rsidRDefault="009F0928">
      <w:pPr>
        <w:spacing w:line="288" w:lineRule="auto"/>
        <w:jc w:val="both"/>
        <w:rPr>
          <w:rFonts w:ascii="Times New Roman" w:hAnsi="Times New Roman"/>
          <w:sz w:val="20"/>
          <w:szCs w:val="20"/>
        </w:rPr>
      </w:pPr>
    </w:p>
    <w:p w14:paraId="0BC992C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Basic net income (loss) per share is computed by dividing net income (loss) for the period by the weighted average number of common shares outstanding during the period. Diluted net income (loss) per share is computed by dividing net income (loss) for the </w:t>
      </w:r>
      <w:r>
        <w:rPr>
          <w:rFonts w:ascii="Arial" w:eastAsia="宋体" w:hAnsi="Arial" w:cs="Arial"/>
          <w:sz w:val="20"/>
          <w:szCs w:val="20"/>
        </w:rPr>
        <w:t xml:space="preserve">period by the weighted average number of shares of common stock and potentially dilutive common stock outstanding during the period. The dilutive effect of outstanding options and equity incentive awards is reflected in diluted net income (loss) per share </w:t>
      </w:r>
      <w:r>
        <w:rPr>
          <w:rFonts w:ascii="Arial" w:eastAsia="宋体" w:hAnsi="Arial" w:cs="Arial"/>
          <w:sz w:val="20"/>
          <w:szCs w:val="20"/>
        </w:rPr>
        <w:t xml:space="preserve">by application of the treasury stock method. The calculation of diluted net income (loss) per share excludes all anti-dilutive common shares. </w:t>
      </w:r>
    </w:p>
    <w:p w14:paraId="0BC992C1" w14:textId="77777777" w:rsidR="009F0928" w:rsidRDefault="009F0928">
      <w:pPr>
        <w:spacing w:line="288" w:lineRule="auto"/>
        <w:ind w:firstLine="720"/>
        <w:jc w:val="both"/>
        <w:rPr>
          <w:rFonts w:ascii="Times New Roman" w:hAnsi="Times New Roman"/>
          <w:sz w:val="20"/>
          <w:szCs w:val="20"/>
        </w:rPr>
      </w:pPr>
    </w:p>
    <w:p w14:paraId="0BC992C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table presents the computation of basic and diluted net income (loss) per share (in millions, exce</w:t>
      </w:r>
      <w:r>
        <w:rPr>
          <w:rFonts w:ascii="Arial" w:eastAsia="宋体" w:hAnsi="Arial" w:cs="Arial"/>
          <w:sz w:val="20"/>
          <w:szCs w:val="20"/>
        </w:rPr>
        <w:t>pt per share amounts):</w:t>
      </w:r>
    </w:p>
    <w:tbl>
      <w:tblPr>
        <w:tblW w:w="5000" w:type="pct"/>
        <w:tblCellMar>
          <w:left w:w="0" w:type="dxa"/>
          <w:right w:w="0" w:type="dxa"/>
        </w:tblCellMar>
        <w:tblLook w:val="04A0" w:firstRow="1" w:lastRow="0" w:firstColumn="1" w:lastColumn="0" w:noHBand="0" w:noVBand="1"/>
      </w:tblPr>
      <w:tblGrid>
        <w:gridCol w:w="4840"/>
        <w:gridCol w:w="141"/>
        <w:gridCol w:w="853"/>
        <w:gridCol w:w="100"/>
        <w:gridCol w:w="130"/>
        <w:gridCol w:w="141"/>
        <w:gridCol w:w="853"/>
        <w:gridCol w:w="23"/>
        <w:gridCol w:w="130"/>
        <w:gridCol w:w="141"/>
        <w:gridCol w:w="854"/>
        <w:gridCol w:w="100"/>
      </w:tblGrid>
      <w:tr w:rsidR="009F0928" w14:paraId="0BC992C4" w14:textId="77777777">
        <w:tc>
          <w:tcPr>
            <w:tcW w:w="0" w:type="auto"/>
            <w:gridSpan w:val="12"/>
            <w:shd w:val="clear" w:color="auto" w:fill="auto"/>
            <w:vAlign w:val="center"/>
          </w:tcPr>
          <w:p w14:paraId="0BC992C3" w14:textId="77777777" w:rsidR="009F0928" w:rsidRDefault="009F0928">
            <w:pPr>
              <w:rPr>
                <w:rFonts w:ascii="Times New Roman" w:hAnsi="Times New Roman"/>
                <w:sz w:val="20"/>
                <w:szCs w:val="20"/>
              </w:rPr>
            </w:pPr>
          </w:p>
        </w:tc>
      </w:tr>
      <w:tr w:rsidR="009F0928" w14:paraId="0BC992D1" w14:textId="77777777">
        <w:tc>
          <w:tcPr>
            <w:tcW w:w="2950" w:type="pct"/>
            <w:shd w:val="clear" w:color="auto" w:fill="auto"/>
            <w:vAlign w:val="center"/>
          </w:tcPr>
          <w:p w14:paraId="0BC992C5" w14:textId="77777777" w:rsidR="009F0928" w:rsidRDefault="009F0928">
            <w:pPr>
              <w:rPr>
                <w:rFonts w:ascii="Times New Roman" w:hAnsi="Times New Roman"/>
                <w:sz w:val="20"/>
                <w:szCs w:val="20"/>
              </w:rPr>
            </w:pPr>
          </w:p>
        </w:tc>
        <w:tc>
          <w:tcPr>
            <w:tcW w:w="50" w:type="pct"/>
            <w:shd w:val="clear" w:color="auto" w:fill="auto"/>
            <w:vAlign w:val="center"/>
          </w:tcPr>
          <w:p w14:paraId="0BC992C6" w14:textId="77777777" w:rsidR="009F0928" w:rsidRDefault="009F0928">
            <w:pPr>
              <w:rPr>
                <w:rFonts w:ascii="Times New Roman" w:hAnsi="Times New Roman"/>
                <w:sz w:val="20"/>
                <w:szCs w:val="20"/>
              </w:rPr>
            </w:pPr>
          </w:p>
        </w:tc>
        <w:tc>
          <w:tcPr>
            <w:tcW w:w="550" w:type="pct"/>
            <w:shd w:val="clear" w:color="auto" w:fill="auto"/>
            <w:vAlign w:val="center"/>
          </w:tcPr>
          <w:p w14:paraId="0BC992C7" w14:textId="77777777" w:rsidR="009F0928" w:rsidRDefault="009F0928">
            <w:pPr>
              <w:rPr>
                <w:rFonts w:ascii="Times New Roman" w:hAnsi="Times New Roman"/>
                <w:sz w:val="20"/>
                <w:szCs w:val="20"/>
              </w:rPr>
            </w:pPr>
          </w:p>
        </w:tc>
        <w:tc>
          <w:tcPr>
            <w:tcW w:w="50" w:type="pct"/>
            <w:shd w:val="clear" w:color="auto" w:fill="auto"/>
            <w:vAlign w:val="center"/>
          </w:tcPr>
          <w:p w14:paraId="0BC992C8" w14:textId="77777777" w:rsidR="009F0928" w:rsidRDefault="009F0928">
            <w:pPr>
              <w:rPr>
                <w:rFonts w:ascii="Times New Roman" w:hAnsi="Times New Roman"/>
                <w:sz w:val="20"/>
                <w:szCs w:val="20"/>
              </w:rPr>
            </w:pPr>
          </w:p>
        </w:tc>
        <w:tc>
          <w:tcPr>
            <w:tcW w:w="50" w:type="pct"/>
            <w:shd w:val="clear" w:color="auto" w:fill="auto"/>
            <w:vAlign w:val="center"/>
          </w:tcPr>
          <w:p w14:paraId="0BC992C9" w14:textId="77777777" w:rsidR="009F0928" w:rsidRDefault="009F0928">
            <w:pPr>
              <w:rPr>
                <w:rFonts w:ascii="Times New Roman" w:hAnsi="Times New Roman"/>
                <w:sz w:val="20"/>
                <w:szCs w:val="20"/>
              </w:rPr>
            </w:pPr>
          </w:p>
        </w:tc>
        <w:tc>
          <w:tcPr>
            <w:tcW w:w="50" w:type="pct"/>
            <w:shd w:val="clear" w:color="auto" w:fill="auto"/>
            <w:vAlign w:val="center"/>
          </w:tcPr>
          <w:p w14:paraId="0BC992CA" w14:textId="77777777" w:rsidR="009F0928" w:rsidRDefault="009F0928">
            <w:pPr>
              <w:rPr>
                <w:rFonts w:ascii="Times New Roman" w:hAnsi="Times New Roman"/>
                <w:sz w:val="20"/>
                <w:szCs w:val="20"/>
              </w:rPr>
            </w:pPr>
          </w:p>
        </w:tc>
        <w:tc>
          <w:tcPr>
            <w:tcW w:w="550" w:type="pct"/>
            <w:shd w:val="clear" w:color="auto" w:fill="auto"/>
            <w:vAlign w:val="center"/>
          </w:tcPr>
          <w:p w14:paraId="0BC992CB" w14:textId="77777777" w:rsidR="009F0928" w:rsidRDefault="009F0928">
            <w:pPr>
              <w:rPr>
                <w:rFonts w:ascii="Times New Roman" w:hAnsi="Times New Roman"/>
                <w:sz w:val="20"/>
                <w:szCs w:val="20"/>
              </w:rPr>
            </w:pPr>
          </w:p>
        </w:tc>
        <w:tc>
          <w:tcPr>
            <w:tcW w:w="50" w:type="pct"/>
            <w:shd w:val="clear" w:color="auto" w:fill="auto"/>
            <w:vAlign w:val="center"/>
          </w:tcPr>
          <w:p w14:paraId="0BC992CC" w14:textId="77777777" w:rsidR="009F0928" w:rsidRDefault="009F0928">
            <w:pPr>
              <w:rPr>
                <w:rFonts w:ascii="Times New Roman" w:hAnsi="Times New Roman"/>
                <w:sz w:val="20"/>
                <w:szCs w:val="20"/>
              </w:rPr>
            </w:pPr>
          </w:p>
        </w:tc>
        <w:tc>
          <w:tcPr>
            <w:tcW w:w="50" w:type="pct"/>
            <w:shd w:val="clear" w:color="auto" w:fill="auto"/>
            <w:vAlign w:val="center"/>
          </w:tcPr>
          <w:p w14:paraId="0BC992CD" w14:textId="77777777" w:rsidR="009F0928" w:rsidRDefault="009F0928">
            <w:pPr>
              <w:rPr>
                <w:rFonts w:ascii="Times New Roman" w:hAnsi="Times New Roman"/>
                <w:sz w:val="20"/>
                <w:szCs w:val="20"/>
              </w:rPr>
            </w:pPr>
          </w:p>
        </w:tc>
        <w:tc>
          <w:tcPr>
            <w:tcW w:w="50" w:type="pct"/>
            <w:shd w:val="clear" w:color="auto" w:fill="auto"/>
            <w:vAlign w:val="center"/>
          </w:tcPr>
          <w:p w14:paraId="0BC992CE" w14:textId="77777777" w:rsidR="009F0928" w:rsidRDefault="009F0928">
            <w:pPr>
              <w:rPr>
                <w:rFonts w:ascii="Times New Roman" w:hAnsi="Times New Roman"/>
                <w:sz w:val="20"/>
                <w:szCs w:val="20"/>
              </w:rPr>
            </w:pPr>
          </w:p>
        </w:tc>
        <w:tc>
          <w:tcPr>
            <w:tcW w:w="550" w:type="pct"/>
            <w:shd w:val="clear" w:color="auto" w:fill="auto"/>
            <w:vAlign w:val="center"/>
          </w:tcPr>
          <w:p w14:paraId="0BC992CF" w14:textId="77777777" w:rsidR="009F0928" w:rsidRDefault="009F0928">
            <w:pPr>
              <w:rPr>
                <w:rFonts w:ascii="Times New Roman" w:hAnsi="Times New Roman"/>
                <w:sz w:val="20"/>
                <w:szCs w:val="20"/>
              </w:rPr>
            </w:pPr>
          </w:p>
        </w:tc>
        <w:tc>
          <w:tcPr>
            <w:tcW w:w="50" w:type="pct"/>
            <w:shd w:val="clear" w:color="auto" w:fill="auto"/>
            <w:vAlign w:val="center"/>
          </w:tcPr>
          <w:p w14:paraId="0BC992D0" w14:textId="77777777" w:rsidR="009F0928" w:rsidRDefault="009F0928">
            <w:pPr>
              <w:rPr>
                <w:rFonts w:ascii="Times New Roman" w:hAnsi="Times New Roman"/>
                <w:sz w:val="20"/>
                <w:szCs w:val="20"/>
              </w:rPr>
            </w:pPr>
          </w:p>
        </w:tc>
      </w:tr>
      <w:tr w:rsidR="009F0928" w14:paraId="0BC992D4" w14:textId="77777777">
        <w:tc>
          <w:tcPr>
            <w:tcW w:w="0" w:type="auto"/>
            <w:shd w:val="clear" w:color="auto" w:fill="auto"/>
            <w:tcMar>
              <w:top w:w="40" w:type="dxa"/>
              <w:left w:w="40" w:type="dxa"/>
              <w:bottom w:w="40" w:type="dxa"/>
              <w:right w:w="40" w:type="dxa"/>
            </w:tcMar>
            <w:vAlign w:val="bottom"/>
          </w:tcPr>
          <w:p w14:paraId="0BC992D2"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92D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w:t>
            </w:r>
          </w:p>
        </w:tc>
      </w:tr>
      <w:tr w:rsidR="009F0928" w14:paraId="0BC992DB" w14:textId="77777777">
        <w:tc>
          <w:tcPr>
            <w:tcW w:w="0" w:type="auto"/>
            <w:shd w:val="clear" w:color="auto" w:fill="auto"/>
            <w:tcMar>
              <w:top w:w="40" w:type="dxa"/>
              <w:left w:w="40" w:type="dxa"/>
              <w:bottom w:w="40" w:type="dxa"/>
              <w:right w:w="40" w:type="dxa"/>
            </w:tcMar>
            <w:vAlign w:val="bottom"/>
          </w:tcPr>
          <w:p w14:paraId="0BC992D5"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2D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92D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2D8"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0BC992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2DA"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2017</w:t>
            </w:r>
          </w:p>
        </w:tc>
      </w:tr>
      <w:tr w:rsidR="009F0928" w14:paraId="0BC992E2" w14:textId="77777777">
        <w:tc>
          <w:tcPr>
            <w:tcW w:w="0" w:type="auto"/>
            <w:shd w:val="clear" w:color="auto" w:fill="auto"/>
            <w:tcMar>
              <w:top w:w="40" w:type="dxa"/>
              <w:left w:w="40" w:type="dxa"/>
              <w:bottom w:w="40" w:type="dxa"/>
              <w:right w:w="40" w:type="dxa"/>
            </w:tcMar>
            <w:vAlign w:val="bottom"/>
          </w:tcPr>
          <w:p w14:paraId="0BC992DC" w14:textId="77777777" w:rsidR="009F0928" w:rsidRDefault="002112BD">
            <w:pPr>
              <w:textAlignment w:val="bottom"/>
              <w:rPr>
                <w:rFonts w:ascii="Times New Roman" w:hAnsi="Times New Roman"/>
                <w:sz w:val="18"/>
                <w:szCs w:val="18"/>
              </w:rPr>
            </w:pPr>
            <w:r>
              <w:rPr>
                <w:rFonts w:ascii="Arial" w:eastAsia="宋体" w:hAnsi="Arial" w:cs="Arial"/>
                <w:sz w:val="18"/>
                <w:szCs w:val="18"/>
              </w:rPr>
              <w:t>Numerator:</w:t>
            </w:r>
          </w:p>
        </w:tc>
        <w:tc>
          <w:tcPr>
            <w:tcW w:w="0" w:type="auto"/>
            <w:gridSpan w:val="3"/>
            <w:shd w:val="clear" w:color="auto" w:fill="auto"/>
            <w:tcMar>
              <w:top w:w="40" w:type="dxa"/>
              <w:left w:w="40" w:type="dxa"/>
              <w:bottom w:w="40" w:type="dxa"/>
              <w:right w:w="40" w:type="dxa"/>
            </w:tcMar>
            <w:vAlign w:val="bottom"/>
          </w:tcPr>
          <w:p w14:paraId="0BC992D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2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2D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2E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2E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2EF" w14:textId="77777777">
        <w:tc>
          <w:tcPr>
            <w:tcW w:w="0" w:type="auto"/>
            <w:shd w:val="clear" w:color="auto" w:fill="E2E2E2"/>
            <w:tcMar>
              <w:top w:w="40" w:type="dxa"/>
              <w:left w:w="720" w:type="dxa"/>
              <w:bottom w:w="40" w:type="dxa"/>
              <w:right w:w="40" w:type="dxa"/>
            </w:tcMar>
            <w:vAlign w:val="bottom"/>
          </w:tcPr>
          <w:p w14:paraId="0BC992E3" w14:textId="77777777" w:rsidR="009F0928" w:rsidRDefault="002112BD">
            <w:pPr>
              <w:textAlignment w:val="bottom"/>
              <w:rPr>
                <w:rFonts w:ascii="Times New Roman" w:hAnsi="Times New Roman"/>
                <w:sz w:val="18"/>
                <w:szCs w:val="18"/>
              </w:rPr>
            </w:pPr>
            <w:r>
              <w:rPr>
                <w:rFonts w:ascii="Arial" w:eastAsia="宋体" w:hAnsi="Arial" w:cs="Arial"/>
                <w:sz w:val="18"/>
                <w:szCs w:val="18"/>
              </w:rPr>
              <w:t>Income (loss) from continuing operations</w:t>
            </w:r>
          </w:p>
        </w:tc>
        <w:tc>
          <w:tcPr>
            <w:tcW w:w="0" w:type="auto"/>
            <w:shd w:val="clear" w:color="auto" w:fill="E2E2E2"/>
            <w:tcMar>
              <w:top w:w="40" w:type="dxa"/>
              <w:left w:w="40" w:type="dxa"/>
              <w:bottom w:w="40" w:type="dxa"/>
            </w:tcMar>
            <w:vAlign w:val="bottom"/>
          </w:tcPr>
          <w:p w14:paraId="0BC992E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2E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1,792</w:t>
            </w:r>
          </w:p>
        </w:tc>
        <w:tc>
          <w:tcPr>
            <w:tcW w:w="0" w:type="auto"/>
            <w:shd w:val="clear" w:color="auto" w:fill="E2E2E2"/>
            <w:vAlign w:val="bottom"/>
          </w:tcPr>
          <w:p w14:paraId="0BC992E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2E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2E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2E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2,528</w:t>
            </w:r>
          </w:p>
        </w:tc>
        <w:tc>
          <w:tcPr>
            <w:tcW w:w="0" w:type="auto"/>
            <w:shd w:val="clear" w:color="auto" w:fill="E2E2E2"/>
            <w:vAlign w:val="bottom"/>
          </w:tcPr>
          <w:p w14:paraId="0BC992E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2E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2E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2E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(1,013</w:t>
            </w:r>
          </w:p>
        </w:tc>
        <w:tc>
          <w:tcPr>
            <w:tcW w:w="0" w:type="auto"/>
            <w:shd w:val="clear" w:color="auto" w:fill="E2E2E2"/>
            <w:tcMar>
              <w:top w:w="40" w:type="dxa"/>
              <w:bottom w:w="40" w:type="dxa"/>
              <w:right w:w="40" w:type="dxa"/>
            </w:tcMar>
            <w:vAlign w:val="bottom"/>
          </w:tcPr>
          <w:p w14:paraId="0BC992E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92F9" w14:textId="77777777">
        <w:tc>
          <w:tcPr>
            <w:tcW w:w="0" w:type="auto"/>
            <w:shd w:val="clear" w:color="auto" w:fill="auto"/>
            <w:tcMar>
              <w:top w:w="40" w:type="dxa"/>
              <w:left w:w="720" w:type="dxa"/>
              <w:bottom w:w="40" w:type="dxa"/>
              <w:right w:w="40" w:type="dxa"/>
            </w:tcMar>
            <w:vAlign w:val="bottom"/>
          </w:tcPr>
          <w:p w14:paraId="0BC992F0" w14:textId="77777777" w:rsidR="009F0928" w:rsidRDefault="002112BD">
            <w:pPr>
              <w:textAlignment w:val="bottom"/>
              <w:rPr>
                <w:rFonts w:ascii="Times New Roman" w:hAnsi="Times New Roman"/>
                <w:sz w:val="18"/>
                <w:szCs w:val="18"/>
              </w:rPr>
            </w:pPr>
            <w:r>
              <w:rPr>
                <w:rFonts w:ascii="Arial" w:eastAsia="宋体" w:hAnsi="Arial" w:cs="Arial"/>
                <w:sz w:val="18"/>
                <w:szCs w:val="18"/>
              </w:rPr>
              <w:t>Income (loss) from discontinued operations, net of income taxes</w:t>
            </w:r>
          </w:p>
        </w:tc>
        <w:tc>
          <w:tcPr>
            <w:tcW w:w="0" w:type="auto"/>
            <w:gridSpan w:val="2"/>
            <w:tcBorders>
              <w:bottom w:val="single" w:sz="8" w:space="0" w:color="000000"/>
            </w:tcBorders>
            <w:shd w:val="clear" w:color="auto" w:fill="auto"/>
            <w:tcMar>
              <w:top w:w="40" w:type="dxa"/>
              <w:left w:w="40" w:type="dxa"/>
              <w:bottom w:w="40" w:type="dxa"/>
            </w:tcMar>
            <w:vAlign w:val="bottom"/>
          </w:tcPr>
          <w:p w14:paraId="0BC992F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w:t>
            </w:r>
          </w:p>
        </w:tc>
        <w:tc>
          <w:tcPr>
            <w:tcW w:w="0" w:type="auto"/>
            <w:tcBorders>
              <w:bottom w:val="single" w:sz="8" w:space="0" w:color="000000"/>
            </w:tcBorders>
            <w:shd w:val="clear" w:color="auto" w:fill="auto"/>
            <w:tcMar>
              <w:top w:w="40" w:type="dxa"/>
              <w:bottom w:w="40" w:type="dxa"/>
              <w:right w:w="40" w:type="dxa"/>
            </w:tcMar>
            <w:vAlign w:val="bottom"/>
          </w:tcPr>
          <w:p w14:paraId="0BC992F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92F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2F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w:t>
            </w:r>
          </w:p>
        </w:tc>
        <w:tc>
          <w:tcPr>
            <w:tcW w:w="0" w:type="auto"/>
            <w:tcBorders>
              <w:bottom w:val="single" w:sz="8" w:space="0" w:color="000000"/>
            </w:tcBorders>
            <w:shd w:val="clear" w:color="auto" w:fill="auto"/>
            <w:vAlign w:val="bottom"/>
          </w:tcPr>
          <w:p w14:paraId="0BC992F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2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2F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w:t>
            </w:r>
          </w:p>
        </w:tc>
        <w:tc>
          <w:tcPr>
            <w:tcW w:w="0" w:type="auto"/>
            <w:tcBorders>
              <w:bottom w:val="single" w:sz="8" w:space="0" w:color="000000"/>
            </w:tcBorders>
            <w:shd w:val="clear" w:color="auto" w:fill="auto"/>
            <w:tcMar>
              <w:top w:w="40" w:type="dxa"/>
              <w:bottom w:w="40" w:type="dxa"/>
              <w:right w:w="40" w:type="dxa"/>
            </w:tcMar>
            <w:vAlign w:val="bottom"/>
          </w:tcPr>
          <w:p w14:paraId="0BC992F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9306" w14:textId="77777777">
        <w:tc>
          <w:tcPr>
            <w:tcW w:w="0" w:type="auto"/>
            <w:shd w:val="clear" w:color="auto" w:fill="E2E2E2"/>
            <w:tcMar>
              <w:top w:w="40" w:type="dxa"/>
              <w:left w:w="40" w:type="dxa"/>
              <w:bottom w:w="40" w:type="dxa"/>
              <w:right w:w="40" w:type="dxa"/>
            </w:tcMar>
            <w:vAlign w:val="bottom"/>
          </w:tcPr>
          <w:p w14:paraId="0BC992FA" w14:textId="77777777" w:rsidR="009F0928" w:rsidRDefault="002112BD">
            <w:pPr>
              <w:textAlignment w:val="bottom"/>
              <w:rPr>
                <w:rFonts w:ascii="Times New Roman" w:hAnsi="Times New Roman"/>
                <w:sz w:val="18"/>
                <w:szCs w:val="18"/>
              </w:rPr>
            </w:pPr>
            <w:r>
              <w:rPr>
                <w:rFonts w:ascii="Arial" w:eastAsia="宋体" w:hAnsi="Arial" w:cs="Arial"/>
                <w:sz w:val="18"/>
                <w:szCs w:val="18"/>
              </w:rPr>
              <w:t>Net income (loss)</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2F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2F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1,786</w:t>
            </w:r>
          </w:p>
        </w:tc>
        <w:tc>
          <w:tcPr>
            <w:tcW w:w="0" w:type="auto"/>
            <w:tcBorders>
              <w:top w:val="single" w:sz="8" w:space="0" w:color="000000"/>
              <w:bottom w:val="double" w:sz="6" w:space="0" w:color="000000"/>
            </w:tcBorders>
            <w:shd w:val="clear" w:color="auto" w:fill="E2E2E2"/>
            <w:vAlign w:val="bottom"/>
          </w:tcPr>
          <w:p w14:paraId="0BC992F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2F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2F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30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2,530</w:t>
            </w:r>
          </w:p>
        </w:tc>
        <w:tc>
          <w:tcPr>
            <w:tcW w:w="0" w:type="auto"/>
            <w:tcBorders>
              <w:top w:val="single" w:sz="8" w:space="0" w:color="000000"/>
              <w:bottom w:val="double" w:sz="6" w:space="0" w:color="000000"/>
            </w:tcBorders>
            <w:shd w:val="clear" w:color="auto" w:fill="E2E2E2"/>
            <w:vAlign w:val="bottom"/>
          </w:tcPr>
          <w:p w14:paraId="0BC9930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30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30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30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(1,017</w:t>
            </w:r>
          </w:p>
        </w:tc>
        <w:tc>
          <w:tcPr>
            <w:tcW w:w="0" w:type="auto"/>
            <w:tcBorders>
              <w:top w:val="single" w:sz="8" w:space="0" w:color="000000"/>
              <w:bottom w:val="double" w:sz="6" w:space="0" w:color="000000"/>
            </w:tcBorders>
            <w:shd w:val="clear" w:color="auto" w:fill="E2E2E2"/>
            <w:tcMar>
              <w:top w:w="40" w:type="dxa"/>
              <w:bottom w:w="40" w:type="dxa"/>
              <w:right w:w="40" w:type="dxa"/>
            </w:tcMar>
            <w:vAlign w:val="bottom"/>
          </w:tcPr>
          <w:p w14:paraId="0BC9930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930D" w14:textId="77777777">
        <w:tc>
          <w:tcPr>
            <w:tcW w:w="0" w:type="auto"/>
            <w:shd w:val="clear" w:color="auto" w:fill="auto"/>
            <w:tcMar>
              <w:top w:w="40" w:type="dxa"/>
              <w:left w:w="40" w:type="dxa"/>
              <w:bottom w:w="40" w:type="dxa"/>
              <w:right w:w="40" w:type="dxa"/>
            </w:tcMar>
            <w:vAlign w:val="bottom"/>
          </w:tcPr>
          <w:p w14:paraId="0BC99307" w14:textId="77777777" w:rsidR="009F0928" w:rsidRDefault="002112BD">
            <w:pPr>
              <w:textAlignment w:val="bottom"/>
              <w:rPr>
                <w:rFonts w:ascii="Times New Roman" w:hAnsi="Times New Roman"/>
                <w:sz w:val="18"/>
                <w:szCs w:val="18"/>
              </w:rPr>
            </w:pPr>
            <w:r>
              <w:rPr>
                <w:rFonts w:ascii="Arial" w:eastAsia="宋体" w:hAnsi="Arial" w:cs="Arial"/>
                <w:sz w:val="18"/>
                <w:szCs w:val="18"/>
              </w:rPr>
              <w:t>Denominator:</w:t>
            </w:r>
          </w:p>
        </w:tc>
        <w:tc>
          <w:tcPr>
            <w:tcW w:w="0" w:type="auto"/>
            <w:gridSpan w:val="3"/>
            <w:shd w:val="clear" w:color="auto" w:fill="auto"/>
            <w:tcMar>
              <w:top w:w="40" w:type="dxa"/>
              <w:left w:w="40" w:type="dxa"/>
              <w:bottom w:w="40" w:type="dxa"/>
              <w:right w:w="40" w:type="dxa"/>
            </w:tcMar>
            <w:vAlign w:val="bottom"/>
          </w:tcPr>
          <w:p w14:paraId="0BC9930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30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30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30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30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317" w14:textId="77777777">
        <w:tc>
          <w:tcPr>
            <w:tcW w:w="0" w:type="auto"/>
            <w:shd w:val="clear" w:color="auto" w:fill="E2E2E2"/>
            <w:tcMar>
              <w:top w:w="40" w:type="dxa"/>
              <w:left w:w="720" w:type="dxa"/>
              <w:bottom w:w="40" w:type="dxa"/>
              <w:right w:w="40" w:type="dxa"/>
            </w:tcMar>
            <w:vAlign w:val="bottom"/>
          </w:tcPr>
          <w:p w14:paraId="0BC9930E" w14:textId="77777777" w:rsidR="009F0928" w:rsidRDefault="002112BD">
            <w:pPr>
              <w:textAlignment w:val="bottom"/>
              <w:rPr>
                <w:rFonts w:ascii="Times New Roman" w:hAnsi="Times New Roman"/>
                <w:sz w:val="18"/>
                <w:szCs w:val="18"/>
              </w:rPr>
            </w:pPr>
            <w:r>
              <w:rPr>
                <w:rFonts w:ascii="Arial" w:eastAsia="宋体" w:hAnsi="Arial" w:cs="Arial"/>
                <w:sz w:val="18"/>
                <w:szCs w:val="18"/>
              </w:rPr>
              <w:t>Weighted average shares of common stock - basic</w:t>
            </w:r>
          </w:p>
        </w:tc>
        <w:tc>
          <w:tcPr>
            <w:tcW w:w="0" w:type="auto"/>
            <w:gridSpan w:val="2"/>
            <w:shd w:val="clear" w:color="auto" w:fill="E2E2E2"/>
            <w:tcMar>
              <w:top w:w="40" w:type="dxa"/>
              <w:left w:w="40" w:type="dxa"/>
              <w:bottom w:w="40" w:type="dxa"/>
            </w:tcMar>
            <w:vAlign w:val="bottom"/>
          </w:tcPr>
          <w:p w14:paraId="0BC9930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849</w:t>
            </w:r>
          </w:p>
        </w:tc>
        <w:tc>
          <w:tcPr>
            <w:tcW w:w="0" w:type="auto"/>
            <w:shd w:val="clear" w:color="auto" w:fill="E2E2E2"/>
            <w:vAlign w:val="bottom"/>
          </w:tcPr>
          <w:p w14:paraId="0BC9931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31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31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980</w:t>
            </w:r>
          </w:p>
        </w:tc>
        <w:tc>
          <w:tcPr>
            <w:tcW w:w="0" w:type="auto"/>
            <w:shd w:val="clear" w:color="auto" w:fill="E2E2E2"/>
            <w:vAlign w:val="bottom"/>
          </w:tcPr>
          <w:p w14:paraId="0BC9931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31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31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1,064</w:t>
            </w:r>
          </w:p>
        </w:tc>
        <w:tc>
          <w:tcPr>
            <w:tcW w:w="0" w:type="auto"/>
            <w:shd w:val="clear" w:color="auto" w:fill="E2E2E2"/>
            <w:vAlign w:val="bottom"/>
          </w:tcPr>
          <w:p w14:paraId="0BC99316" w14:textId="77777777" w:rsidR="009F0928" w:rsidRDefault="009F0928">
            <w:pPr>
              <w:textAlignment w:val="bottom"/>
              <w:rPr>
                <w:rFonts w:ascii="Times New Roman" w:hAnsi="Times New Roman"/>
                <w:sz w:val="20"/>
                <w:szCs w:val="20"/>
              </w:rPr>
            </w:pPr>
          </w:p>
        </w:tc>
      </w:tr>
      <w:tr w:rsidR="009F0928" w14:paraId="0BC99321" w14:textId="77777777">
        <w:tc>
          <w:tcPr>
            <w:tcW w:w="0" w:type="auto"/>
            <w:shd w:val="clear" w:color="auto" w:fill="auto"/>
            <w:tcMar>
              <w:top w:w="40" w:type="dxa"/>
              <w:left w:w="1200" w:type="dxa"/>
              <w:bottom w:w="40" w:type="dxa"/>
              <w:right w:w="40" w:type="dxa"/>
            </w:tcMar>
            <w:vAlign w:val="bottom"/>
          </w:tcPr>
          <w:p w14:paraId="0BC99318" w14:textId="77777777" w:rsidR="009F0928" w:rsidRDefault="002112BD">
            <w:pPr>
              <w:textAlignment w:val="bottom"/>
              <w:rPr>
                <w:rFonts w:ascii="Times New Roman" w:hAnsi="Times New Roman"/>
                <w:sz w:val="18"/>
                <w:szCs w:val="18"/>
              </w:rPr>
            </w:pPr>
            <w:r>
              <w:rPr>
                <w:rFonts w:ascii="Arial" w:eastAsia="宋体" w:hAnsi="Arial" w:cs="Arial"/>
                <w:sz w:val="18"/>
                <w:szCs w:val="18"/>
              </w:rPr>
              <w:t>Dilutive effect of equity incentive awards</w:t>
            </w:r>
          </w:p>
        </w:tc>
        <w:tc>
          <w:tcPr>
            <w:tcW w:w="0" w:type="auto"/>
            <w:gridSpan w:val="2"/>
            <w:tcBorders>
              <w:bottom w:val="single" w:sz="8" w:space="0" w:color="000000"/>
            </w:tcBorders>
            <w:shd w:val="clear" w:color="auto" w:fill="auto"/>
            <w:tcMar>
              <w:top w:w="40" w:type="dxa"/>
              <w:left w:w="40" w:type="dxa"/>
              <w:bottom w:w="40" w:type="dxa"/>
            </w:tcMar>
            <w:vAlign w:val="bottom"/>
          </w:tcPr>
          <w:p w14:paraId="0BC9931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w:t>
            </w:r>
          </w:p>
        </w:tc>
        <w:tc>
          <w:tcPr>
            <w:tcW w:w="0" w:type="auto"/>
            <w:tcBorders>
              <w:bottom w:val="single" w:sz="8" w:space="0" w:color="000000"/>
            </w:tcBorders>
            <w:shd w:val="clear" w:color="auto" w:fill="auto"/>
            <w:vAlign w:val="bottom"/>
          </w:tcPr>
          <w:p w14:paraId="0BC9931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31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31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w:t>
            </w:r>
          </w:p>
        </w:tc>
        <w:tc>
          <w:tcPr>
            <w:tcW w:w="0" w:type="auto"/>
            <w:tcBorders>
              <w:bottom w:val="single" w:sz="8" w:space="0" w:color="000000"/>
            </w:tcBorders>
            <w:shd w:val="clear" w:color="auto" w:fill="auto"/>
            <w:vAlign w:val="bottom"/>
          </w:tcPr>
          <w:p w14:paraId="0BC9931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3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31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auto"/>
            <w:vAlign w:val="bottom"/>
          </w:tcPr>
          <w:p w14:paraId="0BC99320" w14:textId="77777777" w:rsidR="009F0928" w:rsidRDefault="009F0928">
            <w:pPr>
              <w:textAlignment w:val="bottom"/>
              <w:rPr>
                <w:rFonts w:ascii="Times New Roman" w:hAnsi="Times New Roman"/>
                <w:sz w:val="20"/>
                <w:szCs w:val="20"/>
              </w:rPr>
            </w:pPr>
          </w:p>
        </w:tc>
      </w:tr>
      <w:tr w:rsidR="009F0928" w14:paraId="0BC9932B" w14:textId="77777777">
        <w:tc>
          <w:tcPr>
            <w:tcW w:w="0" w:type="auto"/>
            <w:shd w:val="clear" w:color="auto" w:fill="E2E2E2"/>
            <w:tcMar>
              <w:top w:w="40" w:type="dxa"/>
              <w:left w:w="720" w:type="dxa"/>
              <w:bottom w:w="40" w:type="dxa"/>
              <w:right w:w="40" w:type="dxa"/>
            </w:tcMar>
            <w:vAlign w:val="bottom"/>
          </w:tcPr>
          <w:p w14:paraId="0BC99322"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Weighted average shares of common </w:t>
            </w:r>
            <w:r>
              <w:rPr>
                <w:rFonts w:ascii="Arial" w:eastAsia="宋体" w:hAnsi="Arial" w:cs="Arial"/>
                <w:sz w:val="18"/>
                <w:szCs w:val="18"/>
              </w:rPr>
              <w:t>stock - diluted</w:t>
            </w:r>
          </w:p>
        </w:tc>
        <w:tc>
          <w:tcPr>
            <w:tcW w:w="0" w:type="auto"/>
            <w:gridSpan w:val="2"/>
            <w:tcBorders>
              <w:top w:val="single" w:sz="8" w:space="0" w:color="000000"/>
              <w:bottom w:val="double" w:sz="6" w:space="0" w:color="000000"/>
            </w:tcBorders>
            <w:shd w:val="clear" w:color="auto" w:fill="E2E2E2"/>
            <w:tcMar>
              <w:top w:w="40" w:type="dxa"/>
              <w:left w:w="40" w:type="dxa"/>
              <w:bottom w:w="40" w:type="dxa"/>
            </w:tcMar>
            <w:vAlign w:val="bottom"/>
          </w:tcPr>
          <w:p w14:paraId="0BC9932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856</w:t>
            </w:r>
          </w:p>
        </w:tc>
        <w:tc>
          <w:tcPr>
            <w:tcW w:w="0" w:type="auto"/>
            <w:tcBorders>
              <w:top w:val="single" w:sz="8" w:space="0" w:color="000000"/>
              <w:bottom w:val="double" w:sz="6" w:space="0" w:color="000000"/>
            </w:tcBorders>
            <w:shd w:val="clear" w:color="auto" w:fill="E2E2E2"/>
            <w:vAlign w:val="bottom"/>
          </w:tcPr>
          <w:p w14:paraId="0BC9932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32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E2E2E2"/>
            <w:tcMar>
              <w:top w:w="40" w:type="dxa"/>
              <w:left w:w="40" w:type="dxa"/>
              <w:bottom w:w="40" w:type="dxa"/>
            </w:tcMar>
            <w:vAlign w:val="bottom"/>
          </w:tcPr>
          <w:p w14:paraId="0BC9932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991</w:t>
            </w:r>
          </w:p>
        </w:tc>
        <w:tc>
          <w:tcPr>
            <w:tcW w:w="0" w:type="auto"/>
            <w:tcBorders>
              <w:top w:val="single" w:sz="8" w:space="0" w:color="000000"/>
              <w:bottom w:val="double" w:sz="6" w:space="0" w:color="000000"/>
            </w:tcBorders>
            <w:shd w:val="clear" w:color="auto" w:fill="E2E2E2"/>
            <w:vAlign w:val="bottom"/>
          </w:tcPr>
          <w:p w14:paraId="0BC9932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32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E2E2E2"/>
            <w:tcMar>
              <w:top w:w="40" w:type="dxa"/>
              <w:left w:w="40" w:type="dxa"/>
              <w:bottom w:w="40" w:type="dxa"/>
            </w:tcMar>
            <w:vAlign w:val="bottom"/>
          </w:tcPr>
          <w:p w14:paraId="0BC9932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1,064</w:t>
            </w:r>
          </w:p>
        </w:tc>
        <w:tc>
          <w:tcPr>
            <w:tcW w:w="0" w:type="auto"/>
            <w:tcBorders>
              <w:top w:val="single" w:sz="8" w:space="0" w:color="000000"/>
              <w:bottom w:val="double" w:sz="6" w:space="0" w:color="000000"/>
            </w:tcBorders>
            <w:shd w:val="clear" w:color="auto" w:fill="E2E2E2"/>
            <w:vAlign w:val="bottom"/>
          </w:tcPr>
          <w:p w14:paraId="0BC9932A" w14:textId="77777777" w:rsidR="009F0928" w:rsidRDefault="009F0928">
            <w:pPr>
              <w:textAlignment w:val="bottom"/>
              <w:rPr>
                <w:rFonts w:ascii="Times New Roman" w:hAnsi="Times New Roman"/>
                <w:sz w:val="20"/>
                <w:szCs w:val="20"/>
              </w:rPr>
            </w:pPr>
          </w:p>
        </w:tc>
      </w:tr>
      <w:tr w:rsidR="009F0928" w14:paraId="0BC99332" w14:textId="77777777">
        <w:tc>
          <w:tcPr>
            <w:tcW w:w="0" w:type="auto"/>
            <w:shd w:val="clear" w:color="auto" w:fill="auto"/>
            <w:tcMar>
              <w:top w:w="40" w:type="dxa"/>
              <w:left w:w="40" w:type="dxa"/>
              <w:bottom w:w="40" w:type="dxa"/>
              <w:right w:w="40" w:type="dxa"/>
            </w:tcMar>
            <w:vAlign w:val="bottom"/>
          </w:tcPr>
          <w:p w14:paraId="0BC9932C" w14:textId="77777777" w:rsidR="009F0928" w:rsidRDefault="002112BD">
            <w:pPr>
              <w:textAlignment w:val="bottom"/>
              <w:rPr>
                <w:rFonts w:ascii="Times New Roman" w:hAnsi="Times New Roman"/>
                <w:sz w:val="18"/>
                <w:szCs w:val="18"/>
              </w:rPr>
            </w:pPr>
            <w:r>
              <w:rPr>
                <w:rFonts w:ascii="Arial" w:eastAsia="宋体" w:hAnsi="Arial" w:cs="Arial"/>
                <w:sz w:val="18"/>
                <w:szCs w:val="18"/>
              </w:rPr>
              <w:t>Income (loss) per share - basic:</w:t>
            </w:r>
          </w:p>
        </w:tc>
        <w:tc>
          <w:tcPr>
            <w:tcW w:w="0" w:type="auto"/>
            <w:gridSpan w:val="3"/>
            <w:shd w:val="clear" w:color="auto" w:fill="auto"/>
            <w:tcMar>
              <w:top w:w="40" w:type="dxa"/>
              <w:left w:w="40" w:type="dxa"/>
              <w:bottom w:w="40" w:type="dxa"/>
              <w:right w:w="40" w:type="dxa"/>
            </w:tcMar>
            <w:vAlign w:val="bottom"/>
          </w:tcPr>
          <w:p w14:paraId="0BC9932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32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32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33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33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33F" w14:textId="77777777">
        <w:tc>
          <w:tcPr>
            <w:tcW w:w="0" w:type="auto"/>
            <w:shd w:val="clear" w:color="auto" w:fill="E2E2E2"/>
            <w:tcMar>
              <w:top w:w="40" w:type="dxa"/>
              <w:left w:w="720" w:type="dxa"/>
              <w:bottom w:w="40" w:type="dxa"/>
              <w:right w:w="40" w:type="dxa"/>
            </w:tcMar>
            <w:vAlign w:val="bottom"/>
          </w:tcPr>
          <w:p w14:paraId="0BC99333" w14:textId="77777777" w:rsidR="009F0928" w:rsidRDefault="002112BD">
            <w:pPr>
              <w:textAlignment w:val="bottom"/>
              <w:rPr>
                <w:rFonts w:ascii="Times New Roman" w:hAnsi="Times New Roman"/>
                <w:sz w:val="18"/>
                <w:szCs w:val="18"/>
              </w:rPr>
            </w:pPr>
            <w:r>
              <w:rPr>
                <w:rFonts w:ascii="Arial" w:eastAsia="宋体" w:hAnsi="Arial" w:cs="Arial"/>
                <w:sz w:val="18"/>
                <w:szCs w:val="18"/>
              </w:rPr>
              <w:t>Continuing operations</w:t>
            </w:r>
          </w:p>
        </w:tc>
        <w:tc>
          <w:tcPr>
            <w:tcW w:w="0" w:type="auto"/>
            <w:shd w:val="clear" w:color="auto" w:fill="E2E2E2"/>
            <w:tcMar>
              <w:top w:w="40" w:type="dxa"/>
              <w:left w:w="40" w:type="dxa"/>
              <w:bottom w:w="40" w:type="dxa"/>
            </w:tcMar>
            <w:vAlign w:val="bottom"/>
          </w:tcPr>
          <w:p w14:paraId="0BC9933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33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2.11</w:t>
            </w:r>
          </w:p>
        </w:tc>
        <w:tc>
          <w:tcPr>
            <w:tcW w:w="0" w:type="auto"/>
            <w:shd w:val="clear" w:color="auto" w:fill="E2E2E2"/>
            <w:vAlign w:val="bottom"/>
          </w:tcPr>
          <w:p w14:paraId="0BC9933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3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33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33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2.58</w:t>
            </w:r>
          </w:p>
        </w:tc>
        <w:tc>
          <w:tcPr>
            <w:tcW w:w="0" w:type="auto"/>
            <w:shd w:val="clear" w:color="auto" w:fill="E2E2E2"/>
            <w:vAlign w:val="bottom"/>
          </w:tcPr>
          <w:p w14:paraId="0BC9933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33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33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33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(0.95</w:t>
            </w:r>
          </w:p>
        </w:tc>
        <w:tc>
          <w:tcPr>
            <w:tcW w:w="0" w:type="auto"/>
            <w:shd w:val="clear" w:color="auto" w:fill="E2E2E2"/>
            <w:tcMar>
              <w:top w:w="40" w:type="dxa"/>
              <w:bottom w:w="40" w:type="dxa"/>
              <w:right w:w="40" w:type="dxa"/>
            </w:tcMar>
            <w:vAlign w:val="bottom"/>
          </w:tcPr>
          <w:p w14:paraId="0BC9933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9349" w14:textId="77777777">
        <w:tc>
          <w:tcPr>
            <w:tcW w:w="0" w:type="auto"/>
            <w:shd w:val="clear" w:color="auto" w:fill="auto"/>
            <w:tcMar>
              <w:top w:w="40" w:type="dxa"/>
              <w:left w:w="720" w:type="dxa"/>
              <w:bottom w:w="40" w:type="dxa"/>
              <w:right w:w="40" w:type="dxa"/>
            </w:tcMar>
            <w:vAlign w:val="bottom"/>
          </w:tcPr>
          <w:p w14:paraId="0BC99340" w14:textId="77777777" w:rsidR="009F0928" w:rsidRDefault="002112BD">
            <w:pPr>
              <w:textAlignment w:val="bottom"/>
              <w:rPr>
                <w:rFonts w:ascii="Times New Roman" w:hAnsi="Times New Roman"/>
                <w:sz w:val="18"/>
                <w:szCs w:val="18"/>
              </w:rPr>
            </w:pPr>
            <w:r>
              <w:rPr>
                <w:rFonts w:ascii="Arial" w:eastAsia="宋体" w:hAnsi="Arial" w:cs="Arial"/>
                <w:sz w:val="18"/>
                <w:szCs w:val="18"/>
              </w:rPr>
              <w:t>Discontinued operations</w:t>
            </w:r>
          </w:p>
        </w:tc>
        <w:tc>
          <w:tcPr>
            <w:tcW w:w="0" w:type="auto"/>
            <w:gridSpan w:val="2"/>
            <w:shd w:val="clear" w:color="auto" w:fill="auto"/>
            <w:tcMar>
              <w:top w:w="40" w:type="dxa"/>
              <w:left w:w="40" w:type="dxa"/>
              <w:bottom w:w="40" w:type="dxa"/>
            </w:tcMar>
            <w:vAlign w:val="bottom"/>
          </w:tcPr>
          <w:p w14:paraId="0BC9934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(0.01</w:t>
            </w:r>
          </w:p>
        </w:tc>
        <w:tc>
          <w:tcPr>
            <w:tcW w:w="0" w:type="auto"/>
            <w:shd w:val="clear" w:color="auto" w:fill="auto"/>
            <w:tcMar>
              <w:top w:w="40" w:type="dxa"/>
              <w:bottom w:w="40" w:type="dxa"/>
              <w:right w:w="40" w:type="dxa"/>
            </w:tcMar>
            <w:vAlign w:val="bottom"/>
          </w:tcPr>
          <w:p w14:paraId="0BC9934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934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34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34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34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34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348" w14:textId="77777777" w:rsidR="009F0928" w:rsidRDefault="009F0928">
            <w:pPr>
              <w:textAlignment w:val="bottom"/>
              <w:rPr>
                <w:rFonts w:ascii="Times New Roman" w:hAnsi="Times New Roman"/>
                <w:sz w:val="20"/>
                <w:szCs w:val="20"/>
              </w:rPr>
            </w:pPr>
          </w:p>
        </w:tc>
      </w:tr>
      <w:tr w:rsidR="009F0928" w14:paraId="0BC99356" w14:textId="77777777">
        <w:tc>
          <w:tcPr>
            <w:tcW w:w="0" w:type="auto"/>
            <w:shd w:val="clear" w:color="auto" w:fill="E2E2E2"/>
            <w:tcMar>
              <w:top w:w="40" w:type="dxa"/>
              <w:left w:w="40" w:type="dxa"/>
              <w:bottom w:w="40" w:type="dxa"/>
              <w:right w:w="40" w:type="dxa"/>
            </w:tcMar>
            <w:vAlign w:val="bottom"/>
          </w:tcPr>
          <w:p w14:paraId="0BC9934A" w14:textId="77777777" w:rsidR="009F0928" w:rsidRDefault="002112BD">
            <w:pPr>
              <w:textAlignment w:val="bottom"/>
              <w:rPr>
                <w:rFonts w:ascii="Times New Roman" w:hAnsi="Times New Roman"/>
                <w:sz w:val="18"/>
                <w:szCs w:val="18"/>
              </w:rPr>
            </w:pPr>
            <w:r>
              <w:rPr>
                <w:rFonts w:ascii="Arial" w:eastAsia="宋体" w:hAnsi="Arial" w:cs="Arial"/>
                <w:sz w:val="18"/>
                <w:szCs w:val="18"/>
              </w:rPr>
              <w:t>Net income (loss) per share - basic</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34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34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2.10</w:t>
            </w:r>
          </w:p>
        </w:tc>
        <w:tc>
          <w:tcPr>
            <w:tcW w:w="0" w:type="auto"/>
            <w:tcBorders>
              <w:top w:val="single" w:sz="8" w:space="0" w:color="000000"/>
              <w:bottom w:val="double" w:sz="6" w:space="0" w:color="000000"/>
            </w:tcBorders>
            <w:shd w:val="clear" w:color="auto" w:fill="E2E2E2"/>
            <w:vAlign w:val="bottom"/>
          </w:tcPr>
          <w:p w14:paraId="0BC9934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34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34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35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2.58</w:t>
            </w:r>
          </w:p>
        </w:tc>
        <w:tc>
          <w:tcPr>
            <w:tcW w:w="0" w:type="auto"/>
            <w:tcBorders>
              <w:top w:val="single" w:sz="8" w:space="0" w:color="000000"/>
              <w:bottom w:val="double" w:sz="6" w:space="0" w:color="000000"/>
            </w:tcBorders>
            <w:shd w:val="clear" w:color="auto" w:fill="E2E2E2"/>
            <w:vAlign w:val="bottom"/>
          </w:tcPr>
          <w:p w14:paraId="0BC9935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35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35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35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(0.95</w:t>
            </w:r>
          </w:p>
        </w:tc>
        <w:tc>
          <w:tcPr>
            <w:tcW w:w="0" w:type="auto"/>
            <w:tcBorders>
              <w:top w:val="single" w:sz="8" w:space="0" w:color="000000"/>
              <w:bottom w:val="double" w:sz="6" w:space="0" w:color="000000"/>
            </w:tcBorders>
            <w:shd w:val="clear" w:color="auto" w:fill="E2E2E2"/>
            <w:tcMar>
              <w:top w:w="40" w:type="dxa"/>
              <w:bottom w:w="40" w:type="dxa"/>
              <w:right w:w="40" w:type="dxa"/>
            </w:tcMar>
            <w:vAlign w:val="bottom"/>
          </w:tcPr>
          <w:p w14:paraId="0BC9935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935D" w14:textId="77777777">
        <w:tc>
          <w:tcPr>
            <w:tcW w:w="0" w:type="auto"/>
            <w:shd w:val="clear" w:color="auto" w:fill="auto"/>
            <w:tcMar>
              <w:top w:w="40" w:type="dxa"/>
              <w:left w:w="40" w:type="dxa"/>
              <w:bottom w:w="40" w:type="dxa"/>
              <w:right w:w="40" w:type="dxa"/>
            </w:tcMar>
            <w:vAlign w:val="bottom"/>
          </w:tcPr>
          <w:p w14:paraId="0BC99357" w14:textId="77777777" w:rsidR="009F0928" w:rsidRDefault="002112BD">
            <w:pPr>
              <w:textAlignment w:val="bottom"/>
              <w:rPr>
                <w:rFonts w:ascii="Times New Roman" w:hAnsi="Times New Roman"/>
                <w:sz w:val="18"/>
                <w:szCs w:val="18"/>
              </w:rPr>
            </w:pPr>
            <w:r>
              <w:rPr>
                <w:rFonts w:ascii="Arial" w:eastAsia="宋体" w:hAnsi="Arial" w:cs="Arial"/>
                <w:sz w:val="18"/>
                <w:szCs w:val="18"/>
              </w:rPr>
              <w:t>Income (loss) per share - diluted:</w:t>
            </w:r>
          </w:p>
        </w:tc>
        <w:tc>
          <w:tcPr>
            <w:tcW w:w="0" w:type="auto"/>
            <w:gridSpan w:val="3"/>
            <w:shd w:val="clear" w:color="auto" w:fill="auto"/>
            <w:tcMar>
              <w:top w:w="40" w:type="dxa"/>
              <w:left w:w="40" w:type="dxa"/>
              <w:bottom w:w="40" w:type="dxa"/>
              <w:right w:w="40" w:type="dxa"/>
            </w:tcMar>
            <w:vAlign w:val="bottom"/>
          </w:tcPr>
          <w:p w14:paraId="0BC9935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35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35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35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35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36A" w14:textId="77777777">
        <w:tc>
          <w:tcPr>
            <w:tcW w:w="0" w:type="auto"/>
            <w:shd w:val="clear" w:color="auto" w:fill="E2E2E2"/>
            <w:tcMar>
              <w:top w:w="40" w:type="dxa"/>
              <w:left w:w="720" w:type="dxa"/>
              <w:bottom w:w="40" w:type="dxa"/>
              <w:right w:w="40" w:type="dxa"/>
            </w:tcMar>
            <w:vAlign w:val="bottom"/>
          </w:tcPr>
          <w:p w14:paraId="0BC9935E" w14:textId="77777777" w:rsidR="009F0928" w:rsidRDefault="002112BD">
            <w:pPr>
              <w:textAlignment w:val="bottom"/>
              <w:rPr>
                <w:rFonts w:ascii="Times New Roman" w:hAnsi="Times New Roman"/>
                <w:sz w:val="18"/>
                <w:szCs w:val="18"/>
              </w:rPr>
            </w:pPr>
            <w:r>
              <w:rPr>
                <w:rFonts w:ascii="Arial" w:eastAsia="宋体" w:hAnsi="Arial" w:cs="Arial"/>
                <w:sz w:val="18"/>
                <w:szCs w:val="18"/>
              </w:rPr>
              <w:t>Continuing operations</w:t>
            </w:r>
          </w:p>
        </w:tc>
        <w:tc>
          <w:tcPr>
            <w:tcW w:w="0" w:type="auto"/>
            <w:shd w:val="clear" w:color="auto" w:fill="E2E2E2"/>
            <w:tcMar>
              <w:top w:w="40" w:type="dxa"/>
              <w:left w:w="40" w:type="dxa"/>
              <w:bottom w:w="40" w:type="dxa"/>
            </w:tcMar>
            <w:vAlign w:val="bottom"/>
          </w:tcPr>
          <w:p w14:paraId="0BC9935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36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2.10</w:t>
            </w:r>
          </w:p>
        </w:tc>
        <w:tc>
          <w:tcPr>
            <w:tcW w:w="0" w:type="auto"/>
            <w:shd w:val="clear" w:color="auto" w:fill="E2E2E2"/>
            <w:vAlign w:val="bottom"/>
          </w:tcPr>
          <w:p w14:paraId="0BC9936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36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36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36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2.55</w:t>
            </w:r>
          </w:p>
        </w:tc>
        <w:tc>
          <w:tcPr>
            <w:tcW w:w="0" w:type="auto"/>
            <w:shd w:val="clear" w:color="auto" w:fill="E2E2E2"/>
            <w:vAlign w:val="bottom"/>
          </w:tcPr>
          <w:p w14:paraId="0BC9936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36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36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36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(0.95</w:t>
            </w:r>
          </w:p>
        </w:tc>
        <w:tc>
          <w:tcPr>
            <w:tcW w:w="0" w:type="auto"/>
            <w:shd w:val="clear" w:color="auto" w:fill="E2E2E2"/>
            <w:tcMar>
              <w:top w:w="40" w:type="dxa"/>
              <w:bottom w:w="40" w:type="dxa"/>
              <w:right w:w="40" w:type="dxa"/>
            </w:tcMar>
            <w:vAlign w:val="bottom"/>
          </w:tcPr>
          <w:p w14:paraId="0BC9936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9374" w14:textId="77777777">
        <w:tc>
          <w:tcPr>
            <w:tcW w:w="0" w:type="auto"/>
            <w:shd w:val="clear" w:color="auto" w:fill="auto"/>
            <w:tcMar>
              <w:top w:w="40" w:type="dxa"/>
              <w:left w:w="720" w:type="dxa"/>
              <w:bottom w:w="40" w:type="dxa"/>
              <w:right w:w="40" w:type="dxa"/>
            </w:tcMar>
            <w:vAlign w:val="bottom"/>
          </w:tcPr>
          <w:p w14:paraId="0BC9936B" w14:textId="77777777" w:rsidR="009F0928" w:rsidRDefault="002112BD">
            <w:pPr>
              <w:textAlignment w:val="bottom"/>
              <w:rPr>
                <w:rFonts w:ascii="Times New Roman" w:hAnsi="Times New Roman"/>
                <w:sz w:val="18"/>
                <w:szCs w:val="18"/>
              </w:rPr>
            </w:pPr>
            <w:r>
              <w:rPr>
                <w:rFonts w:ascii="Arial" w:eastAsia="宋体" w:hAnsi="Arial" w:cs="Arial"/>
                <w:sz w:val="18"/>
                <w:szCs w:val="18"/>
              </w:rPr>
              <w:t>Discontinued operations</w:t>
            </w:r>
          </w:p>
        </w:tc>
        <w:tc>
          <w:tcPr>
            <w:tcW w:w="0" w:type="auto"/>
            <w:gridSpan w:val="2"/>
            <w:shd w:val="clear" w:color="auto" w:fill="auto"/>
            <w:tcMar>
              <w:top w:w="40" w:type="dxa"/>
              <w:left w:w="40" w:type="dxa"/>
              <w:bottom w:w="40" w:type="dxa"/>
            </w:tcMar>
            <w:vAlign w:val="bottom"/>
          </w:tcPr>
          <w:p w14:paraId="0BC9936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(0.01</w:t>
            </w:r>
          </w:p>
        </w:tc>
        <w:tc>
          <w:tcPr>
            <w:tcW w:w="0" w:type="auto"/>
            <w:shd w:val="clear" w:color="auto" w:fill="auto"/>
            <w:tcMar>
              <w:top w:w="40" w:type="dxa"/>
              <w:bottom w:w="40" w:type="dxa"/>
              <w:right w:w="40" w:type="dxa"/>
            </w:tcMar>
            <w:vAlign w:val="bottom"/>
          </w:tcPr>
          <w:p w14:paraId="0BC9936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936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36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37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37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37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373" w14:textId="77777777" w:rsidR="009F0928" w:rsidRDefault="009F0928">
            <w:pPr>
              <w:textAlignment w:val="bottom"/>
              <w:rPr>
                <w:rFonts w:ascii="Times New Roman" w:hAnsi="Times New Roman"/>
                <w:sz w:val="20"/>
                <w:szCs w:val="20"/>
              </w:rPr>
            </w:pPr>
          </w:p>
        </w:tc>
      </w:tr>
      <w:tr w:rsidR="009F0928" w14:paraId="0BC99381" w14:textId="77777777">
        <w:tc>
          <w:tcPr>
            <w:tcW w:w="0" w:type="auto"/>
            <w:shd w:val="clear" w:color="auto" w:fill="E2E2E2"/>
            <w:tcMar>
              <w:top w:w="40" w:type="dxa"/>
              <w:left w:w="40" w:type="dxa"/>
              <w:bottom w:w="40" w:type="dxa"/>
              <w:right w:w="40" w:type="dxa"/>
            </w:tcMar>
            <w:vAlign w:val="bottom"/>
          </w:tcPr>
          <w:p w14:paraId="0BC99375" w14:textId="77777777" w:rsidR="009F0928" w:rsidRDefault="002112BD">
            <w:pPr>
              <w:textAlignment w:val="bottom"/>
              <w:rPr>
                <w:rFonts w:ascii="Times New Roman" w:hAnsi="Times New Roman"/>
                <w:sz w:val="18"/>
                <w:szCs w:val="18"/>
              </w:rPr>
            </w:pPr>
            <w:r>
              <w:rPr>
                <w:rFonts w:ascii="Arial" w:eastAsia="宋体" w:hAnsi="Arial" w:cs="Arial"/>
                <w:sz w:val="18"/>
                <w:szCs w:val="18"/>
              </w:rPr>
              <w:t>Net income (loss) per share - diluted</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37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37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2.09</w:t>
            </w:r>
          </w:p>
        </w:tc>
        <w:tc>
          <w:tcPr>
            <w:tcW w:w="0" w:type="auto"/>
            <w:tcBorders>
              <w:top w:val="single" w:sz="8" w:space="0" w:color="000000"/>
              <w:bottom w:val="double" w:sz="6" w:space="0" w:color="000000"/>
            </w:tcBorders>
            <w:shd w:val="clear" w:color="auto" w:fill="E2E2E2"/>
            <w:vAlign w:val="bottom"/>
          </w:tcPr>
          <w:p w14:paraId="0BC9937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3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37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37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2.55</w:t>
            </w:r>
          </w:p>
        </w:tc>
        <w:tc>
          <w:tcPr>
            <w:tcW w:w="0" w:type="auto"/>
            <w:tcBorders>
              <w:top w:val="single" w:sz="8" w:space="0" w:color="000000"/>
              <w:bottom w:val="double" w:sz="6" w:space="0" w:color="000000"/>
            </w:tcBorders>
            <w:shd w:val="clear" w:color="auto" w:fill="E2E2E2"/>
            <w:vAlign w:val="bottom"/>
          </w:tcPr>
          <w:p w14:paraId="0BC9937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37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37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37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(0.95</w:t>
            </w:r>
          </w:p>
        </w:tc>
        <w:tc>
          <w:tcPr>
            <w:tcW w:w="0" w:type="auto"/>
            <w:tcBorders>
              <w:top w:val="single" w:sz="8" w:space="0" w:color="000000"/>
              <w:bottom w:val="double" w:sz="6" w:space="0" w:color="000000"/>
            </w:tcBorders>
            <w:shd w:val="clear" w:color="auto" w:fill="E2E2E2"/>
            <w:tcMar>
              <w:top w:w="40" w:type="dxa"/>
              <w:bottom w:w="40" w:type="dxa"/>
              <w:right w:w="40" w:type="dxa"/>
            </w:tcMar>
            <w:vAlign w:val="bottom"/>
          </w:tcPr>
          <w:p w14:paraId="0BC9938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938B" w14:textId="77777777">
        <w:tc>
          <w:tcPr>
            <w:tcW w:w="0" w:type="auto"/>
            <w:shd w:val="clear" w:color="auto" w:fill="auto"/>
            <w:tcMar>
              <w:top w:w="40" w:type="dxa"/>
              <w:left w:w="40" w:type="dxa"/>
              <w:bottom w:w="40" w:type="dxa"/>
              <w:right w:w="40" w:type="dxa"/>
            </w:tcMar>
            <w:vAlign w:val="bottom"/>
          </w:tcPr>
          <w:p w14:paraId="0BC99382"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Common stock equivalents excluded from </w:t>
            </w:r>
            <w:r>
              <w:rPr>
                <w:rFonts w:ascii="Arial" w:eastAsia="宋体" w:hAnsi="Arial" w:cs="Arial"/>
                <w:sz w:val="18"/>
                <w:szCs w:val="18"/>
              </w:rPr>
              <w:t>income per diluted share because their effect would have been anti-dilutive</w:t>
            </w:r>
          </w:p>
        </w:tc>
        <w:tc>
          <w:tcPr>
            <w:tcW w:w="0" w:type="auto"/>
            <w:gridSpan w:val="2"/>
            <w:tcBorders>
              <w:bottom w:val="double" w:sz="6" w:space="0" w:color="000000"/>
            </w:tcBorders>
            <w:shd w:val="clear" w:color="auto" w:fill="auto"/>
            <w:tcMar>
              <w:top w:w="40" w:type="dxa"/>
              <w:left w:w="40" w:type="dxa"/>
              <w:bottom w:w="40" w:type="dxa"/>
            </w:tcMar>
            <w:vAlign w:val="bottom"/>
          </w:tcPr>
          <w:p w14:paraId="0BC9938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w:t>
            </w:r>
          </w:p>
        </w:tc>
        <w:tc>
          <w:tcPr>
            <w:tcW w:w="0" w:type="auto"/>
            <w:tcBorders>
              <w:bottom w:val="double" w:sz="6" w:space="0" w:color="000000"/>
            </w:tcBorders>
            <w:shd w:val="clear" w:color="auto" w:fill="auto"/>
            <w:vAlign w:val="bottom"/>
          </w:tcPr>
          <w:p w14:paraId="0BC9938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38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BC9938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12</w:t>
            </w:r>
          </w:p>
        </w:tc>
        <w:tc>
          <w:tcPr>
            <w:tcW w:w="0" w:type="auto"/>
            <w:tcBorders>
              <w:bottom w:val="double" w:sz="6" w:space="0" w:color="000000"/>
            </w:tcBorders>
            <w:shd w:val="clear" w:color="auto" w:fill="auto"/>
            <w:vAlign w:val="bottom"/>
          </w:tcPr>
          <w:p w14:paraId="0BC9938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38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0BC9938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46</w:t>
            </w:r>
          </w:p>
        </w:tc>
        <w:tc>
          <w:tcPr>
            <w:tcW w:w="0" w:type="auto"/>
            <w:tcBorders>
              <w:bottom w:val="double" w:sz="6" w:space="0" w:color="000000"/>
            </w:tcBorders>
            <w:shd w:val="clear" w:color="auto" w:fill="auto"/>
            <w:vAlign w:val="bottom"/>
          </w:tcPr>
          <w:p w14:paraId="0BC9938A" w14:textId="77777777" w:rsidR="009F0928" w:rsidRDefault="009F0928">
            <w:pPr>
              <w:textAlignment w:val="bottom"/>
              <w:rPr>
                <w:rFonts w:ascii="Times New Roman" w:hAnsi="Times New Roman"/>
                <w:sz w:val="20"/>
                <w:szCs w:val="20"/>
              </w:rPr>
            </w:pPr>
          </w:p>
        </w:tc>
      </w:tr>
    </w:tbl>
    <w:p w14:paraId="0BC9938C" w14:textId="77777777" w:rsidR="009F0928" w:rsidRDefault="009F0928">
      <w:pPr>
        <w:jc w:val="both"/>
        <w:rPr>
          <w:rFonts w:ascii="Times New Roman" w:hAnsi="Times New Roman"/>
          <w:sz w:val="20"/>
          <w:szCs w:val="20"/>
        </w:rPr>
      </w:pPr>
    </w:p>
    <w:p w14:paraId="0BC9938D" w14:textId="77777777" w:rsidR="009F0928" w:rsidRDefault="009F0928">
      <w:pPr>
        <w:spacing w:line="288" w:lineRule="auto"/>
        <w:jc w:val="both"/>
        <w:rPr>
          <w:rFonts w:ascii="Times New Roman" w:hAnsi="Times New Roman"/>
          <w:sz w:val="20"/>
          <w:szCs w:val="20"/>
        </w:rPr>
      </w:pPr>
    </w:p>
    <w:p w14:paraId="0BC9938E" w14:textId="77777777" w:rsidR="009F0928" w:rsidRDefault="009F0928">
      <w:pPr>
        <w:rPr>
          <w:rFonts w:ascii="Times New Roman" w:hAnsi="Times New Roman"/>
          <w:sz w:val="20"/>
          <w:szCs w:val="20"/>
        </w:rPr>
      </w:pPr>
    </w:p>
    <w:p w14:paraId="0BC9938F"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F-17</w:t>
      </w:r>
    </w:p>
    <w:p w14:paraId="0BC99390" w14:textId="77777777" w:rsidR="009F0928" w:rsidRDefault="002112BD">
      <w:r>
        <w:rPr>
          <w:rFonts w:ascii="Times New Roman" w:hAnsi="Times New Roman"/>
          <w:sz w:val="18"/>
          <w:szCs w:val="18"/>
        </w:rPr>
        <w:pict w14:anchorId="0BC9B50B">
          <v:rect id="_x0000_i1103" style="width:415.3pt;height:1.5pt" o:hralign="center" o:hrstd="t" o:hr="t" fillcolor="#a0a0a0" stroked="f"/>
        </w:pict>
      </w:r>
    </w:p>
    <w:p w14:paraId="0BC99391" w14:textId="77777777" w:rsidR="009F0928" w:rsidRDefault="009F0928">
      <w:pPr>
        <w:spacing w:line="288" w:lineRule="auto"/>
        <w:rPr>
          <w:rFonts w:ascii="Times New Roman" w:hAnsi="Times New Roman"/>
          <w:sz w:val="20"/>
          <w:szCs w:val="20"/>
        </w:rPr>
      </w:pPr>
    </w:p>
    <w:p w14:paraId="0BC99392" w14:textId="77777777" w:rsidR="009F0928" w:rsidRDefault="009F0928">
      <w:pPr>
        <w:rPr>
          <w:rFonts w:ascii="Times New Roman" w:hAnsi="Times New Roman"/>
          <w:sz w:val="20"/>
          <w:szCs w:val="20"/>
        </w:rPr>
      </w:pPr>
    </w:p>
    <w:p w14:paraId="0BC99393"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Note 3 – Business Combinations</w:t>
      </w:r>
    </w:p>
    <w:p w14:paraId="0BC99394" w14:textId="77777777" w:rsidR="009F0928" w:rsidRDefault="009F0928">
      <w:pPr>
        <w:spacing w:line="288" w:lineRule="auto"/>
        <w:jc w:val="both"/>
        <w:rPr>
          <w:rFonts w:ascii="Times New Roman" w:hAnsi="Times New Roman"/>
          <w:sz w:val="20"/>
          <w:szCs w:val="20"/>
        </w:rPr>
      </w:pPr>
    </w:p>
    <w:p w14:paraId="0BC99395" w14:textId="77777777" w:rsidR="009F0928" w:rsidRDefault="002112BD">
      <w:pPr>
        <w:spacing w:line="288" w:lineRule="auto"/>
        <w:jc w:val="both"/>
        <w:rPr>
          <w:rFonts w:ascii="Times New Roman" w:hAnsi="Times New Roman"/>
          <w:sz w:val="20"/>
          <w:szCs w:val="20"/>
        </w:rPr>
      </w:pPr>
      <w:r>
        <w:rPr>
          <w:rFonts w:ascii="Arial" w:eastAsia="宋体" w:hAnsi="Arial" w:cs="Arial"/>
          <w:i/>
          <w:iCs/>
          <w:sz w:val="20"/>
          <w:szCs w:val="20"/>
        </w:rPr>
        <w:t>Business Combinations</w:t>
      </w:r>
    </w:p>
    <w:p w14:paraId="0BC99396" w14:textId="77777777" w:rsidR="009F0928" w:rsidRDefault="009F0928">
      <w:pPr>
        <w:spacing w:line="288" w:lineRule="auto"/>
        <w:jc w:val="both"/>
        <w:rPr>
          <w:rFonts w:ascii="Times New Roman" w:hAnsi="Times New Roman"/>
          <w:sz w:val="20"/>
          <w:szCs w:val="20"/>
        </w:rPr>
      </w:pPr>
    </w:p>
    <w:p w14:paraId="0BC9939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In February 2019, we completed our acquisition of the U.K.-based classifieds site, Motors.co.uk for $93 million in cash. We believe the acquisition will increase our international presence and give buyers access to more listings. </w:t>
      </w:r>
    </w:p>
    <w:p w14:paraId="0BC99398" w14:textId="77777777" w:rsidR="009F0928" w:rsidRDefault="009F0928">
      <w:pPr>
        <w:spacing w:line="288" w:lineRule="auto"/>
        <w:ind w:firstLine="720"/>
        <w:jc w:val="both"/>
        <w:rPr>
          <w:rFonts w:ascii="Times New Roman" w:hAnsi="Times New Roman"/>
          <w:sz w:val="20"/>
          <w:szCs w:val="20"/>
        </w:rPr>
      </w:pPr>
    </w:p>
    <w:p w14:paraId="0BC9939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aggregate purchase c</w:t>
      </w:r>
      <w:r>
        <w:rPr>
          <w:rFonts w:ascii="Arial" w:eastAsia="宋体" w:hAnsi="Arial" w:cs="Arial"/>
          <w:sz w:val="20"/>
          <w:szCs w:val="20"/>
        </w:rPr>
        <w:t>onsideration was allocated as follows (in millions):</w:t>
      </w:r>
    </w:p>
    <w:tbl>
      <w:tblPr>
        <w:tblW w:w="5000" w:type="pct"/>
        <w:jc w:val="center"/>
        <w:tblCellMar>
          <w:left w:w="0" w:type="dxa"/>
          <w:right w:w="0" w:type="dxa"/>
        </w:tblCellMar>
        <w:tblLook w:val="04A0" w:firstRow="1" w:lastRow="0" w:firstColumn="1" w:lastColumn="0" w:noHBand="0" w:noVBand="1"/>
      </w:tblPr>
      <w:tblGrid>
        <w:gridCol w:w="7048"/>
        <w:gridCol w:w="142"/>
        <w:gridCol w:w="1016"/>
        <w:gridCol w:w="100"/>
      </w:tblGrid>
      <w:tr w:rsidR="009F0928" w14:paraId="0BC9939B" w14:textId="77777777">
        <w:trPr>
          <w:jc w:val="center"/>
        </w:trPr>
        <w:tc>
          <w:tcPr>
            <w:tcW w:w="0" w:type="auto"/>
            <w:gridSpan w:val="4"/>
            <w:shd w:val="clear" w:color="auto" w:fill="auto"/>
            <w:vAlign w:val="center"/>
          </w:tcPr>
          <w:p w14:paraId="0BC9939A" w14:textId="77777777" w:rsidR="009F0928" w:rsidRDefault="009F0928">
            <w:pPr>
              <w:rPr>
                <w:rFonts w:ascii="Times New Roman" w:hAnsi="Times New Roman"/>
                <w:sz w:val="20"/>
                <w:szCs w:val="20"/>
              </w:rPr>
            </w:pPr>
          </w:p>
        </w:tc>
      </w:tr>
      <w:tr w:rsidR="009F0928" w14:paraId="0BC993A0" w14:textId="77777777">
        <w:trPr>
          <w:jc w:val="center"/>
        </w:trPr>
        <w:tc>
          <w:tcPr>
            <w:tcW w:w="4350" w:type="pct"/>
            <w:shd w:val="clear" w:color="auto" w:fill="auto"/>
            <w:vAlign w:val="center"/>
          </w:tcPr>
          <w:p w14:paraId="0BC9939C" w14:textId="77777777" w:rsidR="009F0928" w:rsidRDefault="009F0928">
            <w:pPr>
              <w:rPr>
                <w:rFonts w:ascii="Times New Roman" w:hAnsi="Times New Roman"/>
                <w:sz w:val="20"/>
                <w:szCs w:val="20"/>
              </w:rPr>
            </w:pPr>
          </w:p>
        </w:tc>
        <w:tc>
          <w:tcPr>
            <w:tcW w:w="50" w:type="pct"/>
            <w:shd w:val="clear" w:color="auto" w:fill="auto"/>
            <w:vAlign w:val="center"/>
          </w:tcPr>
          <w:p w14:paraId="0BC9939D" w14:textId="77777777" w:rsidR="009F0928" w:rsidRDefault="009F0928">
            <w:pPr>
              <w:rPr>
                <w:rFonts w:ascii="Times New Roman" w:hAnsi="Times New Roman"/>
                <w:sz w:val="20"/>
                <w:szCs w:val="20"/>
              </w:rPr>
            </w:pPr>
          </w:p>
        </w:tc>
        <w:tc>
          <w:tcPr>
            <w:tcW w:w="550" w:type="pct"/>
            <w:shd w:val="clear" w:color="auto" w:fill="auto"/>
            <w:vAlign w:val="center"/>
          </w:tcPr>
          <w:p w14:paraId="0BC9939E" w14:textId="77777777" w:rsidR="009F0928" w:rsidRDefault="009F0928">
            <w:pPr>
              <w:rPr>
                <w:rFonts w:ascii="Times New Roman" w:hAnsi="Times New Roman"/>
                <w:sz w:val="20"/>
                <w:szCs w:val="20"/>
              </w:rPr>
            </w:pPr>
          </w:p>
        </w:tc>
        <w:tc>
          <w:tcPr>
            <w:tcW w:w="50" w:type="pct"/>
            <w:shd w:val="clear" w:color="auto" w:fill="auto"/>
            <w:vAlign w:val="center"/>
          </w:tcPr>
          <w:p w14:paraId="0BC9939F" w14:textId="77777777" w:rsidR="009F0928" w:rsidRDefault="009F0928">
            <w:pPr>
              <w:rPr>
                <w:rFonts w:ascii="Times New Roman" w:hAnsi="Times New Roman"/>
                <w:sz w:val="20"/>
                <w:szCs w:val="20"/>
              </w:rPr>
            </w:pPr>
          </w:p>
        </w:tc>
      </w:tr>
      <w:tr w:rsidR="009F0928" w14:paraId="0BC993A3" w14:textId="77777777">
        <w:trPr>
          <w:jc w:val="center"/>
        </w:trPr>
        <w:tc>
          <w:tcPr>
            <w:tcW w:w="0" w:type="auto"/>
            <w:shd w:val="clear" w:color="auto" w:fill="auto"/>
            <w:tcMar>
              <w:top w:w="40" w:type="dxa"/>
              <w:left w:w="40" w:type="dxa"/>
              <w:bottom w:w="40" w:type="dxa"/>
              <w:right w:w="40" w:type="dxa"/>
            </w:tcMar>
            <w:vAlign w:val="bottom"/>
          </w:tcPr>
          <w:p w14:paraId="0BC993A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3A2"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Motors.co.uk</w:t>
            </w:r>
          </w:p>
        </w:tc>
      </w:tr>
      <w:tr w:rsidR="009F0928" w14:paraId="0BC993A8" w14:textId="77777777">
        <w:trPr>
          <w:jc w:val="center"/>
        </w:trPr>
        <w:tc>
          <w:tcPr>
            <w:tcW w:w="0" w:type="auto"/>
            <w:shd w:val="clear" w:color="auto" w:fill="E2E2E2"/>
            <w:tcMar>
              <w:top w:w="40" w:type="dxa"/>
              <w:left w:w="40" w:type="dxa"/>
              <w:bottom w:w="40" w:type="dxa"/>
              <w:right w:w="40" w:type="dxa"/>
            </w:tcMar>
            <w:vAlign w:val="bottom"/>
          </w:tcPr>
          <w:p w14:paraId="0BC993A4" w14:textId="77777777" w:rsidR="009F0928" w:rsidRDefault="002112BD">
            <w:pPr>
              <w:textAlignment w:val="bottom"/>
              <w:rPr>
                <w:rFonts w:ascii="Times New Roman" w:hAnsi="Times New Roman"/>
                <w:sz w:val="18"/>
                <w:szCs w:val="18"/>
              </w:rPr>
            </w:pPr>
            <w:r>
              <w:rPr>
                <w:rFonts w:ascii="Arial" w:eastAsia="宋体" w:hAnsi="Arial" w:cs="Arial"/>
                <w:sz w:val="18"/>
                <w:szCs w:val="18"/>
              </w:rPr>
              <w:t>Goodwill</w:t>
            </w:r>
          </w:p>
        </w:tc>
        <w:tc>
          <w:tcPr>
            <w:tcW w:w="0" w:type="auto"/>
            <w:shd w:val="clear" w:color="auto" w:fill="E2E2E2"/>
            <w:tcMar>
              <w:top w:w="40" w:type="dxa"/>
              <w:left w:w="40" w:type="dxa"/>
              <w:bottom w:w="40" w:type="dxa"/>
            </w:tcMar>
            <w:vAlign w:val="bottom"/>
          </w:tcPr>
          <w:p w14:paraId="0BC993A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3A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65</w:t>
            </w:r>
          </w:p>
        </w:tc>
        <w:tc>
          <w:tcPr>
            <w:tcW w:w="0" w:type="auto"/>
            <w:shd w:val="clear" w:color="auto" w:fill="E2E2E2"/>
            <w:vAlign w:val="bottom"/>
          </w:tcPr>
          <w:p w14:paraId="0BC993A7" w14:textId="77777777" w:rsidR="009F0928" w:rsidRDefault="009F0928">
            <w:pPr>
              <w:textAlignment w:val="bottom"/>
              <w:rPr>
                <w:rFonts w:ascii="Times New Roman" w:hAnsi="Times New Roman"/>
                <w:sz w:val="20"/>
                <w:szCs w:val="20"/>
              </w:rPr>
            </w:pPr>
          </w:p>
        </w:tc>
      </w:tr>
      <w:tr w:rsidR="009F0928" w14:paraId="0BC993AC" w14:textId="77777777">
        <w:trPr>
          <w:jc w:val="center"/>
        </w:trPr>
        <w:tc>
          <w:tcPr>
            <w:tcW w:w="0" w:type="auto"/>
            <w:shd w:val="clear" w:color="auto" w:fill="auto"/>
            <w:tcMar>
              <w:top w:w="40" w:type="dxa"/>
              <w:left w:w="40" w:type="dxa"/>
              <w:bottom w:w="40" w:type="dxa"/>
              <w:right w:w="40" w:type="dxa"/>
            </w:tcMar>
            <w:vAlign w:val="bottom"/>
          </w:tcPr>
          <w:p w14:paraId="0BC993A9" w14:textId="77777777" w:rsidR="009F0928" w:rsidRDefault="002112BD">
            <w:pPr>
              <w:textAlignment w:val="bottom"/>
              <w:rPr>
                <w:rFonts w:ascii="Times New Roman" w:hAnsi="Times New Roman"/>
                <w:sz w:val="18"/>
                <w:szCs w:val="18"/>
              </w:rPr>
            </w:pPr>
            <w:r>
              <w:rPr>
                <w:rFonts w:ascii="Arial" w:eastAsia="宋体" w:hAnsi="Arial" w:cs="Arial"/>
                <w:sz w:val="18"/>
                <w:szCs w:val="18"/>
              </w:rPr>
              <w:t>Purchased intangible assets</w:t>
            </w:r>
          </w:p>
        </w:tc>
        <w:tc>
          <w:tcPr>
            <w:tcW w:w="0" w:type="auto"/>
            <w:gridSpan w:val="2"/>
            <w:shd w:val="clear" w:color="auto" w:fill="auto"/>
            <w:tcMar>
              <w:top w:w="40" w:type="dxa"/>
              <w:left w:w="40" w:type="dxa"/>
              <w:bottom w:w="40" w:type="dxa"/>
            </w:tcMar>
            <w:vAlign w:val="bottom"/>
          </w:tcPr>
          <w:p w14:paraId="0BC993A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30</w:t>
            </w:r>
          </w:p>
        </w:tc>
        <w:tc>
          <w:tcPr>
            <w:tcW w:w="0" w:type="auto"/>
            <w:shd w:val="clear" w:color="auto" w:fill="auto"/>
            <w:vAlign w:val="bottom"/>
          </w:tcPr>
          <w:p w14:paraId="0BC993AB" w14:textId="77777777" w:rsidR="009F0928" w:rsidRDefault="009F0928">
            <w:pPr>
              <w:textAlignment w:val="bottom"/>
              <w:rPr>
                <w:rFonts w:ascii="Times New Roman" w:hAnsi="Times New Roman"/>
                <w:sz w:val="20"/>
                <w:szCs w:val="20"/>
              </w:rPr>
            </w:pPr>
          </w:p>
        </w:tc>
      </w:tr>
      <w:tr w:rsidR="009F0928" w14:paraId="0BC993B0" w14:textId="77777777">
        <w:trPr>
          <w:jc w:val="center"/>
        </w:trPr>
        <w:tc>
          <w:tcPr>
            <w:tcW w:w="0" w:type="auto"/>
            <w:shd w:val="clear" w:color="auto" w:fill="E2E2E2"/>
            <w:tcMar>
              <w:top w:w="40" w:type="dxa"/>
              <w:left w:w="40" w:type="dxa"/>
              <w:bottom w:w="40" w:type="dxa"/>
              <w:right w:w="40" w:type="dxa"/>
            </w:tcMar>
            <w:vAlign w:val="bottom"/>
          </w:tcPr>
          <w:p w14:paraId="0BC993AD" w14:textId="77777777" w:rsidR="009F0928" w:rsidRDefault="002112BD">
            <w:pPr>
              <w:textAlignment w:val="bottom"/>
              <w:rPr>
                <w:rFonts w:ascii="Times New Roman" w:hAnsi="Times New Roman"/>
                <w:sz w:val="18"/>
                <w:szCs w:val="18"/>
              </w:rPr>
            </w:pPr>
            <w:r>
              <w:rPr>
                <w:rFonts w:ascii="Arial" w:eastAsia="宋体" w:hAnsi="Arial" w:cs="Arial"/>
                <w:sz w:val="18"/>
                <w:szCs w:val="18"/>
              </w:rPr>
              <w:t>Net liabilities</w:t>
            </w:r>
          </w:p>
        </w:tc>
        <w:tc>
          <w:tcPr>
            <w:tcW w:w="0" w:type="auto"/>
            <w:gridSpan w:val="2"/>
            <w:shd w:val="clear" w:color="auto" w:fill="E2E2E2"/>
            <w:tcMar>
              <w:top w:w="40" w:type="dxa"/>
              <w:left w:w="40" w:type="dxa"/>
              <w:bottom w:w="40" w:type="dxa"/>
            </w:tcMar>
            <w:vAlign w:val="bottom"/>
          </w:tcPr>
          <w:p w14:paraId="0BC993A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w:t>
            </w:r>
          </w:p>
        </w:tc>
        <w:tc>
          <w:tcPr>
            <w:tcW w:w="0" w:type="auto"/>
            <w:shd w:val="clear" w:color="auto" w:fill="E2E2E2"/>
            <w:tcMar>
              <w:top w:w="40" w:type="dxa"/>
              <w:bottom w:w="40" w:type="dxa"/>
              <w:right w:w="40" w:type="dxa"/>
            </w:tcMar>
            <w:vAlign w:val="bottom"/>
          </w:tcPr>
          <w:p w14:paraId="0BC993A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93B5" w14:textId="77777777">
        <w:trPr>
          <w:jc w:val="center"/>
        </w:trPr>
        <w:tc>
          <w:tcPr>
            <w:tcW w:w="0" w:type="auto"/>
            <w:shd w:val="clear" w:color="auto" w:fill="auto"/>
            <w:tcMar>
              <w:top w:w="40" w:type="dxa"/>
              <w:left w:w="40" w:type="dxa"/>
              <w:bottom w:w="40" w:type="dxa"/>
              <w:right w:w="40" w:type="dxa"/>
            </w:tcMar>
            <w:vAlign w:val="bottom"/>
          </w:tcPr>
          <w:p w14:paraId="0BC993B1" w14:textId="77777777" w:rsidR="009F0928" w:rsidRDefault="002112BD">
            <w:pPr>
              <w:textAlignment w:val="bottom"/>
              <w:rPr>
                <w:rFonts w:ascii="Times New Roman" w:hAnsi="Times New Roman"/>
                <w:sz w:val="18"/>
                <w:szCs w:val="18"/>
              </w:rPr>
            </w:pPr>
            <w:r>
              <w:rPr>
                <w:rFonts w:ascii="Arial" w:eastAsia="宋体" w:hAnsi="Arial" w:cs="Arial"/>
                <w:sz w:val="18"/>
                <w:szCs w:val="18"/>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3B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3B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93</w:t>
            </w:r>
          </w:p>
        </w:tc>
        <w:tc>
          <w:tcPr>
            <w:tcW w:w="0" w:type="auto"/>
            <w:tcBorders>
              <w:top w:val="single" w:sz="8" w:space="0" w:color="000000"/>
              <w:bottom w:val="double" w:sz="6" w:space="0" w:color="000000"/>
            </w:tcBorders>
            <w:shd w:val="clear" w:color="auto" w:fill="auto"/>
            <w:vAlign w:val="bottom"/>
          </w:tcPr>
          <w:p w14:paraId="0BC993B4" w14:textId="77777777" w:rsidR="009F0928" w:rsidRDefault="009F0928">
            <w:pPr>
              <w:textAlignment w:val="bottom"/>
              <w:rPr>
                <w:rFonts w:ascii="Times New Roman" w:hAnsi="Times New Roman"/>
                <w:sz w:val="20"/>
                <w:szCs w:val="20"/>
              </w:rPr>
            </w:pPr>
          </w:p>
        </w:tc>
      </w:tr>
    </w:tbl>
    <w:p w14:paraId="0BC993B6" w14:textId="77777777" w:rsidR="009F0928" w:rsidRDefault="009F0928">
      <w:pPr>
        <w:spacing w:line="288" w:lineRule="auto"/>
        <w:jc w:val="center"/>
        <w:rPr>
          <w:rFonts w:ascii="Times New Roman" w:hAnsi="Times New Roman"/>
          <w:sz w:val="20"/>
          <w:szCs w:val="20"/>
        </w:rPr>
      </w:pPr>
    </w:p>
    <w:p w14:paraId="0BC993B7" w14:textId="77777777" w:rsidR="009F0928" w:rsidRDefault="009F0928">
      <w:pPr>
        <w:spacing w:line="288" w:lineRule="auto"/>
        <w:ind w:firstLine="720"/>
        <w:jc w:val="both"/>
        <w:rPr>
          <w:rFonts w:ascii="Times New Roman" w:hAnsi="Times New Roman"/>
          <w:sz w:val="20"/>
          <w:szCs w:val="20"/>
        </w:rPr>
      </w:pPr>
    </w:p>
    <w:p w14:paraId="0BC993B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These allocations were prepared on a preliminary basis and changes to these </w:t>
      </w:r>
      <w:r>
        <w:rPr>
          <w:rFonts w:ascii="Arial" w:eastAsia="宋体" w:hAnsi="Arial" w:cs="Arial"/>
          <w:sz w:val="20"/>
          <w:szCs w:val="20"/>
        </w:rPr>
        <w:t>allocations may occur as additional information becomes available. We assigned the goodwill to our Classifieds segment. The goodwill recognized is primarily attributable to expected synergies and the assembled workforce of Motors.co.uk. We generally do not</w:t>
      </w:r>
      <w:r>
        <w:rPr>
          <w:rFonts w:ascii="Arial" w:eastAsia="宋体" w:hAnsi="Arial" w:cs="Arial"/>
          <w:sz w:val="20"/>
          <w:szCs w:val="20"/>
        </w:rPr>
        <w:t xml:space="preserve"> expect goodwill to be deductible for income tax purposes.</w:t>
      </w:r>
    </w:p>
    <w:p w14:paraId="0BC993B9" w14:textId="77777777" w:rsidR="009F0928" w:rsidRDefault="009F0928">
      <w:pPr>
        <w:spacing w:line="288" w:lineRule="auto"/>
        <w:ind w:firstLine="720"/>
        <w:jc w:val="both"/>
        <w:rPr>
          <w:rFonts w:ascii="Times New Roman" w:hAnsi="Times New Roman"/>
          <w:sz w:val="20"/>
          <w:szCs w:val="20"/>
        </w:rPr>
      </w:pPr>
    </w:p>
    <w:p w14:paraId="0BC993BA"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2018, we completed the acquisition of 100% of Giosis Pte. Ltd.’s (“Giosis”) Japan business, including the Qoo10.jp platform, in exchange for $306 million in cash and the relinquishment of our e</w:t>
      </w:r>
      <w:r>
        <w:rPr>
          <w:rFonts w:ascii="Arial" w:eastAsia="宋体" w:hAnsi="Arial" w:cs="Arial"/>
          <w:sz w:val="20"/>
          <w:szCs w:val="20"/>
        </w:rPr>
        <w:t>xisting equity method investment in Giosis. We believe the acquisition allows us to offer Japanese consumers more inventory and grow our international presence. Refer to “Note 6</w:t>
      </w:r>
      <w:r>
        <w:rPr>
          <w:rFonts w:ascii="Times New Roman" w:eastAsia="宋体" w:hAnsi="Times New Roman"/>
          <w:sz w:val="20"/>
          <w:szCs w:val="20"/>
        </w:rPr>
        <w:t xml:space="preserve"> –</w:t>
      </w:r>
      <w:r>
        <w:rPr>
          <w:rFonts w:ascii="Arial" w:eastAsia="宋体" w:hAnsi="Arial" w:cs="Arial"/>
          <w:sz w:val="20"/>
          <w:szCs w:val="20"/>
        </w:rPr>
        <w:t xml:space="preserve"> Investments” for further details on the relinquishment of our equity method </w:t>
      </w:r>
      <w:r>
        <w:rPr>
          <w:rFonts w:ascii="Arial" w:eastAsia="宋体" w:hAnsi="Arial" w:cs="Arial"/>
          <w:sz w:val="20"/>
          <w:szCs w:val="20"/>
        </w:rPr>
        <w:t>investment in Giosis’ non-Japanese business. The aggregate purchase consideration was allocated as follows (in millions):</w:t>
      </w:r>
    </w:p>
    <w:tbl>
      <w:tblPr>
        <w:tblW w:w="5000" w:type="pct"/>
        <w:jc w:val="center"/>
        <w:tblCellMar>
          <w:left w:w="0" w:type="dxa"/>
          <w:right w:w="0" w:type="dxa"/>
        </w:tblCellMar>
        <w:tblLook w:val="04A0" w:firstRow="1" w:lastRow="0" w:firstColumn="1" w:lastColumn="0" w:noHBand="0" w:noVBand="1"/>
      </w:tblPr>
      <w:tblGrid>
        <w:gridCol w:w="7271"/>
        <w:gridCol w:w="142"/>
        <w:gridCol w:w="793"/>
        <w:gridCol w:w="100"/>
      </w:tblGrid>
      <w:tr w:rsidR="009F0928" w14:paraId="0BC993BC" w14:textId="77777777">
        <w:trPr>
          <w:jc w:val="center"/>
        </w:trPr>
        <w:tc>
          <w:tcPr>
            <w:tcW w:w="0" w:type="auto"/>
            <w:gridSpan w:val="4"/>
            <w:shd w:val="clear" w:color="auto" w:fill="auto"/>
            <w:vAlign w:val="center"/>
          </w:tcPr>
          <w:p w14:paraId="0BC993BB" w14:textId="77777777" w:rsidR="009F0928" w:rsidRDefault="009F0928">
            <w:pPr>
              <w:rPr>
                <w:rFonts w:ascii="Times New Roman" w:hAnsi="Times New Roman"/>
                <w:sz w:val="20"/>
                <w:szCs w:val="20"/>
              </w:rPr>
            </w:pPr>
          </w:p>
        </w:tc>
      </w:tr>
      <w:tr w:rsidR="009F0928" w14:paraId="0BC993C1" w14:textId="77777777">
        <w:trPr>
          <w:jc w:val="center"/>
        </w:trPr>
        <w:tc>
          <w:tcPr>
            <w:tcW w:w="4400" w:type="pct"/>
            <w:shd w:val="clear" w:color="auto" w:fill="auto"/>
            <w:vAlign w:val="center"/>
          </w:tcPr>
          <w:p w14:paraId="0BC993BD" w14:textId="77777777" w:rsidR="009F0928" w:rsidRDefault="009F0928">
            <w:pPr>
              <w:rPr>
                <w:rFonts w:ascii="Times New Roman" w:hAnsi="Times New Roman"/>
                <w:sz w:val="20"/>
                <w:szCs w:val="20"/>
              </w:rPr>
            </w:pPr>
          </w:p>
        </w:tc>
        <w:tc>
          <w:tcPr>
            <w:tcW w:w="50" w:type="pct"/>
            <w:shd w:val="clear" w:color="auto" w:fill="auto"/>
            <w:vAlign w:val="center"/>
          </w:tcPr>
          <w:p w14:paraId="0BC993BE" w14:textId="77777777" w:rsidR="009F0928" w:rsidRDefault="009F0928">
            <w:pPr>
              <w:rPr>
                <w:rFonts w:ascii="Times New Roman" w:hAnsi="Times New Roman"/>
                <w:sz w:val="20"/>
                <w:szCs w:val="20"/>
              </w:rPr>
            </w:pPr>
          </w:p>
        </w:tc>
        <w:tc>
          <w:tcPr>
            <w:tcW w:w="500" w:type="pct"/>
            <w:shd w:val="clear" w:color="auto" w:fill="auto"/>
            <w:vAlign w:val="center"/>
          </w:tcPr>
          <w:p w14:paraId="0BC993BF" w14:textId="77777777" w:rsidR="009F0928" w:rsidRDefault="009F0928">
            <w:pPr>
              <w:rPr>
                <w:rFonts w:ascii="Times New Roman" w:hAnsi="Times New Roman"/>
                <w:sz w:val="20"/>
                <w:szCs w:val="20"/>
              </w:rPr>
            </w:pPr>
          </w:p>
        </w:tc>
        <w:tc>
          <w:tcPr>
            <w:tcW w:w="50" w:type="pct"/>
            <w:shd w:val="clear" w:color="auto" w:fill="auto"/>
            <w:vAlign w:val="center"/>
          </w:tcPr>
          <w:p w14:paraId="0BC993C0" w14:textId="77777777" w:rsidR="009F0928" w:rsidRDefault="009F0928">
            <w:pPr>
              <w:rPr>
                <w:rFonts w:ascii="Times New Roman" w:hAnsi="Times New Roman"/>
                <w:sz w:val="20"/>
                <w:szCs w:val="20"/>
              </w:rPr>
            </w:pPr>
          </w:p>
        </w:tc>
      </w:tr>
      <w:tr w:rsidR="009F0928" w14:paraId="0BC993C4" w14:textId="77777777">
        <w:trPr>
          <w:jc w:val="center"/>
        </w:trPr>
        <w:tc>
          <w:tcPr>
            <w:tcW w:w="0" w:type="auto"/>
            <w:shd w:val="clear" w:color="auto" w:fill="auto"/>
            <w:tcMar>
              <w:top w:w="40" w:type="dxa"/>
              <w:left w:w="40" w:type="dxa"/>
              <w:bottom w:w="40" w:type="dxa"/>
              <w:right w:w="40" w:type="dxa"/>
            </w:tcMar>
            <w:vAlign w:val="bottom"/>
          </w:tcPr>
          <w:p w14:paraId="0BC993C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3C3"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Giosis</w:t>
            </w:r>
          </w:p>
        </w:tc>
      </w:tr>
      <w:tr w:rsidR="009F0928" w14:paraId="0BC993C9" w14:textId="77777777">
        <w:trPr>
          <w:jc w:val="center"/>
        </w:trPr>
        <w:tc>
          <w:tcPr>
            <w:tcW w:w="0" w:type="auto"/>
            <w:shd w:val="clear" w:color="auto" w:fill="E2E2E2"/>
            <w:tcMar>
              <w:top w:w="40" w:type="dxa"/>
              <w:left w:w="40" w:type="dxa"/>
              <w:bottom w:w="40" w:type="dxa"/>
              <w:right w:w="40" w:type="dxa"/>
            </w:tcMar>
            <w:vAlign w:val="bottom"/>
          </w:tcPr>
          <w:p w14:paraId="0BC993C5" w14:textId="77777777" w:rsidR="009F0928" w:rsidRDefault="002112BD">
            <w:pPr>
              <w:textAlignment w:val="bottom"/>
              <w:rPr>
                <w:rFonts w:ascii="Times New Roman" w:hAnsi="Times New Roman"/>
                <w:sz w:val="18"/>
                <w:szCs w:val="18"/>
              </w:rPr>
            </w:pPr>
            <w:r>
              <w:rPr>
                <w:rFonts w:ascii="Arial" w:eastAsia="宋体" w:hAnsi="Arial" w:cs="Arial"/>
                <w:sz w:val="18"/>
                <w:szCs w:val="18"/>
              </w:rPr>
              <w:t>Goodwill</w:t>
            </w:r>
          </w:p>
        </w:tc>
        <w:tc>
          <w:tcPr>
            <w:tcW w:w="0" w:type="auto"/>
            <w:shd w:val="clear" w:color="auto" w:fill="E2E2E2"/>
            <w:tcMar>
              <w:top w:w="40" w:type="dxa"/>
              <w:left w:w="40" w:type="dxa"/>
              <w:bottom w:w="40" w:type="dxa"/>
            </w:tcMar>
            <w:vAlign w:val="bottom"/>
          </w:tcPr>
          <w:p w14:paraId="0BC993C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3C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532</w:t>
            </w:r>
          </w:p>
        </w:tc>
        <w:tc>
          <w:tcPr>
            <w:tcW w:w="0" w:type="auto"/>
            <w:shd w:val="clear" w:color="auto" w:fill="E2E2E2"/>
            <w:vAlign w:val="bottom"/>
          </w:tcPr>
          <w:p w14:paraId="0BC993C8" w14:textId="77777777" w:rsidR="009F0928" w:rsidRDefault="009F0928">
            <w:pPr>
              <w:textAlignment w:val="bottom"/>
              <w:rPr>
                <w:rFonts w:ascii="Times New Roman" w:hAnsi="Times New Roman"/>
                <w:sz w:val="20"/>
                <w:szCs w:val="20"/>
              </w:rPr>
            </w:pPr>
          </w:p>
        </w:tc>
      </w:tr>
      <w:tr w:rsidR="009F0928" w14:paraId="0BC993CD" w14:textId="77777777">
        <w:trPr>
          <w:jc w:val="center"/>
        </w:trPr>
        <w:tc>
          <w:tcPr>
            <w:tcW w:w="0" w:type="auto"/>
            <w:shd w:val="clear" w:color="auto" w:fill="auto"/>
            <w:tcMar>
              <w:top w:w="40" w:type="dxa"/>
              <w:left w:w="40" w:type="dxa"/>
              <w:bottom w:w="40" w:type="dxa"/>
              <w:right w:w="40" w:type="dxa"/>
            </w:tcMar>
            <w:vAlign w:val="bottom"/>
          </w:tcPr>
          <w:p w14:paraId="0BC993CA" w14:textId="77777777" w:rsidR="009F0928" w:rsidRDefault="002112BD">
            <w:pPr>
              <w:textAlignment w:val="bottom"/>
              <w:rPr>
                <w:rFonts w:ascii="Times New Roman" w:hAnsi="Times New Roman"/>
                <w:sz w:val="18"/>
                <w:szCs w:val="18"/>
              </w:rPr>
            </w:pPr>
            <w:r>
              <w:rPr>
                <w:rFonts w:ascii="Arial" w:eastAsia="宋体" w:hAnsi="Arial" w:cs="Arial"/>
                <w:sz w:val="18"/>
                <w:szCs w:val="18"/>
              </w:rPr>
              <w:t>Purchased intangible assets</w:t>
            </w:r>
          </w:p>
        </w:tc>
        <w:tc>
          <w:tcPr>
            <w:tcW w:w="0" w:type="auto"/>
            <w:gridSpan w:val="2"/>
            <w:shd w:val="clear" w:color="auto" w:fill="auto"/>
            <w:tcMar>
              <w:top w:w="40" w:type="dxa"/>
              <w:left w:w="40" w:type="dxa"/>
              <w:bottom w:w="40" w:type="dxa"/>
            </w:tcMar>
            <w:vAlign w:val="bottom"/>
          </w:tcPr>
          <w:p w14:paraId="0BC993C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91</w:t>
            </w:r>
          </w:p>
        </w:tc>
        <w:tc>
          <w:tcPr>
            <w:tcW w:w="0" w:type="auto"/>
            <w:shd w:val="clear" w:color="auto" w:fill="auto"/>
            <w:vAlign w:val="bottom"/>
          </w:tcPr>
          <w:p w14:paraId="0BC993CC" w14:textId="77777777" w:rsidR="009F0928" w:rsidRDefault="009F0928">
            <w:pPr>
              <w:textAlignment w:val="bottom"/>
              <w:rPr>
                <w:rFonts w:ascii="Times New Roman" w:hAnsi="Times New Roman"/>
                <w:sz w:val="20"/>
                <w:szCs w:val="20"/>
              </w:rPr>
            </w:pPr>
          </w:p>
        </w:tc>
      </w:tr>
      <w:tr w:rsidR="009F0928" w14:paraId="0BC993D1" w14:textId="77777777">
        <w:trPr>
          <w:jc w:val="center"/>
        </w:trPr>
        <w:tc>
          <w:tcPr>
            <w:tcW w:w="0" w:type="auto"/>
            <w:shd w:val="clear" w:color="auto" w:fill="E2E2E2"/>
            <w:tcMar>
              <w:top w:w="40" w:type="dxa"/>
              <w:left w:w="40" w:type="dxa"/>
              <w:bottom w:w="40" w:type="dxa"/>
              <w:right w:w="40" w:type="dxa"/>
            </w:tcMar>
            <w:vAlign w:val="bottom"/>
          </w:tcPr>
          <w:p w14:paraId="0BC993CE" w14:textId="77777777" w:rsidR="009F0928" w:rsidRDefault="002112BD">
            <w:pPr>
              <w:textAlignment w:val="bottom"/>
              <w:rPr>
                <w:rFonts w:ascii="Times New Roman" w:hAnsi="Times New Roman"/>
                <w:sz w:val="18"/>
                <w:szCs w:val="18"/>
              </w:rPr>
            </w:pPr>
            <w:r>
              <w:rPr>
                <w:rFonts w:ascii="Arial" w:eastAsia="宋体" w:hAnsi="Arial" w:cs="Arial"/>
                <w:sz w:val="18"/>
                <w:szCs w:val="18"/>
              </w:rPr>
              <w:t>Net liabilities</w:t>
            </w:r>
          </w:p>
        </w:tc>
        <w:tc>
          <w:tcPr>
            <w:tcW w:w="0" w:type="auto"/>
            <w:gridSpan w:val="2"/>
            <w:shd w:val="clear" w:color="auto" w:fill="E2E2E2"/>
            <w:tcMar>
              <w:top w:w="40" w:type="dxa"/>
              <w:left w:w="40" w:type="dxa"/>
              <w:bottom w:w="40" w:type="dxa"/>
            </w:tcMar>
            <w:vAlign w:val="bottom"/>
          </w:tcPr>
          <w:p w14:paraId="0BC993C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(50</w:t>
            </w:r>
          </w:p>
        </w:tc>
        <w:tc>
          <w:tcPr>
            <w:tcW w:w="0" w:type="auto"/>
            <w:shd w:val="clear" w:color="auto" w:fill="E2E2E2"/>
            <w:tcMar>
              <w:top w:w="40" w:type="dxa"/>
              <w:bottom w:w="40" w:type="dxa"/>
              <w:right w:w="40" w:type="dxa"/>
            </w:tcMar>
            <w:vAlign w:val="bottom"/>
          </w:tcPr>
          <w:p w14:paraId="0BC993D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93D6" w14:textId="77777777">
        <w:trPr>
          <w:jc w:val="center"/>
        </w:trPr>
        <w:tc>
          <w:tcPr>
            <w:tcW w:w="0" w:type="auto"/>
            <w:shd w:val="clear" w:color="auto" w:fill="auto"/>
            <w:tcMar>
              <w:top w:w="40" w:type="dxa"/>
              <w:left w:w="40" w:type="dxa"/>
              <w:bottom w:w="40" w:type="dxa"/>
              <w:right w:w="40" w:type="dxa"/>
            </w:tcMar>
            <w:vAlign w:val="bottom"/>
          </w:tcPr>
          <w:p w14:paraId="0BC993D2" w14:textId="77777777" w:rsidR="009F0928" w:rsidRDefault="002112BD">
            <w:pPr>
              <w:textAlignment w:val="bottom"/>
              <w:rPr>
                <w:rFonts w:ascii="Times New Roman" w:hAnsi="Times New Roman"/>
                <w:sz w:val="18"/>
                <w:szCs w:val="18"/>
              </w:rPr>
            </w:pPr>
            <w:r>
              <w:rPr>
                <w:rFonts w:ascii="Arial" w:eastAsia="宋体" w:hAnsi="Arial" w:cs="Arial"/>
                <w:sz w:val="18"/>
                <w:szCs w:val="18"/>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3D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3D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573</w:t>
            </w:r>
          </w:p>
        </w:tc>
        <w:tc>
          <w:tcPr>
            <w:tcW w:w="0" w:type="auto"/>
            <w:tcBorders>
              <w:top w:val="single" w:sz="8" w:space="0" w:color="000000"/>
              <w:bottom w:val="double" w:sz="6" w:space="0" w:color="000000"/>
            </w:tcBorders>
            <w:shd w:val="clear" w:color="auto" w:fill="auto"/>
            <w:vAlign w:val="bottom"/>
          </w:tcPr>
          <w:p w14:paraId="0BC993D5" w14:textId="77777777" w:rsidR="009F0928" w:rsidRDefault="009F0928">
            <w:pPr>
              <w:textAlignment w:val="bottom"/>
              <w:rPr>
                <w:rFonts w:ascii="Times New Roman" w:hAnsi="Times New Roman"/>
                <w:sz w:val="20"/>
                <w:szCs w:val="20"/>
              </w:rPr>
            </w:pPr>
          </w:p>
        </w:tc>
      </w:tr>
    </w:tbl>
    <w:p w14:paraId="0BC993D7" w14:textId="77777777" w:rsidR="009F0928" w:rsidRDefault="009F0928">
      <w:pPr>
        <w:spacing w:line="288" w:lineRule="auto"/>
        <w:jc w:val="center"/>
        <w:rPr>
          <w:rFonts w:ascii="Times New Roman" w:hAnsi="Times New Roman"/>
          <w:sz w:val="20"/>
          <w:szCs w:val="20"/>
        </w:rPr>
      </w:pPr>
    </w:p>
    <w:p w14:paraId="0BC993D8" w14:textId="77777777" w:rsidR="009F0928" w:rsidRDefault="009F0928">
      <w:pPr>
        <w:spacing w:line="288" w:lineRule="auto"/>
        <w:ind w:firstLine="720"/>
        <w:jc w:val="both"/>
        <w:rPr>
          <w:rFonts w:ascii="Times New Roman" w:hAnsi="Times New Roman"/>
          <w:sz w:val="20"/>
          <w:szCs w:val="20"/>
        </w:rPr>
      </w:pPr>
    </w:p>
    <w:p w14:paraId="0BC993D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goodwill </w:t>
      </w:r>
      <w:r>
        <w:rPr>
          <w:rFonts w:ascii="Arial" w:eastAsia="宋体" w:hAnsi="Arial" w:cs="Arial"/>
          <w:sz w:val="20"/>
          <w:szCs w:val="20"/>
        </w:rPr>
        <w:t>recognized is primarily attributable to expected synergies and the assembled workforce of Giosis. We have assigned the goodwill to our Marketplace segment. We generally do not expect goodwill to be deductible for income tax purposes.</w:t>
      </w:r>
    </w:p>
    <w:p w14:paraId="0BC993DA" w14:textId="77777777" w:rsidR="009F0928" w:rsidRDefault="009F0928">
      <w:pPr>
        <w:spacing w:line="288" w:lineRule="auto"/>
        <w:ind w:firstLine="720"/>
        <w:jc w:val="both"/>
        <w:rPr>
          <w:rFonts w:ascii="Times New Roman" w:hAnsi="Times New Roman"/>
          <w:sz w:val="20"/>
          <w:szCs w:val="20"/>
        </w:rPr>
      </w:pPr>
    </w:p>
    <w:p w14:paraId="0BC993D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Acquisition activity in 2017 was immaterial. </w:t>
      </w:r>
    </w:p>
    <w:p w14:paraId="0BC993DC" w14:textId="77777777" w:rsidR="009F0928" w:rsidRDefault="009F0928">
      <w:pPr>
        <w:spacing w:line="288" w:lineRule="auto"/>
        <w:jc w:val="both"/>
        <w:rPr>
          <w:rFonts w:ascii="Times New Roman" w:hAnsi="Times New Roman"/>
          <w:sz w:val="20"/>
          <w:szCs w:val="20"/>
        </w:rPr>
      </w:pPr>
    </w:p>
    <w:p w14:paraId="0BC993D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Our consolidated financial statements include the operating results of acquired businesses from the date of acquisition. Separate operating results and pro forma results of operations for the acquisition above</w:t>
      </w:r>
      <w:r>
        <w:rPr>
          <w:rFonts w:ascii="Arial" w:eastAsia="宋体" w:hAnsi="Arial" w:cs="Arial"/>
          <w:sz w:val="20"/>
          <w:szCs w:val="20"/>
        </w:rPr>
        <w:t xml:space="preserve"> have not been presented as the effect of these acquisitions is not material to our financial results.</w:t>
      </w:r>
    </w:p>
    <w:p w14:paraId="0BC993DE" w14:textId="77777777" w:rsidR="009F0928" w:rsidRDefault="009F0928">
      <w:pPr>
        <w:spacing w:line="288" w:lineRule="auto"/>
        <w:jc w:val="both"/>
        <w:rPr>
          <w:rFonts w:ascii="Times New Roman" w:hAnsi="Times New Roman"/>
          <w:sz w:val="20"/>
          <w:szCs w:val="20"/>
        </w:rPr>
      </w:pPr>
    </w:p>
    <w:p w14:paraId="0BC993DF"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 xml:space="preserve">Note 4 – Goodwill and Intangible Assets </w:t>
      </w:r>
    </w:p>
    <w:p w14:paraId="0BC993E0" w14:textId="77777777" w:rsidR="009F0928" w:rsidRDefault="009F0928">
      <w:pPr>
        <w:spacing w:line="288" w:lineRule="auto"/>
        <w:jc w:val="both"/>
        <w:rPr>
          <w:rFonts w:ascii="Times New Roman" w:hAnsi="Times New Roman"/>
          <w:sz w:val="20"/>
          <w:szCs w:val="20"/>
        </w:rPr>
      </w:pPr>
    </w:p>
    <w:p w14:paraId="0BC993E1"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Goodwill</w:t>
      </w:r>
    </w:p>
    <w:p w14:paraId="0BC993E2" w14:textId="77777777" w:rsidR="009F0928" w:rsidRDefault="009F0928">
      <w:pPr>
        <w:spacing w:line="288" w:lineRule="auto"/>
        <w:jc w:val="both"/>
        <w:rPr>
          <w:rFonts w:ascii="Times New Roman" w:hAnsi="Times New Roman"/>
          <w:sz w:val="20"/>
          <w:szCs w:val="20"/>
        </w:rPr>
      </w:pPr>
    </w:p>
    <w:p w14:paraId="0BC993E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table presents goodwill activity by reportable segment for the years ended December 31</w:t>
      </w:r>
      <w:r>
        <w:rPr>
          <w:rFonts w:ascii="Arial" w:eastAsia="宋体" w:hAnsi="Arial" w:cs="Arial"/>
          <w:sz w:val="20"/>
          <w:szCs w:val="20"/>
        </w:rPr>
        <w:t>, 2019 and 2018 (in millions):</w:t>
      </w:r>
    </w:p>
    <w:tbl>
      <w:tblPr>
        <w:tblW w:w="5000" w:type="pct"/>
        <w:jc w:val="center"/>
        <w:tblCellMar>
          <w:left w:w="0" w:type="dxa"/>
          <w:right w:w="0" w:type="dxa"/>
        </w:tblCellMar>
        <w:tblLook w:val="04A0" w:firstRow="1" w:lastRow="0" w:firstColumn="1" w:lastColumn="0" w:noHBand="0" w:noVBand="1"/>
      </w:tblPr>
      <w:tblGrid>
        <w:gridCol w:w="886"/>
        <w:gridCol w:w="126"/>
        <w:gridCol w:w="854"/>
        <w:gridCol w:w="77"/>
        <w:gridCol w:w="125"/>
        <w:gridCol w:w="125"/>
        <w:gridCol w:w="558"/>
        <w:gridCol w:w="69"/>
        <w:gridCol w:w="125"/>
        <w:gridCol w:w="125"/>
        <w:gridCol w:w="787"/>
        <w:gridCol w:w="89"/>
        <w:gridCol w:w="125"/>
        <w:gridCol w:w="125"/>
        <w:gridCol w:w="854"/>
        <w:gridCol w:w="77"/>
        <w:gridCol w:w="125"/>
        <w:gridCol w:w="125"/>
        <w:gridCol w:w="558"/>
        <w:gridCol w:w="69"/>
        <w:gridCol w:w="125"/>
        <w:gridCol w:w="125"/>
        <w:gridCol w:w="787"/>
        <w:gridCol w:w="89"/>
        <w:gridCol w:w="125"/>
        <w:gridCol w:w="125"/>
        <w:gridCol w:w="842"/>
        <w:gridCol w:w="84"/>
      </w:tblGrid>
      <w:tr w:rsidR="009F0928" w14:paraId="0BC993E5" w14:textId="77777777">
        <w:trPr>
          <w:jc w:val="center"/>
        </w:trPr>
        <w:tc>
          <w:tcPr>
            <w:tcW w:w="0" w:type="auto"/>
            <w:gridSpan w:val="28"/>
            <w:shd w:val="clear" w:color="auto" w:fill="auto"/>
            <w:vAlign w:val="center"/>
          </w:tcPr>
          <w:p w14:paraId="0BC993E4" w14:textId="77777777" w:rsidR="009F0928" w:rsidRDefault="009F0928">
            <w:pPr>
              <w:rPr>
                <w:rFonts w:ascii="Times New Roman" w:hAnsi="Times New Roman"/>
                <w:sz w:val="20"/>
                <w:szCs w:val="20"/>
              </w:rPr>
            </w:pPr>
          </w:p>
        </w:tc>
      </w:tr>
      <w:tr w:rsidR="009F0928" w14:paraId="0BC99402" w14:textId="77777777">
        <w:trPr>
          <w:jc w:val="center"/>
        </w:trPr>
        <w:tc>
          <w:tcPr>
            <w:tcW w:w="600" w:type="pct"/>
            <w:shd w:val="clear" w:color="auto" w:fill="auto"/>
            <w:vAlign w:val="center"/>
          </w:tcPr>
          <w:p w14:paraId="0BC993E6" w14:textId="77777777" w:rsidR="009F0928" w:rsidRDefault="009F0928">
            <w:pPr>
              <w:rPr>
                <w:rFonts w:ascii="Times New Roman" w:hAnsi="Times New Roman"/>
                <w:sz w:val="20"/>
                <w:szCs w:val="20"/>
              </w:rPr>
            </w:pPr>
          </w:p>
        </w:tc>
        <w:tc>
          <w:tcPr>
            <w:tcW w:w="50" w:type="pct"/>
            <w:shd w:val="clear" w:color="auto" w:fill="auto"/>
            <w:vAlign w:val="center"/>
          </w:tcPr>
          <w:p w14:paraId="0BC993E7" w14:textId="77777777" w:rsidR="009F0928" w:rsidRDefault="009F0928">
            <w:pPr>
              <w:rPr>
                <w:rFonts w:ascii="Times New Roman" w:hAnsi="Times New Roman"/>
                <w:sz w:val="20"/>
                <w:szCs w:val="20"/>
              </w:rPr>
            </w:pPr>
          </w:p>
        </w:tc>
        <w:tc>
          <w:tcPr>
            <w:tcW w:w="550" w:type="pct"/>
            <w:shd w:val="clear" w:color="auto" w:fill="auto"/>
            <w:vAlign w:val="center"/>
          </w:tcPr>
          <w:p w14:paraId="0BC993E8" w14:textId="77777777" w:rsidR="009F0928" w:rsidRDefault="009F0928">
            <w:pPr>
              <w:rPr>
                <w:rFonts w:ascii="Times New Roman" w:hAnsi="Times New Roman"/>
                <w:sz w:val="20"/>
                <w:szCs w:val="20"/>
              </w:rPr>
            </w:pPr>
          </w:p>
        </w:tc>
        <w:tc>
          <w:tcPr>
            <w:tcW w:w="50" w:type="pct"/>
            <w:shd w:val="clear" w:color="auto" w:fill="auto"/>
            <w:vAlign w:val="center"/>
          </w:tcPr>
          <w:p w14:paraId="0BC993E9" w14:textId="77777777" w:rsidR="009F0928" w:rsidRDefault="009F0928">
            <w:pPr>
              <w:rPr>
                <w:rFonts w:ascii="Times New Roman" w:hAnsi="Times New Roman"/>
                <w:sz w:val="20"/>
                <w:szCs w:val="20"/>
              </w:rPr>
            </w:pPr>
          </w:p>
        </w:tc>
        <w:tc>
          <w:tcPr>
            <w:tcW w:w="50" w:type="pct"/>
            <w:shd w:val="clear" w:color="auto" w:fill="auto"/>
            <w:vAlign w:val="center"/>
          </w:tcPr>
          <w:p w14:paraId="0BC993EA" w14:textId="77777777" w:rsidR="009F0928" w:rsidRDefault="009F0928">
            <w:pPr>
              <w:rPr>
                <w:rFonts w:ascii="Times New Roman" w:hAnsi="Times New Roman"/>
                <w:sz w:val="20"/>
                <w:szCs w:val="20"/>
              </w:rPr>
            </w:pPr>
          </w:p>
        </w:tc>
        <w:tc>
          <w:tcPr>
            <w:tcW w:w="50" w:type="pct"/>
            <w:shd w:val="clear" w:color="auto" w:fill="auto"/>
            <w:vAlign w:val="center"/>
          </w:tcPr>
          <w:p w14:paraId="0BC993EB" w14:textId="77777777" w:rsidR="009F0928" w:rsidRDefault="009F0928">
            <w:pPr>
              <w:rPr>
                <w:rFonts w:ascii="Times New Roman" w:hAnsi="Times New Roman"/>
                <w:sz w:val="20"/>
                <w:szCs w:val="20"/>
              </w:rPr>
            </w:pPr>
          </w:p>
        </w:tc>
        <w:tc>
          <w:tcPr>
            <w:tcW w:w="400" w:type="pct"/>
            <w:shd w:val="clear" w:color="auto" w:fill="auto"/>
            <w:vAlign w:val="center"/>
          </w:tcPr>
          <w:p w14:paraId="0BC993EC" w14:textId="77777777" w:rsidR="009F0928" w:rsidRDefault="009F0928">
            <w:pPr>
              <w:rPr>
                <w:rFonts w:ascii="Times New Roman" w:hAnsi="Times New Roman"/>
                <w:sz w:val="20"/>
                <w:szCs w:val="20"/>
              </w:rPr>
            </w:pPr>
          </w:p>
        </w:tc>
        <w:tc>
          <w:tcPr>
            <w:tcW w:w="50" w:type="pct"/>
            <w:shd w:val="clear" w:color="auto" w:fill="auto"/>
            <w:vAlign w:val="center"/>
          </w:tcPr>
          <w:p w14:paraId="0BC993ED" w14:textId="77777777" w:rsidR="009F0928" w:rsidRDefault="009F0928">
            <w:pPr>
              <w:rPr>
                <w:rFonts w:ascii="Times New Roman" w:hAnsi="Times New Roman"/>
                <w:sz w:val="20"/>
                <w:szCs w:val="20"/>
              </w:rPr>
            </w:pPr>
          </w:p>
        </w:tc>
        <w:tc>
          <w:tcPr>
            <w:tcW w:w="50" w:type="pct"/>
            <w:shd w:val="clear" w:color="auto" w:fill="auto"/>
            <w:vAlign w:val="center"/>
          </w:tcPr>
          <w:p w14:paraId="0BC993EE" w14:textId="77777777" w:rsidR="009F0928" w:rsidRDefault="009F0928">
            <w:pPr>
              <w:rPr>
                <w:rFonts w:ascii="Times New Roman" w:hAnsi="Times New Roman"/>
                <w:sz w:val="20"/>
                <w:szCs w:val="20"/>
              </w:rPr>
            </w:pPr>
          </w:p>
        </w:tc>
        <w:tc>
          <w:tcPr>
            <w:tcW w:w="50" w:type="pct"/>
            <w:shd w:val="clear" w:color="auto" w:fill="auto"/>
            <w:vAlign w:val="center"/>
          </w:tcPr>
          <w:p w14:paraId="0BC993EF" w14:textId="77777777" w:rsidR="009F0928" w:rsidRDefault="009F0928">
            <w:pPr>
              <w:rPr>
                <w:rFonts w:ascii="Times New Roman" w:hAnsi="Times New Roman"/>
                <w:sz w:val="20"/>
                <w:szCs w:val="20"/>
              </w:rPr>
            </w:pPr>
          </w:p>
        </w:tc>
        <w:tc>
          <w:tcPr>
            <w:tcW w:w="500" w:type="pct"/>
            <w:shd w:val="clear" w:color="auto" w:fill="auto"/>
            <w:vAlign w:val="center"/>
          </w:tcPr>
          <w:p w14:paraId="0BC993F0" w14:textId="77777777" w:rsidR="009F0928" w:rsidRDefault="009F0928">
            <w:pPr>
              <w:rPr>
                <w:rFonts w:ascii="Times New Roman" w:hAnsi="Times New Roman"/>
                <w:sz w:val="20"/>
                <w:szCs w:val="20"/>
              </w:rPr>
            </w:pPr>
          </w:p>
        </w:tc>
        <w:tc>
          <w:tcPr>
            <w:tcW w:w="50" w:type="pct"/>
            <w:shd w:val="clear" w:color="auto" w:fill="auto"/>
            <w:vAlign w:val="center"/>
          </w:tcPr>
          <w:p w14:paraId="0BC993F1" w14:textId="77777777" w:rsidR="009F0928" w:rsidRDefault="009F0928">
            <w:pPr>
              <w:rPr>
                <w:rFonts w:ascii="Times New Roman" w:hAnsi="Times New Roman"/>
                <w:sz w:val="20"/>
                <w:szCs w:val="20"/>
              </w:rPr>
            </w:pPr>
          </w:p>
        </w:tc>
        <w:tc>
          <w:tcPr>
            <w:tcW w:w="50" w:type="pct"/>
            <w:shd w:val="clear" w:color="auto" w:fill="auto"/>
            <w:vAlign w:val="center"/>
          </w:tcPr>
          <w:p w14:paraId="0BC993F2" w14:textId="77777777" w:rsidR="009F0928" w:rsidRDefault="009F0928">
            <w:pPr>
              <w:rPr>
                <w:rFonts w:ascii="Times New Roman" w:hAnsi="Times New Roman"/>
                <w:sz w:val="20"/>
                <w:szCs w:val="20"/>
              </w:rPr>
            </w:pPr>
          </w:p>
        </w:tc>
        <w:tc>
          <w:tcPr>
            <w:tcW w:w="50" w:type="pct"/>
            <w:shd w:val="clear" w:color="auto" w:fill="auto"/>
            <w:vAlign w:val="center"/>
          </w:tcPr>
          <w:p w14:paraId="0BC993F3" w14:textId="77777777" w:rsidR="009F0928" w:rsidRDefault="009F0928">
            <w:pPr>
              <w:rPr>
                <w:rFonts w:ascii="Times New Roman" w:hAnsi="Times New Roman"/>
                <w:sz w:val="20"/>
                <w:szCs w:val="20"/>
              </w:rPr>
            </w:pPr>
          </w:p>
        </w:tc>
        <w:tc>
          <w:tcPr>
            <w:tcW w:w="550" w:type="pct"/>
            <w:shd w:val="clear" w:color="auto" w:fill="auto"/>
            <w:vAlign w:val="center"/>
          </w:tcPr>
          <w:p w14:paraId="0BC993F4" w14:textId="77777777" w:rsidR="009F0928" w:rsidRDefault="009F0928">
            <w:pPr>
              <w:rPr>
                <w:rFonts w:ascii="Times New Roman" w:hAnsi="Times New Roman"/>
                <w:sz w:val="20"/>
                <w:szCs w:val="20"/>
              </w:rPr>
            </w:pPr>
          </w:p>
        </w:tc>
        <w:tc>
          <w:tcPr>
            <w:tcW w:w="50" w:type="pct"/>
            <w:shd w:val="clear" w:color="auto" w:fill="auto"/>
            <w:vAlign w:val="center"/>
          </w:tcPr>
          <w:p w14:paraId="0BC993F5" w14:textId="77777777" w:rsidR="009F0928" w:rsidRDefault="009F0928">
            <w:pPr>
              <w:rPr>
                <w:rFonts w:ascii="Times New Roman" w:hAnsi="Times New Roman"/>
                <w:sz w:val="20"/>
                <w:szCs w:val="20"/>
              </w:rPr>
            </w:pPr>
          </w:p>
        </w:tc>
        <w:tc>
          <w:tcPr>
            <w:tcW w:w="50" w:type="pct"/>
            <w:shd w:val="clear" w:color="auto" w:fill="auto"/>
            <w:vAlign w:val="center"/>
          </w:tcPr>
          <w:p w14:paraId="0BC993F6" w14:textId="77777777" w:rsidR="009F0928" w:rsidRDefault="009F0928">
            <w:pPr>
              <w:rPr>
                <w:rFonts w:ascii="Times New Roman" w:hAnsi="Times New Roman"/>
                <w:sz w:val="20"/>
                <w:szCs w:val="20"/>
              </w:rPr>
            </w:pPr>
          </w:p>
        </w:tc>
        <w:tc>
          <w:tcPr>
            <w:tcW w:w="50" w:type="pct"/>
            <w:shd w:val="clear" w:color="auto" w:fill="auto"/>
            <w:vAlign w:val="center"/>
          </w:tcPr>
          <w:p w14:paraId="0BC993F7" w14:textId="77777777" w:rsidR="009F0928" w:rsidRDefault="009F0928">
            <w:pPr>
              <w:rPr>
                <w:rFonts w:ascii="Times New Roman" w:hAnsi="Times New Roman"/>
                <w:sz w:val="20"/>
                <w:szCs w:val="20"/>
              </w:rPr>
            </w:pPr>
          </w:p>
        </w:tc>
        <w:tc>
          <w:tcPr>
            <w:tcW w:w="400" w:type="pct"/>
            <w:shd w:val="clear" w:color="auto" w:fill="auto"/>
            <w:vAlign w:val="center"/>
          </w:tcPr>
          <w:p w14:paraId="0BC993F8" w14:textId="77777777" w:rsidR="009F0928" w:rsidRDefault="009F0928">
            <w:pPr>
              <w:rPr>
                <w:rFonts w:ascii="Times New Roman" w:hAnsi="Times New Roman"/>
                <w:sz w:val="20"/>
                <w:szCs w:val="20"/>
              </w:rPr>
            </w:pPr>
          </w:p>
        </w:tc>
        <w:tc>
          <w:tcPr>
            <w:tcW w:w="50" w:type="pct"/>
            <w:shd w:val="clear" w:color="auto" w:fill="auto"/>
            <w:vAlign w:val="center"/>
          </w:tcPr>
          <w:p w14:paraId="0BC993F9" w14:textId="77777777" w:rsidR="009F0928" w:rsidRDefault="009F0928">
            <w:pPr>
              <w:rPr>
                <w:rFonts w:ascii="Times New Roman" w:hAnsi="Times New Roman"/>
                <w:sz w:val="20"/>
                <w:szCs w:val="20"/>
              </w:rPr>
            </w:pPr>
          </w:p>
        </w:tc>
        <w:tc>
          <w:tcPr>
            <w:tcW w:w="50" w:type="pct"/>
            <w:shd w:val="clear" w:color="auto" w:fill="auto"/>
            <w:vAlign w:val="center"/>
          </w:tcPr>
          <w:p w14:paraId="0BC993FA" w14:textId="77777777" w:rsidR="009F0928" w:rsidRDefault="009F0928">
            <w:pPr>
              <w:rPr>
                <w:rFonts w:ascii="Times New Roman" w:hAnsi="Times New Roman"/>
                <w:sz w:val="20"/>
                <w:szCs w:val="20"/>
              </w:rPr>
            </w:pPr>
          </w:p>
        </w:tc>
        <w:tc>
          <w:tcPr>
            <w:tcW w:w="50" w:type="pct"/>
            <w:shd w:val="clear" w:color="auto" w:fill="auto"/>
            <w:vAlign w:val="center"/>
          </w:tcPr>
          <w:p w14:paraId="0BC993FB" w14:textId="77777777" w:rsidR="009F0928" w:rsidRDefault="009F0928">
            <w:pPr>
              <w:rPr>
                <w:rFonts w:ascii="Times New Roman" w:hAnsi="Times New Roman"/>
                <w:sz w:val="20"/>
                <w:szCs w:val="20"/>
              </w:rPr>
            </w:pPr>
          </w:p>
        </w:tc>
        <w:tc>
          <w:tcPr>
            <w:tcW w:w="500" w:type="pct"/>
            <w:shd w:val="clear" w:color="auto" w:fill="auto"/>
            <w:vAlign w:val="center"/>
          </w:tcPr>
          <w:p w14:paraId="0BC993FC" w14:textId="77777777" w:rsidR="009F0928" w:rsidRDefault="009F0928">
            <w:pPr>
              <w:rPr>
                <w:rFonts w:ascii="Times New Roman" w:hAnsi="Times New Roman"/>
                <w:sz w:val="20"/>
                <w:szCs w:val="20"/>
              </w:rPr>
            </w:pPr>
          </w:p>
        </w:tc>
        <w:tc>
          <w:tcPr>
            <w:tcW w:w="50" w:type="pct"/>
            <w:shd w:val="clear" w:color="auto" w:fill="auto"/>
            <w:vAlign w:val="center"/>
          </w:tcPr>
          <w:p w14:paraId="0BC993FD" w14:textId="77777777" w:rsidR="009F0928" w:rsidRDefault="009F0928">
            <w:pPr>
              <w:rPr>
                <w:rFonts w:ascii="Times New Roman" w:hAnsi="Times New Roman"/>
                <w:sz w:val="20"/>
                <w:szCs w:val="20"/>
              </w:rPr>
            </w:pPr>
          </w:p>
        </w:tc>
        <w:tc>
          <w:tcPr>
            <w:tcW w:w="50" w:type="pct"/>
            <w:shd w:val="clear" w:color="auto" w:fill="auto"/>
            <w:vAlign w:val="center"/>
          </w:tcPr>
          <w:p w14:paraId="0BC993FE" w14:textId="77777777" w:rsidR="009F0928" w:rsidRDefault="009F0928">
            <w:pPr>
              <w:rPr>
                <w:rFonts w:ascii="Times New Roman" w:hAnsi="Times New Roman"/>
                <w:sz w:val="20"/>
                <w:szCs w:val="20"/>
              </w:rPr>
            </w:pPr>
          </w:p>
        </w:tc>
        <w:tc>
          <w:tcPr>
            <w:tcW w:w="50" w:type="pct"/>
            <w:shd w:val="clear" w:color="auto" w:fill="auto"/>
            <w:vAlign w:val="center"/>
          </w:tcPr>
          <w:p w14:paraId="0BC993FF" w14:textId="77777777" w:rsidR="009F0928" w:rsidRDefault="009F0928">
            <w:pPr>
              <w:rPr>
                <w:rFonts w:ascii="Times New Roman" w:hAnsi="Times New Roman"/>
                <w:sz w:val="20"/>
                <w:szCs w:val="20"/>
              </w:rPr>
            </w:pPr>
          </w:p>
        </w:tc>
        <w:tc>
          <w:tcPr>
            <w:tcW w:w="500" w:type="pct"/>
            <w:shd w:val="clear" w:color="auto" w:fill="auto"/>
            <w:vAlign w:val="center"/>
          </w:tcPr>
          <w:p w14:paraId="0BC99400" w14:textId="77777777" w:rsidR="009F0928" w:rsidRDefault="009F0928">
            <w:pPr>
              <w:rPr>
                <w:rFonts w:ascii="Times New Roman" w:hAnsi="Times New Roman"/>
                <w:sz w:val="20"/>
                <w:szCs w:val="20"/>
              </w:rPr>
            </w:pPr>
          </w:p>
        </w:tc>
        <w:tc>
          <w:tcPr>
            <w:tcW w:w="50" w:type="pct"/>
            <w:shd w:val="clear" w:color="auto" w:fill="auto"/>
            <w:vAlign w:val="center"/>
          </w:tcPr>
          <w:p w14:paraId="0BC99401" w14:textId="77777777" w:rsidR="009F0928" w:rsidRDefault="009F0928">
            <w:pPr>
              <w:rPr>
                <w:rFonts w:ascii="Times New Roman" w:hAnsi="Times New Roman"/>
                <w:sz w:val="20"/>
                <w:szCs w:val="20"/>
              </w:rPr>
            </w:pPr>
          </w:p>
        </w:tc>
      </w:tr>
      <w:tr w:rsidR="009F0928" w14:paraId="0BC99411" w14:textId="77777777">
        <w:trPr>
          <w:jc w:val="center"/>
        </w:trPr>
        <w:tc>
          <w:tcPr>
            <w:tcW w:w="0" w:type="auto"/>
            <w:shd w:val="clear" w:color="auto" w:fill="auto"/>
            <w:tcMar>
              <w:top w:w="40" w:type="dxa"/>
              <w:left w:w="40" w:type="dxa"/>
              <w:bottom w:w="40" w:type="dxa"/>
              <w:right w:w="40" w:type="dxa"/>
            </w:tcMar>
            <w:vAlign w:val="bottom"/>
          </w:tcPr>
          <w:p w14:paraId="0BC99403"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404"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December 31, </w:t>
            </w:r>
            <w:r>
              <w:rPr>
                <w:rFonts w:ascii="Arial" w:eastAsia="宋体" w:hAnsi="Arial" w:cs="Arial"/>
                <w:b/>
                <w:bCs/>
                <w:sz w:val="16"/>
                <w:szCs w:val="16"/>
              </w:rPr>
              <w:br/>
              <w:t>2017</w:t>
            </w:r>
          </w:p>
        </w:tc>
        <w:tc>
          <w:tcPr>
            <w:tcW w:w="0" w:type="auto"/>
            <w:shd w:val="clear" w:color="auto" w:fill="auto"/>
            <w:tcMar>
              <w:top w:w="40" w:type="dxa"/>
              <w:left w:w="40" w:type="dxa"/>
              <w:bottom w:w="40" w:type="dxa"/>
              <w:right w:w="40" w:type="dxa"/>
            </w:tcMar>
            <w:vAlign w:val="bottom"/>
          </w:tcPr>
          <w:p w14:paraId="0BC9940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40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Goodwill</w:t>
            </w:r>
            <w:r>
              <w:rPr>
                <w:rFonts w:ascii="Arial" w:eastAsia="宋体" w:hAnsi="Arial" w:cs="Arial"/>
                <w:b/>
                <w:bCs/>
                <w:sz w:val="16"/>
                <w:szCs w:val="16"/>
              </w:rPr>
              <w:br/>
              <w:t>Acquired</w:t>
            </w:r>
          </w:p>
        </w:tc>
        <w:tc>
          <w:tcPr>
            <w:tcW w:w="0" w:type="auto"/>
            <w:shd w:val="clear" w:color="auto" w:fill="auto"/>
            <w:tcMar>
              <w:top w:w="40" w:type="dxa"/>
              <w:left w:w="40" w:type="dxa"/>
              <w:bottom w:w="40" w:type="dxa"/>
              <w:right w:w="40" w:type="dxa"/>
            </w:tcMar>
            <w:vAlign w:val="bottom"/>
          </w:tcPr>
          <w:p w14:paraId="0BC9940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408"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Adjustments</w:t>
            </w:r>
          </w:p>
        </w:tc>
        <w:tc>
          <w:tcPr>
            <w:tcW w:w="0" w:type="auto"/>
            <w:shd w:val="clear" w:color="auto" w:fill="auto"/>
            <w:tcMar>
              <w:top w:w="40" w:type="dxa"/>
              <w:left w:w="40" w:type="dxa"/>
              <w:bottom w:w="40" w:type="dxa"/>
              <w:right w:w="40" w:type="dxa"/>
            </w:tcMar>
            <w:vAlign w:val="bottom"/>
          </w:tcPr>
          <w:p w14:paraId="0BC99409"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40A"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December 31, </w:t>
            </w:r>
            <w:r>
              <w:rPr>
                <w:rFonts w:ascii="Arial" w:eastAsia="宋体" w:hAnsi="Arial" w:cs="Arial"/>
                <w:b/>
                <w:bCs/>
                <w:sz w:val="16"/>
                <w:szCs w:val="16"/>
              </w:rPr>
              <w:br/>
              <w:t>2018</w:t>
            </w:r>
          </w:p>
        </w:tc>
        <w:tc>
          <w:tcPr>
            <w:tcW w:w="0" w:type="auto"/>
            <w:shd w:val="clear" w:color="auto" w:fill="auto"/>
            <w:tcMar>
              <w:top w:w="40" w:type="dxa"/>
              <w:left w:w="40" w:type="dxa"/>
              <w:bottom w:w="40" w:type="dxa"/>
              <w:right w:w="40" w:type="dxa"/>
            </w:tcMar>
            <w:vAlign w:val="bottom"/>
          </w:tcPr>
          <w:p w14:paraId="0BC9940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40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Goodwill</w:t>
            </w:r>
            <w:r>
              <w:rPr>
                <w:rFonts w:ascii="Arial" w:eastAsia="宋体" w:hAnsi="Arial" w:cs="Arial"/>
                <w:b/>
                <w:bCs/>
                <w:sz w:val="16"/>
                <w:szCs w:val="16"/>
              </w:rPr>
              <w:br/>
              <w:t>Acquired</w:t>
            </w:r>
          </w:p>
        </w:tc>
        <w:tc>
          <w:tcPr>
            <w:tcW w:w="0" w:type="auto"/>
            <w:shd w:val="clear" w:color="auto" w:fill="auto"/>
            <w:tcMar>
              <w:top w:w="40" w:type="dxa"/>
              <w:left w:w="40" w:type="dxa"/>
              <w:bottom w:w="40" w:type="dxa"/>
              <w:right w:w="40" w:type="dxa"/>
            </w:tcMar>
            <w:vAlign w:val="bottom"/>
          </w:tcPr>
          <w:p w14:paraId="0BC9940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40E"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Adjustments</w:t>
            </w:r>
          </w:p>
        </w:tc>
        <w:tc>
          <w:tcPr>
            <w:tcW w:w="0" w:type="auto"/>
            <w:shd w:val="clear" w:color="auto" w:fill="auto"/>
            <w:tcMar>
              <w:top w:w="40" w:type="dxa"/>
              <w:left w:w="40" w:type="dxa"/>
              <w:bottom w:w="40" w:type="dxa"/>
              <w:right w:w="40" w:type="dxa"/>
            </w:tcMar>
            <w:vAlign w:val="bottom"/>
          </w:tcPr>
          <w:p w14:paraId="0BC9940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41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December 31, </w:t>
            </w:r>
            <w:r>
              <w:rPr>
                <w:rFonts w:ascii="Arial" w:eastAsia="宋体" w:hAnsi="Arial" w:cs="Arial"/>
                <w:b/>
                <w:bCs/>
                <w:sz w:val="16"/>
                <w:szCs w:val="16"/>
              </w:rPr>
              <w:br/>
              <w:t>2019</w:t>
            </w:r>
          </w:p>
        </w:tc>
      </w:tr>
      <w:tr w:rsidR="009F0928" w14:paraId="0BC9942E" w14:textId="77777777">
        <w:trPr>
          <w:jc w:val="center"/>
        </w:trPr>
        <w:tc>
          <w:tcPr>
            <w:tcW w:w="0" w:type="auto"/>
            <w:shd w:val="clear" w:color="auto" w:fill="E2E2E2"/>
            <w:tcMar>
              <w:top w:w="40" w:type="dxa"/>
              <w:left w:w="40" w:type="dxa"/>
              <w:bottom w:w="40" w:type="dxa"/>
              <w:right w:w="40" w:type="dxa"/>
            </w:tcMar>
            <w:vAlign w:val="bottom"/>
          </w:tcPr>
          <w:p w14:paraId="0BC99412" w14:textId="77777777" w:rsidR="009F0928" w:rsidRDefault="002112BD">
            <w:pPr>
              <w:textAlignment w:val="bottom"/>
              <w:rPr>
                <w:rFonts w:ascii="Times New Roman" w:hAnsi="Times New Roman"/>
                <w:sz w:val="16"/>
                <w:szCs w:val="16"/>
              </w:rPr>
            </w:pPr>
            <w:r>
              <w:rPr>
                <w:rFonts w:ascii="Arial" w:eastAsia="宋体" w:hAnsi="Arial" w:cs="Arial"/>
                <w:sz w:val="16"/>
                <w:szCs w:val="16"/>
              </w:rPr>
              <w:t>Marketplace</w:t>
            </w:r>
          </w:p>
        </w:tc>
        <w:tc>
          <w:tcPr>
            <w:tcW w:w="0" w:type="auto"/>
            <w:tcBorders>
              <w:top w:val="single" w:sz="8" w:space="0" w:color="000000"/>
            </w:tcBorders>
            <w:shd w:val="clear" w:color="auto" w:fill="E2E2E2"/>
            <w:tcMar>
              <w:top w:w="40" w:type="dxa"/>
              <w:left w:w="40" w:type="dxa"/>
              <w:bottom w:w="40" w:type="dxa"/>
            </w:tcMar>
            <w:vAlign w:val="bottom"/>
          </w:tcPr>
          <w:p w14:paraId="0BC9941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E2E2E2"/>
            <w:tcMar>
              <w:top w:w="40" w:type="dxa"/>
              <w:bottom w:w="40" w:type="dxa"/>
            </w:tcMar>
            <w:vAlign w:val="bottom"/>
          </w:tcPr>
          <w:p w14:paraId="0BC9941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4,186</w:t>
            </w:r>
          </w:p>
        </w:tc>
        <w:tc>
          <w:tcPr>
            <w:tcW w:w="0" w:type="auto"/>
            <w:tcBorders>
              <w:top w:val="single" w:sz="8" w:space="0" w:color="000000"/>
            </w:tcBorders>
            <w:shd w:val="clear" w:color="auto" w:fill="E2E2E2"/>
            <w:vAlign w:val="bottom"/>
          </w:tcPr>
          <w:p w14:paraId="0BC9941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4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941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E2E2E2"/>
            <w:tcMar>
              <w:top w:w="40" w:type="dxa"/>
              <w:bottom w:w="40" w:type="dxa"/>
            </w:tcMar>
            <w:vAlign w:val="bottom"/>
          </w:tcPr>
          <w:p w14:paraId="0BC9941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532</w:t>
            </w:r>
          </w:p>
        </w:tc>
        <w:tc>
          <w:tcPr>
            <w:tcW w:w="0" w:type="auto"/>
            <w:tcBorders>
              <w:top w:val="single" w:sz="8" w:space="0" w:color="000000"/>
            </w:tcBorders>
            <w:shd w:val="clear" w:color="auto" w:fill="E2E2E2"/>
            <w:vAlign w:val="bottom"/>
          </w:tcPr>
          <w:p w14:paraId="0BC9941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41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941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E2E2E2"/>
            <w:tcMar>
              <w:top w:w="40" w:type="dxa"/>
              <w:bottom w:w="40" w:type="dxa"/>
            </w:tcMar>
            <w:vAlign w:val="bottom"/>
          </w:tcPr>
          <w:p w14:paraId="0BC9941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(124</w:t>
            </w:r>
          </w:p>
        </w:tc>
        <w:tc>
          <w:tcPr>
            <w:tcW w:w="0" w:type="auto"/>
            <w:tcBorders>
              <w:top w:val="single" w:sz="8" w:space="0" w:color="000000"/>
            </w:tcBorders>
            <w:shd w:val="clear" w:color="auto" w:fill="E2E2E2"/>
            <w:tcMar>
              <w:top w:w="40" w:type="dxa"/>
              <w:bottom w:w="40" w:type="dxa"/>
              <w:right w:w="40" w:type="dxa"/>
            </w:tcMar>
            <w:vAlign w:val="bottom"/>
          </w:tcPr>
          <w:p w14:paraId="0BC9941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4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41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942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4,594</w:t>
            </w:r>
          </w:p>
        </w:tc>
        <w:tc>
          <w:tcPr>
            <w:tcW w:w="0" w:type="auto"/>
            <w:shd w:val="clear" w:color="auto" w:fill="E2E2E2"/>
            <w:vAlign w:val="bottom"/>
          </w:tcPr>
          <w:p w14:paraId="0BC9942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42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42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942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vAlign w:val="bottom"/>
          </w:tcPr>
          <w:p w14:paraId="0BC9942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42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42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942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(60</w:t>
            </w:r>
          </w:p>
        </w:tc>
        <w:tc>
          <w:tcPr>
            <w:tcW w:w="0" w:type="auto"/>
            <w:shd w:val="clear" w:color="auto" w:fill="E2E2E2"/>
            <w:tcMar>
              <w:top w:w="40" w:type="dxa"/>
              <w:bottom w:w="40" w:type="dxa"/>
              <w:right w:w="40" w:type="dxa"/>
            </w:tcMar>
            <w:vAlign w:val="bottom"/>
          </w:tcPr>
          <w:p w14:paraId="0BC9942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42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42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bottom w:w="40" w:type="dxa"/>
            </w:tcMar>
            <w:vAlign w:val="bottom"/>
          </w:tcPr>
          <w:p w14:paraId="0BC9942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4,534</w:t>
            </w:r>
          </w:p>
        </w:tc>
        <w:tc>
          <w:tcPr>
            <w:tcW w:w="0" w:type="auto"/>
            <w:shd w:val="clear" w:color="auto" w:fill="E2E2E2"/>
            <w:vAlign w:val="bottom"/>
          </w:tcPr>
          <w:p w14:paraId="0BC9942D" w14:textId="77777777" w:rsidR="009F0928" w:rsidRDefault="009F0928">
            <w:pPr>
              <w:textAlignment w:val="bottom"/>
              <w:rPr>
                <w:rFonts w:ascii="Times New Roman" w:hAnsi="Times New Roman"/>
                <w:sz w:val="20"/>
                <w:szCs w:val="20"/>
              </w:rPr>
            </w:pPr>
          </w:p>
        </w:tc>
      </w:tr>
      <w:tr w:rsidR="009F0928" w14:paraId="0BC99444" w14:textId="77777777">
        <w:trPr>
          <w:jc w:val="center"/>
        </w:trPr>
        <w:tc>
          <w:tcPr>
            <w:tcW w:w="0" w:type="auto"/>
            <w:shd w:val="clear" w:color="auto" w:fill="auto"/>
            <w:tcMar>
              <w:top w:w="40" w:type="dxa"/>
              <w:left w:w="40" w:type="dxa"/>
              <w:bottom w:w="40" w:type="dxa"/>
              <w:right w:w="40" w:type="dxa"/>
            </w:tcMar>
            <w:vAlign w:val="bottom"/>
          </w:tcPr>
          <w:p w14:paraId="0BC9942F" w14:textId="77777777" w:rsidR="009F0928" w:rsidRDefault="002112BD">
            <w:pPr>
              <w:textAlignment w:val="bottom"/>
              <w:rPr>
                <w:rFonts w:ascii="Times New Roman" w:hAnsi="Times New Roman"/>
                <w:sz w:val="16"/>
                <w:szCs w:val="16"/>
              </w:rPr>
            </w:pPr>
            <w:r>
              <w:rPr>
                <w:rFonts w:ascii="Arial" w:eastAsia="宋体" w:hAnsi="Arial" w:cs="Arial"/>
                <w:sz w:val="16"/>
                <w:szCs w:val="16"/>
              </w:rPr>
              <w:t>StubHub</w:t>
            </w:r>
          </w:p>
        </w:tc>
        <w:tc>
          <w:tcPr>
            <w:tcW w:w="0" w:type="auto"/>
            <w:gridSpan w:val="2"/>
            <w:shd w:val="clear" w:color="auto" w:fill="auto"/>
            <w:tcMar>
              <w:top w:w="40" w:type="dxa"/>
              <w:left w:w="40" w:type="dxa"/>
              <w:bottom w:w="40" w:type="dxa"/>
            </w:tcMar>
            <w:vAlign w:val="bottom"/>
          </w:tcPr>
          <w:p w14:paraId="0BC9943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233</w:t>
            </w:r>
          </w:p>
        </w:tc>
        <w:tc>
          <w:tcPr>
            <w:tcW w:w="0" w:type="auto"/>
            <w:shd w:val="clear" w:color="auto" w:fill="auto"/>
            <w:vAlign w:val="bottom"/>
          </w:tcPr>
          <w:p w14:paraId="0BC9943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43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433"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0BC9943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43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43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w:t>
            </w:r>
          </w:p>
        </w:tc>
        <w:tc>
          <w:tcPr>
            <w:tcW w:w="0" w:type="auto"/>
            <w:shd w:val="clear" w:color="auto" w:fill="auto"/>
            <w:tcMar>
              <w:top w:w="40" w:type="dxa"/>
              <w:bottom w:w="40" w:type="dxa"/>
              <w:right w:w="40" w:type="dxa"/>
            </w:tcMar>
            <w:vAlign w:val="bottom"/>
          </w:tcPr>
          <w:p w14:paraId="0BC9943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43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43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227</w:t>
            </w:r>
          </w:p>
        </w:tc>
        <w:tc>
          <w:tcPr>
            <w:tcW w:w="0" w:type="auto"/>
            <w:shd w:val="clear" w:color="auto" w:fill="auto"/>
            <w:vAlign w:val="bottom"/>
          </w:tcPr>
          <w:p w14:paraId="0BC9943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43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43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0BC9943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43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43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w:t>
            </w:r>
          </w:p>
        </w:tc>
        <w:tc>
          <w:tcPr>
            <w:tcW w:w="0" w:type="auto"/>
            <w:shd w:val="clear" w:color="auto" w:fill="auto"/>
            <w:tcMar>
              <w:top w:w="40" w:type="dxa"/>
              <w:bottom w:w="40" w:type="dxa"/>
              <w:right w:w="40" w:type="dxa"/>
            </w:tcMar>
            <w:vAlign w:val="bottom"/>
          </w:tcPr>
          <w:p w14:paraId="0BC99440"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44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44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223</w:t>
            </w:r>
          </w:p>
        </w:tc>
        <w:tc>
          <w:tcPr>
            <w:tcW w:w="0" w:type="auto"/>
            <w:shd w:val="clear" w:color="auto" w:fill="auto"/>
            <w:vAlign w:val="bottom"/>
          </w:tcPr>
          <w:p w14:paraId="0BC99443" w14:textId="77777777" w:rsidR="009F0928" w:rsidRDefault="009F0928">
            <w:pPr>
              <w:textAlignment w:val="bottom"/>
              <w:rPr>
                <w:rFonts w:ascii="Times New Roman" w:hAnsi="Times New Roman"/>
                <w:sz w:val="20"/>
                <w:szCs w:val="20"/>
              </w:rPr>
            </w:pPr>
          </w:p>
        </w:tc>
      </w:tr>
      <w:tr w:rsidR="009F0928" w14:paraId="0BC9945A" w14:textId="77777777">
        <w:trPr>
          <w:jc w:val="center"/>
        </w:trPr>
        <w:tc>
          <w:tcPr>
            <w:tcW w:w="0" w:type="auto"/>
            <w:shd w:val="clear" w:color="auto" w:fill="E2E2E2"/>
            <w:tcMar>
              <w:top w:w="40" w:type="dxa"/>
              <w:left w:w="40" w:type="dxa"/>
              <w:bottom w:w="40" w:type="dxa"/>
              <w:right w:w="40" w:type="dxa"/>
            </w:tcMar>
            <w:vAlign w:val="bottom"/>
          </w:tcPr>
          <w:p w14:paraId="0BC99445" w14:textId="77777777" w:rsidR="009F0928" w:rsidRDefault="002112BD">
            <w:pPr>
              <w:textAlignment w:val="bottom"/>
              <w:rPr>
                <w:rFonts w:ascii="Times New Roman" w:hAnsi="Times New Roman"/>
                <w:sz w:val="16"/>
                <w:szCs w:val="16"/>
              </w:rPr>
            </w:pPr>
            <w:r>
              <w:rPr>
                <w:rFonts w:ascii="Arial" w:eastAsia="宋体" w:hAnsi="Arial" w:cs="Arial"/>
                <w:sz w:val="16"/>
                <w:szCs w:val="16"/>
              </w:rPr>
              <w:t>Classifieds</w:t>
            </w:r>
          </w:p>
        </w:tc>
        <w:tc>
          <w:tcPr>
            <w:tcW w:w="0" w:type="auto"/>
            <w:gridSpan w:val="2"/>
            <w:shd w:val="clear" w:color="auto" w:fill="E2E2E2"/>
            <w:tcMar>
              <w:top w:w="40" w:type="dxa"/>
              <w:left w:w="40" w:type="dxa"/>
              <w:bottom w:w="40" w:type="dxa"/>
            </w:tcMar>
            <w:vAlign w:val="bottom"/>
          </w:tcPr>
          <w:p w14:paraId="0BC9944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354</w:t>
            </w:r>
          </w:p>
        </w:tc>
        <w:tc>
          <w:tcPr>
            <w:tcW w:w="0" w:type="auto"/>
            <w:shd w:val="clear" w:color="auto" w:fill="E2E2E2"/>
            <w:vAlign w:val="bottom"/>
          </w:tcPr>
          <w:p w14:paraId="0BC9944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44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44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vAlign w:val="bottom"/>
          </w:tcPr>
          <w:p w14:paraId="0BC9944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44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44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(15</w:t>
            </w:r>
          </w:p>
        </w:tc>
        <w:tc>
          <w:tcPr>
            <w:tcW w:w="0" w:type="auto"/>
            <w:shd w:val="clear" w:color="auto" w:fill="E2E2E2"/>
            <w:tcMar>
              <w:top w:w="40" w:type="dxa"/>
              <w:bottom w:w="40" w:type="dxa"/>
              <w:right w:w="40" w:type="dxa"/>
            </w:tcMar>
            <w:vAlign w:val="bottom"/>
          </w:tcPr>
          <w:p w14:paraId="0BC9944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44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44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339</w:t>
            </w:r>
          </w:p>
        </w:tc>
        <w:tc>
          <w:tcPr>
            <w:tcW w:w="0" w:type="auto"/>
            <w:shd w:val="clear" w:color="auto" w:fill="E2E2E2"/>
            <w:vAlign w:val="bottom"/>
          </w:tcPr>
          <w:p w14:paraId="0BC9945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45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45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65</w:t>
            </w:r>
          </w:p>
        </w:tc>
        <w:tc>
          <w:tcPr>
            <w:tcW w:w="0" w:type="auto"/>
            <w:shd w:val="clear" w:color="auto" w:fill="E2E2E2"/>
            <w:vAlign w:val="bottom"/>
          </w:tcPr>
          <w:p w14:paraId="0BC9945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45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45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w:t>
            </w:r>
          </w:p>
        </w:tc>
        <w:tc>
          <w:tcPr>
            <w:tcW w:w="0" w:type="auto"/>
            <w:shd w:val="clear" w:color="auto" w:fill="E2E2E2"/>
            <w:tcMar>
              <w:top w:w="40" w:type="dxa"/>
              <w:bottom w:w="40" w:type="dxa"/>
              <w:right w:w="40" w:type="dxa"/>
            </w:tcMar>
            <w:vAlign w:val="bottom"/>
          </w:tcPr>
          <w:p w14:paraId="0BC99456"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45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45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396</w:t>
            </w:r>
          </w:p>
        </w:tc>
        <w:tc>
          <w:tcPr>
            <w:tcW w:w="0" w:type="auto"/>
            <w:shd w:val="clear" w:color="auto" w:fill="E2E2E2"/>
            <w:vAlign w:val="bottom"/>
          </w:tcPr>
          <w:p w14:paraId="0BC99459" w14:textId="77777777" w:rsidR="009F0928" w:rsidRDefault="009F0928">
            <w:pPr>
              <w:textAlignment w:val="bottom"/>
              <w:rPr>
                <w:rFonts w:ascii="Times New Roman" w:hAnsi="Times New Roman"/>
                <w:sz w:val="20"/>
                <w:szCs w:val="20"/>
              </w:rPr>
            </w:pPr>
          </w:p>
        </w:tc>
      </w:tr>
      <w:tr w:rsidR="009F0928" w14:paraId="0BC99477" w14:textId="77777777">
        <w:trPr>
          <w:jc w:val="center"/>
        </w:trPr>
        <w:tc>
          <w:tcPr>
            <w:tcW w:w="0" w:type="auto"/>
            <w:shd w:val="clear" w:color="auto" w:fill="auto"/>
            <w:tcMar>
              <w:top w:w="40" w:type="dxa"/>
              <w:left w:w="240" w:type="dxa"/>
              <w:bottom w:w="40" w:type="dxa"/>
              <w:right w:w="40" w:type="dxa"/>
            </w:tcMar>
            <w:vAlign w:val="bottom"/>
          </w:tcPr>
          <w:p w14:paraId="0BC9945B" w14:textId="77777777" w:rsidR="009F0928" w:rsidRDefault="002112BD">
            <w:pPr>
              <w:textAlignment w:val="bottom"/>
              <w:rPr>
                <w:rFonts w:ascii="Times New Roman" w:hAnsi="Times New Roman"/>
                <w:sz w:val="16"/>
                <w:szCs w:val="16"/>
              </w:rPr>
            </w:pPr>
            <w:r>
              <w:rPr>
                <w:rFonts w:ascii="Arial" w:eastAsia="宋体" w:hAnsi="Arial" w:cs="Arial"/>
                <w:sz w:val="16"/>
                <w:szCs w:val="16"/>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45C"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45D"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4,773</w:t>
            </w:r>
          </w:p>
        </w:tc>
        <w:tc>
          <w:tcPr>
            <w:tcW w:w="0" w:type="auto"/>
            <w:tcBorders>
              <w:top w:val="single" w:sz="8" w:space="0" w:color="000000"/>
              <w:bottom w:val="double" w:sz="6" w:space="0" w:color="000000"/>
            </w:tcBorders>
            <w:shd w:val="clear" w:color="auto" w:fill="auto"/>
            <w:vAlign w:val="bottom"/>
          </w:tcPr>
          <w:p w14:paraId="0BC9945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45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460"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46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532</w:t>
            </w:r>
          </w:p>
        </w:tc>
        <w:tc>
          <w:tcPr>
            <w:tcW w:w="0" w:type="auto"/>
            <w:tcBorders>
              <w:top w:val="single" w:sz="8" w:space="0" w:color="000000"/>
              <w:bottom w:val="double" w:sz="6" w:space="0" w:color="000000"/>
            </w:tcBorders>
            <w:shd w:val="clear" w:color="auto" w:fill="auto"/>
            <w:vAlign w:val="bottom"/>
          </w:tcPr>
          <w:p w14:paraId="0BC9946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46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464"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46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(145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BC99466"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46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468"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46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5,160</w:t>
            </w:r>
          </w:p>
        </w:tc>
        <w:tc>
          <w:tcPr>
            <w:tcW w:w="0" w:type="auto"/>
            <w:tcBorders>
              <w:top w:val="single" w:sz="8" w:space="0" w:color="000000"/>
              <w:bottom w:val="double" w:sz="6" w:space="0" w:color="000000"/>
            </w:tcBorders>
            <w:shd w:val="clear" w:color="auto" w:fill="auto"/>
            <w:vAlign w:val="bottom"/>
          </w:tcPr>
          <w:p w14:paraId="0BC9946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46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46C"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46D"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65</w:t>
            </w:r>
          </w:p>
        </w:tc>
        <w:tc>
          <w:tcPr>
            <w:tcW w:w="0" w:type="auto"/>
            <w:tcBorders>
              <w:top w:val="single" w:sz="8" w:space="0" w:color="000000"/>
              <w:bottom w:val="double" w:sz="6" w:space="0" w:color="000000"/>
            </w:tcBorders>
            <w:shd w:val="clear" w:color="auto" w:fill="auto"/>
            <w:vAlign w:val="bottom"/>
          </w:tcPr>
          <w:p w14:paraId="0BC9946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46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470"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47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BC99472"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47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474"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47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5,153</w:t>
            </w:r>
          </w:p>
        </w:tc>
        <w:tc>
          <w:tcPr>
            <w:tcW w:w="0" w:type="auto"/>
            <w:tcBorders>
              <w:top w:val="single" w:sz="8" w:space="0" w:color="000000"/>
              <w:bottom w:val="double" w:sz="6" w:space="0" w:color="000000"/>
            </w:tcBorders>
            <w:shd w:val="clear" w:color="auto" w:fill="auto"/>
            <w:vAlign w:val="bottom"/>
          </w:tcPr>
          <w:p w14:paraId="0BC99476" w14:textId="77777777" w:rsidR="009F0928" w:rsidRDefault="009F0928">
            <w:pPr>
              <w:textAlignment w:val="bottom"/>
              <w:rPr>
                <w:rFonts w:ascii="Times New Roman" w:hAnsi="Times New Roman"/>
                <w:sz w:val="20"/>
                <w:szCs w:val="20"/>
              </w:rPr>
            </w:pPr>
          </w:p>
        </w:tc>
      </w:tr>
    </w:tbl>
    <w:p w14:paraId="0BC99478" w14:textId="77777777" w:rsidR="009F0928" w:rsidRDefault="009F0928">
      <w:pPr>
        <w:spacing w:line="288" w:lineRule="auto"/>
        <w:ind w:hanging="360"/>
        <w:jc w:val="center"/>
        <w:rPr>
          <w:rFonts w:ascii="Times New Roman" w:hAnsi="Times New Roman"/>
          <w:sz w:val="20"/>
          <w:szCs w:val="20"/>
        </w:rPr>
      </w:pPr>
    </w:p>
    <w:p w14:paraId="0BC99479" w14:textId="77777777" w:rsidR="009F0928" w:rsidRDefault="009F0928">
      <w:pPr>
        <w:spacing w:line="288" w:lineRule="auto"/>
        <w:ind w:hanging="360"/>
        <w:jc w:val="both"/>
        <w:rPr>
          <w:rFonts w:ascii="Times New Roman" w:hAnsi="Times New Roman"/>
          <w:sz w:val="20"/>
          <w:szCs w:val="20"/>
        </w:rPr>
      </w:pPr>
    </w:p>
    <w:p w14:paraId="0BC9947A" w14:textId="77777777" w:rsidR="009F0928" w:rsidRDefault="009F0928">
      <w:pPr>
        <w:rPr>
          <w:rFonts w:ascii="Times New Roman" w:hAnsi="Times New Roman"/>
          <w:sz w:val="20"/>
          <w:szCs w:val="20"/>
        </w:rPr>
      </w:pPr>
    </w:p>
    <w:p w14:paraId="0BC9947B"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F-18</w:t>
      </w:r>
    </w:p>
    <w:p w14:paraId="0BC9947C" w14:textId="77777777" w:rsidR="009F0928" w:rsidRDefault="002112BD">
      <w:r>
        <w:rPr>
          <w:rFonts w:ascii="Times New Roman" w:hAnsi="Times New Roman"/>
          <w:sz w:val="18"/>
          <w:szCs w:val="18"/>
        </w:rPr>
        <w:pict w14:anchorId="0BC9B50C">
          <v:rect id="_x0000_i1104" style="width:415.3pt;height:1.5pt" o:hralign="center" o:hrstd="t" o:hr="t" fillcolor="#a0a0a0" stroked="f"/>
        </w:pict>
      </w:r>
    </w:p>
    <w:p w14:paraId="0BC9947D"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47E"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NOTES TO </w:t>
      </w:r>
      <w:r>
        <w:rPr>
          <w:rFonts w:ascii="Arial" w:eastAsia="宋体" w:hAnsi="Arial" w:cs="Arial"/>
          <w:b/>
          <w:bCs/>
          <w:sz w:val="20"/>
          <w:szCs w:val="20"/>
        </w:rPr>
        <w:t>CONSOLIDATED FINANCIAL STATEMENTS—(Continued)</w:t>
      </w:r>
    </w:p>
    <w:p w14:paraId="0BC9947F" w14:textId="77777777" w:rsidR="009F0928" w:rsidRDefault="009F0928">
      <w:pPr>
        <w:spacing w:line="288" w:lineRule="auto"/>
        <w:jc w:val="center"/>
        <w:rPr>
          <w:rFonts w:ascii="Times New Roman" w:hAnsi="Times New Roman"/>
          <w:sz w:val="20"/>
          <w:szCs w:val="20"/>
        </w:rPr>
      </w:pPr>
    </w:p>
    <w:p w14:paraId="0BC99480" w14:textId="77777777" w:rsidR="009F0928" w:rsidRDefault="009F0928">
      <w:pPr>
        <w:rPr>
          <w:rFonts w:ascii="Times New Roman" w:hAnsi="Times New Roman"/>
          <w:sz w:val="20"/>
          <w:szCs w:val="20"/>
        </w:rPr>
      </w:pPr>
    </w:p>
    <w:p w14:paraId="0BC9948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adjustments to goodwill during the years ended December 31, 2019 and 2018 were primarily due to foreign currency translation. There were no impairments to goodwill in 2019 and 2018.</w:t>
      </w:r>
    </w:p>
    <w:p w14:paraId="0BC99482" w14:textId="77777777" w:rsidR="009F0928" w:rsidRDefault="009F0928">
      <w:pPr>
        <w:spacing w:line="288" w:lineRule="auto"/>
        <w:ind w:firstLine="720"/>
        <w:jc w:val="both"/>
        <w:rPr>
          <w:rFonts w:ascii="Times New Roman" w:hAnsi="Times New Roman"/>
          <w:sz w:val="20"/>
          <w:szCs w:val="20"/>
        </w:rPr>
      </w:pPr>
    </w:p>
    <w:p w14:paraId="0BC99483"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Intangible Assets</w:t>
      </w:r>
    </w:p>
    <w:p w14:paraId="0BC99484" w14:textId="77777777" w:rsidR="009F0928" w:rsidRDefault="009F0928">
      <w:pPr>
        <w:spacing w:line="288" w:lineRule="auto"/>
        <w:jc w:val="both"/>
        <w:rPr>
          <w:rFonts w:ascii="Times New Roman" w:hAnsi="Times New Roman"/>
          <w:sz w:val="20"/>
          <w:szCs w:val="20"/>
        </w:rPr>
      </w:pPr>
    </w:p>
    <w:p w14:paraId="0BC9948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w:t>
      </w:r>
      <w:r>
        <w:rPr>
          <w:rFonts w:ascii="Arial" w:eastAsia="宋体" w:hAnsi="Arial" w:cs="Arial"/>
          <w:sz w:val="20"/>
          <w:szCs w:val="20"/>
        </w:rPr>
        <w:t>e components of identifiable intangible assets are as follows (in millions, except years): </w:t>
      </w:r>
    </w:p>
    <w:tbl>
      <w:tblPr>
        <w:tblW w:w="5000" w:type="pct"/>
        <w:tblCellMar>
          <w:left w:w="0" w:type="dxa"/>
          <w:right w:w="0" w:type="dxa"/>
        </w:tblCellMar>
        <w:tblLook w:val="04A0" w:firstRow="1" w:lastRow="0" w:firstColumn="1" w:lastColumn="0" w:noHBand="0" w:noVBand="1"/>
      </w:tblPr>
      <w:tblGrid>
        <w:gridCol w:w="1523"/>
        <w:gridCol w:w="121"/>
        <w:gridCol w:w="497"/>
        <w:gridCol w:w="71"/>
        <w:gridCol w:w="121"/>
        <w:gridCol w:w="121"/>
        <w:gridCol w:w="758"/>
        <w:gridCol w:w="84"/>
        <w:gridCol w:w="121"/>
        <w:gridCol w:w="120"/>
        <w:gridCol w:w="473"/>
        <w:gridCol w:w="68"/>
        <w:gridCol w:w="121"/>
        <w:gridCol w:w="673"/>
        <w:gridCol w:w="121"/>
        <w:gridCol w:w="120"/>
        <w:gridCol w:w="473"/>
        <w:gridCol w:w="68"/>
        <w:gridCol w:w="121"/>
        <w:gridCol w:w="121"/>
        <w:gridCol w:w="758"/>
        <w:gridCol w:w="84"/>
        <w:gridCol w:w="121"/>
        <w:gridCol w:w="121"/>
        <w:gridCol w:w="456"/>
        <w:gridCol w:w="76"/>
        <w:gridCol w:w="121"/>
        <w:gridCol w:w="673"/>
      </w:tblGrid>
      <w:tr w:rsidR="009F0928" w14:paraId="0BC99487" w14:textId="77777777">
        <w:tc>
          <w:tcPr>
            <w:tcW w:w="0" w:type="auto"/>
            <w:gridSpan w:val="28"/>
            <w:shd w:val="clear" w:color="auto" w:fill="auto"/>
            <w:vAlign w:val="center"/>
          </w:tcPr>
          <w:p w14:paraId="0BC99486" w14:textId="77777777" w:rsidR="009F0928" w:rsidRDefault="009F0928">
            <w:pPr>
              <w:rPr>
                <w:rFonts w:ascii="Times New Roman" w:hAnsi="Times New Roman"/>
                <w:sz w:val="20"/>
                <w:szCs w:val="20"/>
              </w:rPr>
            </w:pPr>
          </w:p>
        </w:tc>
      </w:tr>
      <w:tr w:rsidR="009F0928" w14:paraId="0BC994A4" w14:textId="77777777">
        <w:tc>
          <w:tcPr>
            <w:tcW w:w="800" w:type="pct"/>
            <w:shd w:val="clear" w:color="auto" w:fill="auto"/>
            <w:vAlign w:val="center"/>
          </w:tcPr>
          <w:p w14:paraId="0BC99488" w14:textId="77777777" w:rsidR="009F0928" w:rsidRDefault="009F0928">
            <w:pPr>
              <w:rPr>
                <w:rFonts w:ascii="Times New Roman" w:hAnsi="Times New Roman"/>
                <w:sz w:val="20"/>
                <w:szCs w:val="20"/>
              </w:rPr>
            </w:pPr>
          </w:p>
        </w:tc>
        <w:tc>
          <w:tcPr>
            <w:tcW w:w="50" w:type="pct"/>
            <w:shd w:val="clear" w:color="auto" w:fill="auto"/>
            <w:vAlign w:val="center"/>
          </w:tcPr>
          <w:p w14:paraId="0BC99489" w14:textId="77777777" w:rsidR="009F0928" w:rsidRDefault="009F0928">
            <w:pPr>
              <w:rPr>
                <w:rFonts w:ascii="Times New Roman" w:hAnsi="Times New Roman"/>
                <w:sz w:val="20"/>
                <w:szCs w:val="20"/>
              </w:rPr>
            </w:pPr>
          </w:p>
        </w:tc>
        <w:tc>
          <w:tcPr>
            <w:tcW w:w="350" w:type="pct"/>
            <w:shd w:val="clear" w:color="auto" w:fill="auto"/>
            <w:vAlign w:val="center"/>
          </w:tcPr>
          <w:p w14:paraId="0BC9948A" w14:textId="77777777" w:rsidR="009F0928" w:rsidRDefault="009F0928">
            <w:pPr>
              <w:rPr>
                <w:rFonts w:ascii="Times New Roman" w:hAnsi="Times New Roman"/>
                <w:sz w:val="20"/>
                <w:szCs w:val="20"/>
              </w:rPr>
            </w:pPr>
          </w:p>
        </w:tc>
        <w:tc>
          <w:tcPr>
            <w:tcW w:w="50" w:type="pct"/>
            <w:shd w:val="clear" w:color="auto" w:fill="auto"/>
            <w:vAlign w:val="center"/>
          </w:tcPr>
          <w:p w14:paraId="0BC9948B" w14:textId="77777777" w:rsidR="009F0928" w:rsidRDefault="009F0928">
            <w:pPr>
              <w:rPr>
                <w:rFonts w:ascii="Times New Roman" w:hAnsi="Times New Roman"/>
                <w:sz w:val="20"/>
                <w:szCs w:val="20"/>
              </w:rPr>
            </w:pPr>
          </w:p>
        </w:tc>
        <w:tc>
          <w:tcPr>
            <w:tcW w:w="50" w:type="pct"/>
            <w:shd w:val="clear" w:color="auto" w:fill="auto"/>
            <w:vAlign w:val="center"/>
          </w:tcPr>
          <w:p w14:paraId="0BC9948C" w14:textId="77777777" w:rsidR="009F0928" w:rsidRDefault="009F0928">
            <w:pPr>
              <w:rPr>
                <w:rFonts w:ascii="Times New Roman" w:hAnsi="Times New Roman"/>
                <w:sz w:val="20"/>
                <w:szCs w:val="20"/>
              </w:rPr>
            </w:pPr>
          </w:p>
        </w:tc>
        <w:tc>
          <w:tcPr>
            <w:tcW w:w="50" w:type="pct"/>
            <w:shd w:val="clear" w:color="auto" w:fill="auto"/>
            <w:vAlign w:val="center"/>
          </w:tcPr>
          <w:p w14:paraId="0BC9948D" w14:textId="77777777" w:rsidR="009F0928" w:rsidRDefault="009F0928">
            <w:pPr>
              <w:rPr>
                <w:rFonts w:ascii="Times New Roman" w:hAnsi="Times New Roman"/>
                <w:sz w:val="20"/>
                <w:szCs w:val="20"/>
              </w:rPr>
            </w:pPr>
          </w:p>
        </w:tc>
        <w:tc>
          <w:tcPr>
            <w:tcW w:w="500" w:type="pct"/>
            <w:shd w:val="clear" w:color="auto" w:fill="auto"/>
            <w:vAlign w:val="center"/>
          </w:tcPr>
          <w:p w14:paraId="0BC9948E" w14:textId="77777777" w:rsidR="009F0928" w:rsidRDefault="009F0928">
            <w:pPr>
              <w:rPr>
                <w:rFonts w:ascii="Times New Roman" w:hAnsi="Times New Roman"/>
                <w:sz w:val="20"/>
                <w:szCs w:val="20"/>
              </w:rPr>
            </w:pPr>
          </w:p>
        </w:tc>
        <w:tc>
          <w:tcPr>
            <w:tcW w:w="50" w:type="pct"/>
            <w:shd w:val="clear" w:color="auto" w:fill="auto"/>
            <w:vAlign w:val="center"/>
          </w:tcPr>
          <w:p w14:paraId="0BC9948F" w14:textId="77777777" w:rsidR="009F0928" w:rsidRDefault="009F0928">
            <w:pPr>
              <w:rPr>
                <w:rFonts w:ascii="Times New Roman" w:hAnsi="Times New Roman"/>
                <w:sz w:val="20"/>
                <w:szCs w:val="20"/>
              </w:rPr>
            </w:pPr>
          </w:p>
        </w:tc>
        <w:tc>
          <w:tcPr>
            <w:tcW w:w="50" w:type="pct"/>
            <w:shd w:val="clear" w:color="auto" w:fill="auto"/>
            <w:vAlign w:val="center"/>
          </w:tcPr>
          <w:p w14:paraId="0BC99490" w14:textId="77777777" w:rsidR="009F0928" w:rsidRDefault="009F0928">
            <w:pPr>
              <w:rPr>
                <w:rFonts w:ascii="Times New Roman" w:hAnsi="Times New Roman"/>
                <w:sz w:val="20"/>
                <w:szCs w:val="20"/>
              </w:rPr>
            </w:pPr>
          </w:p>
        </w:tc>
        <w:tc>
          <w:tcPr>
            <w:tcW w:w="50" w:type="pct"/>
            <w:shd w:val="clear" w:color="auto" w:fill="auto"/>
            <w:vAlign w:val="center"/>
          </w:tcPr>
          <w:p w14:paraId="0BC99491" w14:textId="77777777" w:rsidR="009F0928" w:rsidRDefault="009F0928">
            <w:pPr>
              <w:rPr>
                <w:rFonts w:ascii="Times New Roman" w:hAnsi="Times New Roman"/>
                <w:sz w:val="20"/>
                <w:szCs w:val="20"/>
              </w:rPr>
            </w:pPr>
          </w:p>
        </w:tc>
        <w:tc>
          <w:tcPr>
            <w:tcW w:w="350" w:type="pct"/>
            <w:shd w:val="clear" w:color="auto" w:fill="auto"/>
            <w:vAlign w:val="center"/>
          </w:tcPr>
          <w:p w14:paraId="0BC99492" w14:textId="77777777" w:rsidR="009F0928" w:rsidRDefault="009F0928">
            <w:pPr>
              <w:rPr>
                <w:rFonts w:ascii="Times New Roman" w:hAnsi="Times New Roman"/>
                <w:sz w:val="20"/>
                <w:szCs w:val="20"/>
              </w:rPr>
            </w:pPr>
          </w:p>
        </w:tc>
        <w:tc>
          <w:tcPr>
            <w:tcW w:w="50" w:type="pct"/>
            <w:shd w:val="clear" w:color="auto" w:fill="auto"/>
            <w:vAlign w:val="center"/>
          </w:tcPr>
          <w:p w14:paraId="0BC99493" w14:textId="77777777" w:rsidR="009F0928" w:rsidRDefault="009F0928">
            <w:pPr>
              <w:rPr>
                <w:rFonts w:ascii="Times New Roman" w:hAnsi="Times New Roman"/>
                <w:sz w:val="20"/>
                <w:szCs w:val="20"/>
              </w:rPr>
            </w:pPr>
          </w:p>
        </w:tc>
        <w:tc>
          <w:tcPr>
            <w:tcW w:w="50" w:type="pct"/>
            <w:shd w:val="clear" w:color="auto" w:fill="auto"/>
            <w:vAlign w:val="center"/>
          </w:tcPr>
          <w:p w14:paraId="0BC99494" w14:textId="77777777" w:rsidR="009F0928" w:rsidRDefault="009F0928">
            <w:pPr>
              <w:rPr>
                <w:rFonts w:ascii="Times New Roman" w:hAnsi="Times New Roman"/>
                <w:sz w:val="20"/>
                <w:szCs w:val="20"/>
              </w:rPr>
            </w:pPr>
          </w:p>
        </w:tc>
        <w:tc>
          <w:tcPr>
            <w:tcW w:w="450" w:type="pct"/>
            <w:shd w:val="clear" w:color="auto" w:fill="auto"/>
            <w:vAlign w:val="center"/>
          </w:tcPr>
          <w:p w14:paraId="0BC99495" w14:textId="77777777" w:rsidR="009F0928" w:rsidRDefault="009F0928">
            <w:pPr>
              <w:rPr>
                <w:rFonts w:ascii="Times New Roman" w:hAnsi="Times New Roman"/>
                <w:sz w:val="20"/>
                <w:szCs w:val="20"/>
              </w:rPr>
            </w:pPr>
          </w:p>
        </w:tc>
        <w:tc>
          <w:tcPr>
            <w:tcW w:w="50" w:type="pct"/>
            <w:shd w:val="clear" w:color="auto" w:fill="auto"/>
            <w:vAlign w:val="center"/>
          </w:tcPr>
          <w:p w14:paraId="0BC99496" w14:textId="77777777" w:rsidR="009F0928" w:rsidRDefault="009F0928">
            <w:pPr>
              <w:rPr>
                <w:rFonts w:ascii="Times New Roman" w:hAnsi="Times New Roman"/>
                <w:sz w:val="20"/>
                <w:szCs w:val="20"/>
              </w:rPr>
            </w:pPr>
          </w:p>
        </w:tc>
        <w:tc>
          <w:tcPr>
            <w:tcW w:w="50" w:type="pct"/>
            <w:shd w:val="clear" w:color="auto" w:fill="auto"/>
            <w:vAlign w:val="center"/>
          </w:tcPr>
          <w:p w14:paraId="0BC99497" w14:textId="77777777" w:rsidR="009F0928" w:rsidRDefault="009F0928">
            <w:pPr>
              <w:rPr>
                <w:rFonts w:ascii="Times New Roman" w:hAnsi="Times New Roman"/>
                <w:sz w:val="20"/>
                <w:szCs w:val="20"/>
              </w:rPr>
            </w:pPr>
          </w:p>
        </w:tc>
        <w:tc>
          <w:tcPr>
            <w:tcW w:w="350" w:type="pct"/>
            <w:shd w:val="clear" w:color="auto" w:fill="auto"/>
            <w:vAlign w:val="center"/>
          </w:tcPr>
          <w:p w14:paraId="0BC99498" w14:textId="77777777" w:rsidR="009F0928" w:rsidRDefault="009F0928">
            <w:pPr>
              <w:rPr>
                <w:rFonts w:ascii="Times New Roman" w:hAnsi="Times New Roman"/>
                <w:sz w:val="20"/>
                <w:szCs w:val="20"/>
              </w:rPr>
            </w:pPr>
          </w:p>
        </w:tc>
        <w:tc>
          <w:tcPr>
            <w:tcW w:w="50" w:type="pct"/>
            <w:shd w:val="clear" w:color="auto" w:fill="auto"/>
            <w:vAlign w:val="center"/>
          </w:tcPr>
          <w:p w14:paraId="0BC99499" w14:textId="77777777" w:rsidR="009F0928" w:rsidRDefault="009F0928">
            <w:pPr>
              <w:rPr>
                <w:rFonts w:ascii="Times New Roman" w:hAnsi="Times New Roman"/>
                <w:sz w:val="20"/>
                <w:szCs w:val="20"/>
              </w:rPr>
            </w:pPr>
          </w:p>
        </w:tc>
        <w:tc>
          <w:tcPr>
            <w:tcW w:w="50" w:type="pct"/>
            <w:shd w:val="clear" w:color="auto" w:fill="auto"/>
            <w:vAlign w:val="center"/>
          </w:tcPr>
          <w:p w14:paraId="0BC9949A" w14:textId="77777777" w:rsidR="009F0928" w:rsidRDefault="009F0928">
            <w:pPr>
              <w:rPr>
                <w:rFonts w:ascii="Times New Roman" w:hAnsi="Times New Roman"/>
                <w:sz w:val="20"/>
                <w:szCs w:val="20"/>
              </w:rPr>
            </w:pPr>
          </w:p>
        </w:tc>
        <w:tc>
          <w:tcPr>
            <w:tcW w:w="50" w:type="pct"/>
            <w:shd w:val="clear" w:color="auto" w:fill="auto"/>
            <w:vAlign w:val="center"/>
          </w:tcPr>
          <w:p w14:paraId="0BC9949B" w14:textId="77777777" w:rsidR="009F0928" w:rsidRDefault="009F0928">
            <w:pPr>
              <w:rPr>
                <w:rFonts w:ascii="Times New Roman" w:hAnsi="Times New Roman"/>
                <w:sz w:val="20"/>
                <w:szCs w:val="20"/>
              </w:rPr>
            </w:pPr>
          </w:p>
        </w:tc>
        <w:tc>
          <w:tcPr>
            <w:tcW w:w="500" w:type="pct"/>
            <w:shd w:val="clear" w:color="auto" w:fill="auto"/>
            <w:vAlign w:val="center"/>
          </w:tcPr>
          <w:p w14:paraId="0BC9949C" w14:textId="77777777" w:rsidR="009F0928" w:rsidRDefault="009F0928">
            <w:pPr>
              <w:rPr>
                <w:rFonts w:ascii="Times New Roman" w:hAnsi="Times New Roman"/>
                <w:sz w:val="20"/>
                <w:szCs w:val="20"/>
              </w:rPr>
            </w:pPr>
          </w:p>
        </w:tc>
        <w:tc>
          <w:tcPr>
            <w:tcW w:w="50" w:type="pct"/>
            <w:shd w:val="clear" w:color="auto" w:fill="auto"/>
            <w:vAlign w:val="center"/>
          </w:tcPr>
          <w:p w14:paraId="0BC9949D" w14:textId="77777777" w:rsidR="009F0928" w:rsidRDefault="009F0928">
            <w:pPr>
              <w:rPr>
                <w:rFonts w:ascii="Times New Roman" w:hAnsi="Times New Roman"/>
                <w:sz w:val="20"/>
                <w:szCs w:val="20"/>
              </w:rPr>
            </w:pPr>
          </w:p>
        </w:tc>
        <w:tc>
          <w:tcPr>
            <w:tcW w:w="50" w:type="pct"/>
            <w:shd w:val="clear" w:color="auto" w:fill="auto"/>
            <w:vAlign w:val="center"/>
          </w:tcPr>
          <w:p w14:paraId="0BC9949E" w14:textId="77777777" w:rsidR="009F0928" w:rsidRDefault="009F0928">
            <w:pPr>
              <w:rPr>
                <w:rFonts w:ascii="Times New Roman" w:hAnsi="Times New Roman"/>
                <w:sz w:val="20"/>
                <w:szCs w:val="20"/>
              </w:rPr>
            </w:pPr>
          </w:p>
        </w:tc>
        <w:tc>
          <w:tcPr>
            <w:tcW w:w="50" w:type="pct"/>
            <w:shd w:val="clear" w:color="auto" w:fill="auto"/>
            <w:vAlign w:val="center"/>
          </w:tcPr>
          <w:p w14:paraId="0BC9949F" w14:textId="77777777" w:rsidR="009F0928" w:rsidRDefault="009F0928">
            <w:pPr>
              <w:rPr>
                <w:rFonts w:ascii="Times New Roman" w:hAnsi="Times New Roman"/>
                <w:sz w:val="20"/>
                <w:szCs w:val="20"/>
              </w:rPr>
            </w:pPr>
          </w:p>
        </w:tc>
        <w:tc>
          <w:tcPr>
            <w:tcW w:w="300" w:type="pct"/>
            <w:shd w:val="clear" w:color="auto" w:fill="auto"/>
            <w:vAlign w:val="center"/>
          </w:tcPr>
          <w:p w14:paraId="0BC994A0" w14:textId="77777777" w:rsidR="009F0928" w:rsidRDefault="009F0928">
            <w:pPr>
              <w:rPr>
                <w:rFonts w:ascii="Times New Roman" w:hAnsi="Times New Roman"/>
                <w:sz w:val="20"/>
                <w:szCs w:val="20"/>
              </w:rPr>
            </w:pPr>
          </w:p>
        </w:tc>
        <w:tc>
          <w:tcPr>
            <w:tcW w:w="50" w:type="pct"/>
            <w:shd w:val="clear" w:color="auto" w:fill="auto"/>
            <w:vAlign w:val="center"/>
          </w:tcPr>
          <w:p w14:paraId="0BC994A1" w14:textId="77777777" w:rsidR="009F0928" w:rsidRDefault="009F0928">
            <w:pPr>
              <w:rPr>
                <w:rFonts w:ascii="Times New Roman" w:hAnsi="Times New Roman"/>
                <w:sz w:val="20"/>
                <w:szCs w:val="20"/>
              </w:rPr>
            </w:pPr>
          </w:p>
        </w:tc>
        <w:tc>
          <w:tcPr>
            <w:tcW w:w="50" w:type="pct"/>
            <w:shd w:val="clear" w:color="auto" w:fill="auto"/>
            <w:vAlign w:val="center"/>
          </w:tcPr>
          <w:p w14:paraId="0BC994A2" w14:textId="77777777" w:rsidR="009F0928" w:rsidRDefault="009F0928">
            <w:pPr>
              <w:rPr>
                <w:rFonts w:ascii="Times New Roman" w:hAnsi="Times New Roman"/>
                <w:sz w:val="20"/>
                <w:szCs w:val="20"/>
              </w:rPr>
            </w:pPr>
          </w:p>
        </w:tc>
        <w:tc>
          <w:tcPr>
            <w:tcW w:w="450" w:type="pct"/>
            <w:shd w:val="clear" w:color="auto" w:fill="auto"/>
            <w:vAlign w:val="center"/>
          </w:tcPr>
          <w:p w14:paraId="0BC994A3" w14:textId="77777777" w:rsidR="009F0928" w:rsidRDefault="009F0928">
            <w:pPr>
              <w:rPr>
                <w:rFonts w:ascii="Times New Roman" w:hAnsi="Times New Roman"/>
                <w:sz w:val="20"/>
                <w:szCs w:val="20"/>
              </w:rPr>
            </w:pPr>
          </w:p>
        </w:tc>
      </w:tr>
      <w:tr w:rsidR="009F0928" w14:paraId="0BC994A9" w14:textId="77777777">
        <w:tc>
          <w:tcPr>
            <w:tcW w:w="0" w:type="auto"/>
            <w:shd w:val="clear" w:color="auto" w:fill="auto"/>
            <w:tcMar>
              <w:top w:w="40" w:type="dxa"/>
              <w:left w:w="40" w:type="dxa"/>
              <w:bottom w:w="40" w:type="dxa"/>
              <w:right w:w="40" w:type="dxa"/>
            </w:tcMar>
            <w:vAlign w:val="bottom"/>
          </w:tcPr>
          <w:p w14:paraId="0BC994A5"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13"/>
            <w:tcBorders>
              <w:bottom w:val="single" w:sz="8" w:space="0" w:color="000000"/>
            </w:tcBorders>
            <w:shd w:val="clear" w:color="auto" w:fill="auto"/>
            <w:tcMar>
              <w:top w:w="40" w:type="dxa"/>
              <w:left w:w="40" w:type="dxa"/>
              <w:bottom w:w="40" w:type="dxa"/>
            </w:tcMar>
            <w:vAlign w:val="bottom"/>
          </w:tcPr>
          <w:p w14:paraId="0BC994A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 2019</w:t>
            </w:r>
          </w:p>
        </w:tc>
        <w:tc>
          <w:tcPr>
            <w:tcW w:w="0" w:type="auto"/>
            <w:shd w:val="clear" w:color="auto" w:fill="auto"/>
            <w:tcMar>
              <w:top w:w="40" w:type="dxa"/>
              <w:left w:w="40" w:type="dxa"/>
              <w:bottom w:w="40" w:type="dxa"/>
              <w:right w:w="40" w:type="dxa"/>
            </w:tcMar>
            <w:vAlign w:val="bottom"/>
          </w:tcPr>
          <w:p w14:paraId="0BC994A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000000"/>
            </w:tcBorders>
            <w:shd w:val="clear" w:color="auto" w:fill="auto"/>
            <w:tcMar>
              <w:top w:w="40" w:type="dxa"/>
              <w:left w:w="40" w:type="dxa"/>
              <w:bottom w:w="40" w:type="dxa"/>
            </w:tcMar>
            <w:vAlign w:val="bottom"/>
          </w:tcPr>
          <w:p w14:paraId="0BC994A8"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 2018</w:t>
            </w:r>
          </w:p>
        </w:tc>
      </w:tr>
      <w:tr w:rsidR="009F0928" w14:paraId="0BC994BA" w14:textId="77777777">
        <w:tc>
          <w:tcPr>
            <w:tcW w:w="0" w:type="auto"/>
            <w:shd w:val="clear" w:color="auto" w:fill="auto"/>
            <w:tcMar>
              <w:top w:w="40" w:type="dxa"/>
              <w:left w:w="40" w:type="dxa"/>
              <w:bottom w:w="40" w:type="dxa"/>
              <w:right w:w="40" w:type="dxa"/>
            </w:tcMar>
            <w:vAlign w:val="bottom"/>
          </w:tcPr>
          <w:p w14:paraId="0BC994AA"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4AB"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Gross Carrying Amount</w:t>
            </w: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94A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4A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Accumulated Amortization</w:t>
            </w: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94A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4A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Net Carrying Amount</w:t>
            </w:r>
          </w:p>
        </w:tc>
        <w:tc>
          <w:tcPr>
            <w:tcW w:w="0" w:type="auto"/>
            <w:shd w:val="clear" w:color="auto" w:fill="auto"/>
            <w:tcMar>
              <w:top w:w="40" w:type="dxa"/>
              <w:left w:w="40" w:type="dxa"/>
              <w:bottom w:w="40" w:type="dxa"/>
              <w:right w:w="40" w:type="dxa"/>
            </w:tcMar>
            <w:vAlign w:val="bottom"/>
          </w:tcPr>
          <w:p w14:paraId="0BC994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4B1"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Weighted Average Useful Life (Years)</w:t>
            </w:r>
          </w:p>
        </w:tc>
        <w:tc>
          <w:tcPr>
            <w:tcW w:w="0" w:type="auto"/>
            <w:shd w:val="clear" w:color="auto" w:fill="auto"/>
            <w:tcMar>
              <w:top w:w="40" w:type="dxa"/>
              <w:left w:w="40" w:type="dxa"/>
              <w:bottom w:w="40" w:type="dxa"/>
              <w:right w:w="40" w:type="dxa"/>
            </w:tcMar>
            <w:vAlign w:val="bottom"/>
          </w:tcPr>
          <w:p w14:paraId="0BC994B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4B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Gross Carrying Amount</w:t>
            </w: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94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4B5"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Accumulated Amortization</w:t>
            </w: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94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4B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Net Carrying Amount</w:t>
            </w:r>
          </w:p>
        </w:tc>
        <w:tc>
          <w:tcPr>
            <w:tcW w:w="0" w:type="auto"/>
            <w:shd w:val="clear" w:color="auto" w:fill="auto"/>
            <w:tcMar>
              <w:top w:w="40" w:type="dxa"/>
              <w:left w:w="40" w:type="dxa"/>
              <w:bottom w:w="40" w:type="dxa"/>
              <w:right w:w="40" w:type="dxa"/>
            </w:tcMar>
            <w:vAlign w:val="bottom"/>
          </w:tcPr>
          <w:p w14:paraId="0BC994B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4B9"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Weighted Average Useful Life (Years)</w:t>
            </w:r>
          </w:p>
        </w:tc>
      </w:tr>
      <w:tr w:rsidR="009F0928" w14:paraId="0BC994CB" w14:textId="77777777">
        <w:tc>
          <w:tcPr>
            <w:tcW w:w="0" w:type="auto"/>
            <w:shd w:val="clear" w:color="auto" w:fill="E2E2E2"/>
            <w:tcMar>
              <w:top w:w="40" w:type="dxa"/>
              <w:left w:w="40" w:type="dxa"/>
              <w:bottom w:w="40" w:type="dxa"/>
              <w:right w:w="40" w:type="dxa"/>
            </w:tcMar>
            <w:vAlign w:val="bottom"/>
          </w:tcPr>
          <w:p w14:paraId="0BC994BB" w14:textId="77777777" w:rsidR="009F0928" w:rsidRDefault="002112BD">
            <w:pPr>
              <w:textAlignment w:val="bottom"/>
              <w:rPr>
                <w:rFonts w:ascii="Times New Roman" w:hAnsi="Times New Roman"/>
                <w:sz w:val="16"/>
                <w:szCs w:val="16"/>
              </w:rPr>
            </w:pPr>
            <w:r>
              <w:rPr>
                <w:rFonts w:ascii="Arial" w:eastAsia="宋体" w:hAnsi="Arial" w:cs="Arial"/>
                <w:sz w:val="16"/>
                <w:szCs w:val="16"/>
              </w:rPr>
              <w:t>Intangible assets:</w:t>
            </w:r>
          </w:p>
        </w:tc>
        <w:tc>
          <w:tcPr>
            <w:tcW w:w="0" w:type="auto"/>
            <w:gridSpan w:val="3"/>
            <w:shd w:val="clear" w:color="auto" w:fill="E2E2E2"/>
            <w:tcMar>
              <w:top w:w="40" w:type="dxa"/>
              <w:left w:w="40" w:type="dxa"/>
              <w:bottom w:w="40" w:type="dxa"/>
              <w:right w:w="40" w:type="dxa"/>
            </w:tcMar>
            <w:vAlign w:val="bottom"/>
          </w:tcPr>
          <w:p w14:paraId="0BC994BC"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94B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4BE"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94B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4C0"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94C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4C2"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94C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4C4"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94C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4C6"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94C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4C8"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E2E2E2"/>
            <w:tcMar>
              <w:top w:w="40" w:type="dxa"/>
              <w:left w:w="40" w:type="dxa"/>
              <w:bottom w:w="40" w:type="dxa"/>
              <w:right w:w="40" w:type="dxa"/>
            </w:tcMar>
            <w:vAlign w:val="bottom"/>
          </w:tcPr>
          <w:p w14:paraId="0BC994C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4CA"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 </w:t>
            </w:r>
          </w:p>
        </w:tc>
      </w:tr>
      <w:tr w:rsidR="009F0928" w14:paraId="0BC994E8" w14:textId="77777777">
        <w:tc>
          <w:tcPr>
            <w:tcW w:w="0" w:type="auto"/>
            <w:shd w:val="clear" w:color="auto" w:fill="auto"/>
            <w:tcMar>
              <w:top w:w="40" w:type="dxa"/>
              <w:left w:w="400" w:type="dxa"/>
              <w:bottom w:w="40" w:type="dxa"/>
              <w:right w:w="40" w:type="dxa"/>
            </w:tcMar>
            <w:vAlign w:val="bottom"/>
          </w:tcPr>
          <w:p w14:paraId="0BC994CC" w14:textId="77777777" w:rsidR="009F0928" w:rsidRDefault="002112BD">
            <w:pPr>
              <w:textAlignment w:val="bottom"/>
              <w:rPr>
                <w:rFonts w:ascii="Times New Roman" w:hAnsi="Times New Roman"/>
                <w:sz w:val="16"/>
                <w:szCs w:val="16"/>
              </w:rPr>
            </w:pPr>
            <w:r>
              <w:rPr>
                <w:rFonts w:ascii="Arial" w:eastAsia="宋体" w:hAnsi="Arial" w:cs="Arial"/>
                <w:sz w:val="16"/>
                <w:szCs w:val="16"/>
              </w:rPr>
              <w:t>Customer lists and user base</w:t>
            </w:r>
          </w:p>
        </w:tc>
        <w:tc>
          <w:tcPr>
            <w:tcW w:w="0" w:type="auto"/>
            <w:shd w:val="clear" w:color="auto" w:fill="auto"/>
            <w:tcMar>
              <w:top w:w="40" w:type="dxa"/>
              <w:left w:w="40" w:type="dxa"/>
              <w:bottom w:w="40" w:type="dxa"/>
            </w:tcMar>
            <w:vAlign w:val="bottom"/>
          </w:tcPr>
          <w:p w14:paraId="0BC994C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94C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502</w:t>
            </w:r>
          </w:p>
        </w:tc>
        <w:tc>
          <w:tcPr>
            <w:tcW w:w="0" w:type="auto"/>
            <w:shd w:val="clear" w:color="auto" w:fill="auto"/>
            <w:vAlign w:val="bottom"/>
          </w:tcPr>
          <w:p w14:paraId="0BC994C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4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4D1"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94D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(448</w:t>
            </w:r>
          </w:p>
        </w:tc>
        <w:tc>
          <w:tcPr>
            <w:tcW w:w="0" w:type="auto"/>
            <w:shd w:val="clear" w:color="auto" w:fill="auto"/>
            <w:tcMar>
              <w:top w:w="40" w:type="dxa"/>
              <w:bottom w:w="40" w:type="dxa"/>
              <w:right w:w="40" w:type="dxa"/>
            </w:tcMar>
            <w:vAlign w:val="bottom"/>
          </w:tcPr>
          <w:p w14:paraId="0BC994D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4D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4D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94D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54</w:t>
            </w:r>
          </w:p>
        </w:tc>
        <w:tc>
          <w:tcPr>
            <w:tcW w:w="0" w:type="auto"/>
            <w:shd w:val="clear" w:color="auto" w:fill="auto"/>
            <w:vAlign w:val="bottom"/>
          </w:tcPr>
          <w:p w14:paraId="0BC994D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4D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4D9"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auto"/>
            <w:tcMar>
              <w:top w:w="40" w:type="dxa"/>
              <w:left w:w="40" w:type="dxa"/>
              <w:bottom w:w="40" w:type="dxa"/>
              <w:right w:w="40" w:type="dxa"/>
            </w:tcMar>
            <w:vAlign w:val="bottom"/>
          </w:tcPr>
          <w:p w14:paraId="0BC994D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4D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94D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519</w:t>
            </w:r>
          </w:p>
        </w:tc>
        <w:tc>
          <w:tcPr>
            <w:tcW w:w="0" w:type="auto"/>
            <w:shd w:val="clear" w:color="auto" w:fill="auto"/>
            <w:vAlign w:val="bottom"/>
          </w:tcPr>
          <w:p w14:paraId="0BC994D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4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4D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94E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(445</w:t>
            </w:r>
          </w:p>
        </w:tc>
        <w:tc>
          <w:tcPr>
            <w:tcW w:w="0" w:type="auto"/>
            <w:shd w:val="clear" w:color="auto" w:fill="auto"/>
            <w:tcMar>
              <w:top w:w="40" w:type="dxa"/>
              <w:bottom w:w="40" w:type="dxa"/>
              <w:right w:w="40" w:type="dxa"/>
            </w:tcMar>
            <w:vAlign w:val="bottom"/>
          </w:tcPr>
          <w:p w14:paraId="0BC994E1"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4E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4E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94E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74</w:t>
            </w:r>
          </w:p>
        </w:tc>
        <w:tc>
          <w:tcPr>
            <w:tcW w:w="0" w:type="auto"/>
            <w:shd w:val="clear" w:color="auto" w:fill="auto"/>
            <w:vAlign w:val="bottom"/>
          </w:tcPr>
          <w:p w14:paraId="0BC994E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4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4E7"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5</w:t>
            </w:r>
          </w:p>
        </w:tc>
      </w:tr>
      <w:tr w:rsidR="009F0928" w14:paraId="0BC994FF" w14:textId="77777777">
        <w:tc>
          <w:tcPr>
            <w:tcW w:w="0" w:type="auto"/>
            <w:shd w:val="clear" w:color="auto" w:fill="E2E2E2"/>
            <w:tcMar>
              <w:top w:w="40" w:type="dxa"/>
              <w:left w:w="400" w:type="dxa"/>
              <w:bottom w:w="40" w:type="dxa"/>
              <w:right w:w="40" w:type="dxa"/>
            </w:tcMar>
            <w:vAlign w:val="bottom"/>
          </w:tcPr>
          <w:p w14:paraId="0BC994E9" w14:textId="77777777" w:rsidR="009F0928" w:rsidRDefault="002112BD">
            <w:pPr>
              <w:textAlignment w:val="bottom"/>
              <w:rPr>
                <w:rFonts w:ascii="Times New Roman" w:hAnsi="Times New Roman"/>
                <w:sz w:val="16"/>
                <w:szCs w:val="16"/>
              </w:rPr>
            </w:pPr>
            <w:r>
              <w:rPr>
                <w:rFonts w:ascii="Arial" w:eastAsia="宋体" w:hAnsi="Arial" w:cs="Arial"/>
                <w:sz w:val="16"/>
                <w:szCs w:val="16"/>
              </w:rPr>
              <w:t>Marketing-related</w:t>
            </w:r>
          </w:p>
        </w:tc>
        <w:tc>
          <w:tcPr>
            <w:tcW w:w="0" w:type="auto"/>
            <w:gridSpan w:val="2"/>
            <w:shd w:val="clear" w:color="auto" w:fill="E2E2E2"/>
            <w:tcMar>
              <w:top w:w="40" w:type="dxa"/>
              <w:left w:w="40" w:type="dxa"/>
              <w:bottom w:w="40" w:type="dxa"/>
            </w:tcMar>
            <w:vAlign w:val="bottom"/>
          </w:tcPr>
          <w:p w14:paraId="0BC994E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540</w:t>
            </w:r>
          </w:p>
        </w:tc>
        <w:tc>
          <w:tcPr>
            <w:tcW w:w="0" w:type="auto"/>
            <w:shd w:val="clear" w:color="auto" w:fill="E2E2E2"/>
            <w:vAlign w:val="bottom"/>
          </w:tcPr>
          <w:p w14:paraId="0BC994E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4E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4ED"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(535</w:t>
            </w:r>
          </w:p>
        </w:tc>
        <w:tc>
          <w:tcPr>
            <w:tcW w:w="0" w:type="auto"/>
            <w:shd w:val="clear" w:color="auto" w:fill="E2E2E2"/>
            <w:tcMar>
              <w:top w:w="40" w:type="dxa"/>
              <w:bottom w:w="40" w:type="dxa"/>
              <w:right w:w="40" w:type="dxa"/>
            </w:tcMar>
            <w:vAlign w:val="bottom"/>
          </w:tcPr>
          <w:p w14:paraId="0BC994EE"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4E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4F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E2E2E2"/>
            <w:vAlign w:val="bottom"/>
          </w:tcPr>
          <w:p w14:paraId="0BC994F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4F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4F3"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E2E2E2"/>
            <w:tcMar>
              <w:top w:w="40" w:type="dxa"/>
              <w:left w:w="40" w:type="dxa"/>
              <w:bottom w:w="40" w:type="dxa"/>
              <w:right w:w="40" w:type="dxa"/>
            </w:tcMar>
            <w:vAlign w:val="bottom"/>
          </w:tcPr>
          <w:p w14:paraId="0BC994F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4F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584</w:t>
            </w:r>
          </w:p>
        </w:tc>
        <w:tc>
          <w:tcPr>
            <w:tcW w:w="0" w:type="auto"/>
            <w:shd w:val="clear" w:color="auto" w:fill="E2E2E2"/>
            <w:vAlign w:val="bottom"/>
          </w:tcPr>
          <w:p w14:paraId="0BC994F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4F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4F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(578</w:t>
            </w:r>
          </w:p>
        </w:tc>
        <w:tc>
          <w:tcPr>
            <w:tcW w:w="0" w:type="auto"/>
            <w:shd w:val="clear" w:color="auto" w:fill="E2E2E2"/>
            <w:tcMar>
              <w:top w:w="40" w:type="dxa"/>
              <w:bottom w:w="40" w:type="dxa"/>
              <w:right w:w="40" w:type="dxa"/>
            </w:tcMar>
            <w:vAlign w:val="bottom"/>
          </w:tcPr>
          <w:p w14:paraId="0BC994F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4F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4F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w:t>
            </w:r>
          </w:p>
        </w:tc>
        <w:tc>
          <w:tcPr>
            <w:tcW w:w="0" w:type="auto"/>
            <w:shd w:val="clear" w:color="auto" w:fill="E2E2E2"/>
            <w:vAlign w:val="bottom"/>
          </w:tcPr>
          <w:p w14:paraId="0BC994F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4F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4FE"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5</w:t>
            </w:r>
          </w:p>
        </w:tc>
      </w:tr>
      <w:tr w:rsidR="009F0928" w14:paraId="0BC99516" w14:textId="77777777">
        <w:tc>
          <w:tcPr>
            <w:tcW w:w="0" w:type="auto"/>
            <w:shd w:val="clear" w:color="auto" w:fill="auto"/>
            <w:tcMar>
              <w:top w:w="40" w:type="dxa"/>
              <w:left w:w="400" w:type="dxa"/>
              <w:bottom w:w="40" w:type="dxa"/>
              <w:right w:w="40" w:type="dxa"/>
            </w:tcMar>
            <w:vAlign w:val="bottom"/>
          </w:tcPr>
          <w:p w14:paraId="0BC99500" w14:textId="77777777" w:rsidR="009F0928" w:rsidRDefault="002112BD">
            <w:pPr>
              <w:textAlignment w:val="bottom"/>
              <w:rPr>
                <w:rFonts w:ascii="Times New Roman" w:hAnsi="Times New Roman"/>
                <w:sz w:val="16"/>
                <w:szCs w:val="16"/>
              </w:rPr>
            </w:pPr>
            <w:r>
              <w:rPr>
                <w:rFonts w:ascii="Arial" w:eastAsia="宋体" w:hAnsi="Arial" w:cs="Arial"/>
                <w:sz w:val="16"/>
                <w:szCs w:val="16"/>
              </w:rPr>
              <w:t>Developed technologies</w:t>
            </w:r>
          </w:p>
        </w:tc>
        <w:tc>
          <w:tcPr>
            <w:tcW w:w="0" w:type="auto"/>
            <w:gridSpan w:val="2"/>
            <w:shd w:val="clear" w:color="auto" w:fill="auto"/>
            <w:tcMar>
              <w:top w:w="40" w:type="dxa"/>
              <w:left w:w="40" w:type="dxa"/>
              <w:bottom w:w="40" w:type="dxa"/>
            </w:tcMar>
            <w:vAlign w:val="bottom"/>
          </w:tcPr>
          <w:p w14:paraId="0BC9950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272</w:t>
            </w:r>
          </w:p>
        </w:tc>
        <w:tc>
          <w:tcPr>
            <w:tcW w:w="0" w:type="auto"/>
            <w:shd w:val="clear" w:color="auto" w:fill="auto"/>
            <w:vAlign w:val="bottom"/>
          </w:tcPr>
          <w:p w14:paraId="0BC9950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50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50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(267</w:t>
            </w:r>
          </w:p>
        </w:tc>
        <w:tc>
          <w:tcPr>
            <w:tcW w:w="0" w:type="auto"/>
            <w:shd w:val="clear" w:color="auto" w:fill="auto"/>
            <w:tcMar>
              <w:top w:w="40" w:type="dxa"/>
              <w:bottom w:w="40" w:type="dxa"/>
              <w:right w:w="40" w:type="dxa"/>
            </w:tcMar>
            <w:vAlign w:val="bottom"/>
          </w:tcPr>
          <w:p w14:paraId="0BC9950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50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50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auto"/>
            <w:vAlign w:val="bottom"/>
          </w:tcPr>
          <w:p w14:paraId="0BC9950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50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50A"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3</w:t>
            </w:r>
          </w:p>
        </w:tc>
        <w:tc>
          <w:tcPr>
            <w:tcW w:w="0" w:type="auto"/>
            <w:shd w:val="clear" w:color="auto" w:fill="auto"/>
            <w:tcMar>
              <w:top w:w="40" w:type="dxa"/>
              <w:left w:w="40" w:type="dxa"/>
              <w:bottom w:w="40" w:type="dxa"/>
              <w:right w:w="40" w:type="dxa"/>
            </w:tcMar>
            <w:vAlign w:val="bottom"/>
          </w:tcPr>
          <w:p w14:paraId="0BC9950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50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278</w:t>
            </w:r>
          </w:p>
        </w:tc>
        <w:tc>
          <w:tcPr>
            <w:tcW w:w="0" w:type="auto"/>
            <w:shd w:val="clear" w:color="auto" w:fill="auto"/>
            <w:vAlign w:val="bottom"/>
          </w:tcPr>
          <w:p w14:paraId="0BC9950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50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50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(269</w:t>
            </w:r>
          </w:p>
        </w:tc>
        <w:tc>
          <w:tcPr>
            <w:tcW w:w="0" w:type="auto"/>
            <w:shd w:val="clear" w:color="auto" w:fill="auto"/>
            <w:tcMar>
              <w:top w:w="40" w:type="dxa"/>
              <w:bottom w:w="40" w:type="dxa"/>
              <w:right w:w="40" w:type="dxa"/>
            </w:tcMar>
            <w:vAlign w:val="bottom"/>
          </w:tcPr>
          <w:p w14:paraId="0BC99510"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51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51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w:t>
            </w:r>
          </w:p>
        </w:tc>
        <w:tc>
          <w:tcPr>
            <w:tcW w:w="0" w:type="auto"/>
            <w:shd w:val="clear" w:color="auto" w:fill="auto"/>
            <w:vAlign w:val="bottom"/>
          </w:tcPr>
          <w:p w14:paraId="0BC9951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51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515"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3</w:t>
            </w:r>
          </w:p>
        </w:tc>
      </w:tr>
      <w:tr w:rsidR="009F0928" w14:paraId="0BC9952D" w14:textId="77777777">
        <w:tc>
          <w:tcPr>
            <w:tcW w:w="0" w:type="auto"/>
            <w:shd w:val="clear" w:color="auto" w:fill="E2E2E2"/>
            <w:tcMar>
              <w:top w:w="40" w:type="dxa"/>
              <w:left w:w="400" w:type="dxa"/>
              <w:bottom w:w="40" w:type="dxa"/>
              <w:right w:w="40" w:type="dxa"/>
            </w:tcMar>
            <w:vAlign w:val="bottom"/>
          </w:tcPr>
          <w:p w14:paraId="0BC99517" w14:textId="77777777" w:rsidR="009F0928" w:rsidRDefault="002112BD">
            <w:pPr>
              <w:textAlignment w:val="bottom"/>
              <w:rPr>
                <w:rFonts w:ascii="Times New Roman" w:hAnsi="Times New Roman"/>
                <w:sz w:val="16"/>
                <w:szCs w:val="16"/>
              </w:rPr>
            </w:pPr>
            <w:r>
              <w:rPr>
                <w:rFonts w:ascii="Arial" w:eastAsia="宋体" w:hAnsi="Arial" w:cs="Arial"/>
                <w:sz w:val="16"/>
                <w:szCs w:val="16"/>
              </w:rPr>
              <w:t>All other</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51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161</w:t>
            </w:r>
          </w:p>
        </w:tc>
        <w:tc>
          <w:tcPr>
            <w:tcW w:w="0" w:type="auto"/>
            <w:tcBorders>
              <w:bottom w:val="single" w:sz="8" w:space="0" w:color="000000"/>
            </w:tcBorders>
            <w:shd w:val="clear" w:color="auto" w:fill="E2E2E2"/>
            <w:vAlign w:val="bottom"/>
          </w:tcPr>
          <w:p w14:paraId="0BC9951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51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51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(158</w:t>
            </w:r>
          </w:p>
        </w:tc>
        <w:tc>
          <w:tcPr>
            <w:tcW w:w="0" w:type="auto"/>
            <w:tcBorders>
              <w:bottom w:val="single" w:sz="8" w:space="0" w:color="000000"/>
            </w:tcBorders>
            <w:shd w:val="clear" w:color="auto" w:fill="E2E2E2"/>
            <w:tcMar>
              <w:top w:w="40" w:type="dxa"/>
              <w:bottom w:w="40" w:type="dxa"/>
              <w:right w:w="40" w:type="dxa"/>
            </w:tcMar>
            <w:vAlign w:val="bottom"/>
          </w:tcPr>
          <w:p w14:paraId="0BC9951C"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51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51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w:t>
            </w:r>
          </w:p>
        </w:tc>
        <w:tc>
          <w:tcPr>
            <w:tcW w:w="0" w:type="auto"/>
            <w:tcBorders>
              <w:bottom w:val="single" w:sz="8" w:space="0" w:color="000000"/>
            </w:tcBorders>
            <w:shd w:val="clear" w:color="auto" w:fill="E2E2E2"/>
            <w:vAlign w:val="bottom"/>
          </w:tcPr>
          <w:p w14:paraId="0BC9951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52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521"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4</w:t>
            </w:r>
          </w:p>
        </w:tc>
        <w:tc>
          <w:tcPr>
            <w:tcW w:w="0" w:type="auto"/>
            <w:shd w:val="clear" w:color="auto" w:fill="E2E2E2"/>
            <w:tcMar>
              <w:top w:w="40" w:type="dxa"/>
              <w:left w:w="40" w:type="dxa"/>
              <w:bottom w:w="40" w:type="dxa"/>
              <w:right w:w="40" w:type="dxa"/>
            </w:tcMar>
            <w:vAlign w:val="bottom"/>
          </w:tcPr>
          <w:p w14:paraId="0BC9952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523"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160</w:t>
            </w:r>
          </w:p>
        </w:tc>
        <w:tc>
          <w:tcPr>
            <w:tcW w:w="0" w:type="auto"/>
            <w:tcBorders>
              <w:bottom w:val="single" w:sz="8" w:space="0" w:color="000000"/>
            </w:tcBorders>
            <w:shd w:val="clear" w:color="auto" w:fill="E2E2E2"/>
            <w:vAlign w:val="bottom"/>
          </w:tcPr>
          <w:p w14:paraId="0BC9952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52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52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(157</w:t>
            </w:r>
          </w:p>
        </w:tc>
        <w:tc>
          <w:tcPr>
            <w:tcW w:w="0" w:type="auto"/>
            <w:tcBorders>
              <w:bottom w:val="single" w:sz="8" w:space="0" w:color="000000"/>
            </w:tcBorders>
            <w:shd w:val="clear" w:color="auto" w:fill="E2E2E2"/>
            <w:tcMar>
              <w:top w:w="40" w:type="dxa"/>
              <w:bottom w:w="40" w:type="dxa"/>
              <w:right w:w="40" w:type="dxa"/>
            </w:tcMar>
            <w:vAlign w:val="bottom"/>
          </w:tcPr>
          <w:p w14:paraId="0BC9952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52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52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w:t>
            </w:r>
          </w:p>
        </w:tc>
        <w:tc>
          <w:tcPr>
            <w:tcW w:w="0" w:type="auto"/>
            <w:tcBorders>
              <w:bottom w:val="single" w:sz="8" w:space="0" w:color="000000"/>
            </w:tcBorders>
            <w:shd w:val="clear" w:color="auto" w:fill="E2E2E2"/>
            <w:vAlign w:val="bottom"/>
          </w:tcPr>
          <w:p w14:paraId="0BC9952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52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52C"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4</w:t>
            </w:r>
          </w:p>
        </w:tc>
      </w:tr>
      <w:tr w:rsidR="009F0928" w14:paraId="0BC9954A" w14:textId="77777777">
        <w:tc>
          <w:tcPr>
            <w:tcW w:w="0" w:type="auto"/>
            <w:shd w:val="clear" w:color="auto" w:fill="auto"/>
            <w:tcMar>
              <w:top w:w="40" w:type="dxa"/>
              <w:left w:w="720" w:type="dxa"/>
              <w:bottom w:w="40" w:type="dxa"/>
              <w:right w:w="40" w:type="dxa"/>
            </w:tcMar>
            <w:vAlign w:val="bottom"/>
          </w:tcPr>
          <w:p w14:paraId="0BC9952E" w14:textId="77777777" w:rsidR="009F0928" w:rsidRDefault="002112BD">
            <w:pPr>
              <w:textAlignment w:val="bottom"/>
              <w:rPr>
                <w:rFonts w:ascii="Times New Roman" w:hAnsi="Times New Roman"/>
                <w:sz w:val="16"/>
                <w:szCs w:val="16"/>
              </w:rPr>
            </w:pPr>
            <w:r>
              <w:rPr>
                <w:rFonts w:ascii="Arial" w:eastAsia="宋体" w:hAnsi="Arial" w:cs="Arial"/>
                <w:sz w:val="16"/>
                <w:szCs w:val="16"/>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52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53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1,475</w:t>
            </w:r>
          </w:p>
        </w:tc>
        <w:tc>
          <w:tcPr>
            <w:tcW w:w="0" w:type="auto"/>
            <w:tcBorders>
              <w:top w:val="single" w:sz="8" w:space="0" w:color="000000"/>
              <w:bottom w:val="double" w:sz="6" w:space="0" w:color="000000"/>
            </w:tcBorders>
            <w:shd w:val="clear" w:color="auto" w:fill="auto"/>
            <w:vAlign w:val="bottom"/>
          </w:tcPr>
          <w:p w14:paraId="0BC9953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53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53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53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(1,408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BC9953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5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53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53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67</w:t>
            </w:r>
          </w:p>
        </w:tc>
        <w:tc>
          <w:tcPr>
            <w:tcW w:w="0" w:type="auto"/>
            <w:tcBorders>
              <w:top w:val="single" w:sz="8" w:space="0" w:color="000000"/>
              <w:bottom w:val="double" w:sz="6" w:space="0" w:color="000000"/>
            </w:tcBorders>
            <w:shd w:val="clear" w:color="auto" w:fill="auto"/>
            <w:vAlign w:val="bottom"/>
          </w:tcPr>
          <w:p w14:paraId="0BC9953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5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53B"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953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53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53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1,541</w:t>
            </w:r>
          </w:p>
        </w:tc>
        <w:tc>
          <w:tcPr>
            <w:tcW w:w="0" w:type="auto"/>
            <w:tcBorders>
              <w:top w:val="single" w:sz="8" w:space="0" w:color="000000"/>
              <w:bottom w:val="double" w:sz="6" w:space="0" w:color="000000"/>
            </w:tcBorders>
            <w:shd w:val="clear" w:color="auto" w:fill="auto"/>
            <w:vAlign w:val="bottom"/>
          </w:tcPr>
          <w:p w14:paraId="0BC9953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54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541"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54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(1,449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BC9954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54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54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54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92</w:t>
            </w:r>
          </w:p>
        </w:tc>
        <w:tc>
          <w:tcPr>
            <w:tcW w:w="0" w:type="auto"/>
            <w:tcBorders>
              <w:top w:val="single" w:sz="8" w:space="0" w:color="000000"/>
              <w:bottom w:val="double" w:sz="6" w:space="0" w:color="000000"/>
            </w:tcBorders>
            <w:shd w:val="clear" w:color="auto" w:fill="auto"/>
            <w:vAlign w:val="bottom"/>
          </w:tcPr>
          <w:p w14:paraId="0BC9954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54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549" w14:textId="77777777" w:rsidR="009F0928" w:rsidRDefault="002112BD">
            <w:pPr>
              <w:jc w:val="center"/>
              <w:textAlignment w:val="bottom"/>
              <w:rPr>
                <w:rFonts w:ascii="Times New Roman" w:hAnsi="Times New Roman"/>
                <w:sz w:val="16"/>
                <w:szCs w:val="16"/>
              </w:rPr>
            </w:pPr>
            <w:r>
              <w:rPr>
                <w:rFonts w:ascii="Arial" w:eastAsia="宋体" w:hAnsi="Arial" w:cs="Arial"/>
                <w:sz w:val="16"/>
                <w:szCs w:val="16"/>
              </w:rPr>
              <w:t> </w:t>
            </w:r>
          </w:p>
        </w:tc>
      </w:tr>
    </w:tbl>
    <w:p w14:paraId="0BC9954B" w14:textId="77777777" w:rsidR="009F0928" w:rsidRDefault="009F0928">
      <w:pPr>
        <w:spacing w:line="288" w:lineRule="auto"/>
        <w:jc w:val="both"/>
        <w:rPr>
          <w:rFonts w:ascii="Times New Roman" w:hAnsi="Times New Roman"/>
          <w:sz w:val="20"/>
          <w:szCs w:val="20"/>
        </w:rPr>
      </w:pPr>
    </w:p>
    <w:p w14:paraId="0BC9954C"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w:t>
      </w:r>
    </w:p>
    <w:p w14:paraId="0BC9954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Amortization expense for intangible assets was $55 million, $63 mi</w:t>
      </w:r>
      <w:r>
        <w:rPr>
          <w:rFonts w:ascii="Arial" w:eastAsia="宋体" w:hAnsi="Arial" w:cs="Arial"/>
          <w:sz w:val="20"/>
          <w:szCs w:val="20"/>
        </w:rPr>
        <w:t xml:space="preserve">llion and $64 million for the years ended December 31, 2019, 2018 and 2017, respectively. </w:t>
      </w:r>
    </w:p>
    <w:p w14:paraId="0BC9954E" w14:textId="77777777" w:rsidR="009F0928" w:rsidRDefault="009F0928">
      <w:pPr>
        <w:spacing w:line="288" w:lineRule="auto"/>
        <w:jc w:val="both"/>
        <w:rPr>
          <w:rFonts w:ascii="Times New Roman" w:hAnsi="Times New Roman"/>
          <w:sz w:val="20"/>
          <w:szCs w:val="20"/>
        </w:rPr>
      </w:pPr>
    </w:p>
    <w:p w14:paraId="0BC9954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Expected future intangible asset amortization as of December 31, 2019 is as follows (in millions):</w:t>
      </w:r>
    </w:p>
    <w:tbl>
      <w:tblPr>
        <w:tblW w:w="5000" w:type="pct"/>
        <w:tblCellMar>
          <w:left w:w="0" w:type="dxa"/>
          <w:right w:w="0" w:type="dxa"/>
        </w:tblCellMar>
        <w:tblLook w:val="04A0" w:firstRow="1" w:lastRow="0" w:firstColumn="1" w:lastColumn="0" w:noHBand="0" w:noVBand="1"/>
      </w:tblPr>
      <w:tblGrid>
        <w:gridCol w:w="7206"/>
        <w:gridCol w:w="141"/>
        <w:gridCol w:w="895"/>
        <w:gridCol w:w="64"/>
      </w:tblGrid>
      <w:tr w:rsidR="009F0928" w14:paraId="0BC99551" w14:textId="77777777">
        <w:tc>
          <w:tcPr>
            <w:tcW w:w="0" w:type="auto"/>
            <w:gridSpan w:val="4"/>
            <w:shd w:val="clear" w:color="auto" w:fill="auto"/>
            <w:vAlign w:val="center"/>
          </w:tcPr>
          <w:p w14:paraId="0BC99550" w14:textId="77777777" w:rsidR="009F0928" w:rsidRDefault="009F0928">
            <w:pPr>
              <w:rPr>
                <w:rFonts w:ascii="Times New Roman" w:hAnsi="Times New Roman"/>
                <w:sz w:val="20"/>
                <w:szCs w:val="20"/>
              </w:rPr>
            </w:pPr>
          </w:p>
        </w:tc>
      </w:tr>
      <w:tr w:rsidR="009F0928" w14:paraId="0BC99556" w14:textId="77777777">
        <w:tc>
          <w:tcPr>
            <w:tcW w:w="4350" w:type="pct"/>
            <w:shd w:val="clear" w:color="auto" w:fill="auto"/>
            <w:vAlign w:val="center"/>
          </w:tcPr>
          <w:p w14:paraId="0BC99552" w14:textId="77777777" w:rsidR="009F0928" w:rsidRDefault="009F0928">
            <w:pPr>
              <w:rPr>
                <w:rFonts w:ascii="Times New Roman" w:hAnsi="Times New Roman"/>
                <w:sz w:val="20"/>
                <w:szCs w:val="20"/>
              </w:rPr>
            </w:pPr>
          </w:p>
        </w:tc>
        <w:tc>
          <w:tcPr>
            <w:tcW w:w="50" w:type="pct"/>
            <w:shd w:val="clear" w:color="auto" w:fill="auto"/>
            <w:vAlign w:val="center"/>
          </w:tcPr>
          <w:p w14:paraId="0BC99553" w14:textId="77777777" w:rsidR="009F0928" w:rsidRDefault="009F0928">
            <w:pPr>
              <w:rPr>
                <w:rFonts w:ascii="Times New Roman" w:hAnsi="Times New Roman"/>
                <w:sz w:val="20"/>
                <w:szCs w:val="20"/>
              </w:rPr>
            </w:pPr>
          </w:p>
        </w:tc>
        <w:tc>
          <w:tcPr>
            <w:tcW w:w="550" w:type="pct"/>
            <w:shd w:val="clear" w:color="auto" w:fill="auto"/>
            <w:vAlign w:val="center"/>
          </w:tcPr>
          <w:p w14:paraId="0BC99554" w14:textId="77777777" w:rsidR="009F0928" w:rsidRDefault="009F0928">
            <w:pPr>
              <w:rPr>
                <w:rFonts w:ascii="Times New Roman" w:hAnsi="Times New Roman"/>
                <w:sz w:val="20"/>
                <w:szCs w:val="20"/>
              </w:rPr>
            </w:pPr>
          </w:p>
        </w:tc>
        <w:tc>
          <w:tcPr>
            <w:tcW w:w="50" w:type="pct"/>
            <w:shd w:val="clear" w:color="auto" w:fill="auto"/>
            <w:vAlign w:val="center"/>
          </w:tcPr>
          <w:p w14:paraId="0BC99555" w14:textId="77777777" w:rsidR="009F0928" w:rsidRDefault="009F0928">
            <w:pPr>
              <w:rPr>
                <w:rFonts w:ascii="Times New Roman" w:hAnsi="Times New Roman"/>
                <w:sz w:val="20"/>
                <w:szCs w:val="20"/>
              </w:rPr>
            </w:pPr>
          </w:p>
        </w:tc>
      </w:tr>
      <w:tr w:rsidR="009F0928" w14:paraId="0BC99559" w14:textId="77777777">
        <w:tc>
          <w:tcPr>
            <w:tcW w:w="0" w:type="auto"/>
            <w:shd w:val="clear" w:color="auto" w:fill="auto"/>
            <w:tcMar>
              <w:top w:w="40" w:type="dxa"/>
              <w:left w:w="40" w:type="dxa"/>
              <w:bottom w:w="40" w:type="dxa"/>
              <w:right w:w="40" w:type="dxa"/>
            </w:tcMar>
            <w:vAlign w:val="bottom"/>
          </w:tcPr>
          <w:p w14:paraId="0BC99557"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Fiscal year:</w:t>
            </w:r>
          </w:p>
        </w:tc>
        <w:tc>
          <w:tcPr>
            <w:tcW w:w="0" w:type="auto"/>
            <w:gridSpan w:val="3"/>
            <w:shd w:val="clear" w:color="auto" w:fill="auto"/>
            <w:tcMar>
              <w:top w:w="40" w:type="dxa"/>
              <w:left w:w="40" w:type="dxa"/>
              <w:bottom w:w="40" w:type="dxa"/>
              <w:right w:w="40" w:type="dxa"/>
            </w:tcMar>
            <w:vAlign w:val="bottom"/>
          </w:tcPr>
          <w:p w14:paraId="0BC9955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55E" w14:textId="77777777">
        <w:tc>
          <w:tcPr>
            <w:tcW w:w="0" w:type="auto"/>
            <w:shd w:val="clear" w:color="auto" w:fill="E2E2E2"/>
            <w:tcMar>
              <w:top w:w="40" w:type="dxa"/>
              <w:left w:w="40" w:type="dxa"/>
              <w:bottom w:w="40" w:type="dxa"/>
              <w:right w:w="40" w:type="dxa"/>
            </w:tcMar>
            <w:vAlign w:val="bottom"/>
          </w:tcPr>
          <w:p w14:paraId="0BC9955A" w14:textId="77777777" w:rsidR="009F0928" w:rsidRDefault="002112BD">
            <w:pPr>
              <w:textAlignment w:val="bottom"/>
              <w:rPr>
                <w:rFonts w:ascii="Times New Roman" w:hAnsi="Times New Roman"/>
                <w:sz w:val="18"/>
                <w:szCs w:val="18"/>
              </w:rPr>
            </w:pPr>
            <w:r>
              <w:rPr>
                <w:rFonts w:ascii="Arial" w:eastAsia="宋体" w:hAnsi="Arial" w:cs="Arial"/>
                <w:sz w:val="18"/>
                <w:szCs w:val="18"/>
              </w:rPr>
              <w:t>2020</w:t>
            </w:r>
          </w:p>
        </w:tc>
        <w:tc>
          <w:tcPr>
            <w:tcW w:w="0" w:type="auto"/>
            <w:shd w:val="clear" w:color="auto" w:fill="E2E2E2"/>
            <w:tcMar>
              <w:top w:w="40" w:type="dxa"/>
              <w:left w:w="40" w:type="dxa"/>
              <w:bottom w:w="40" w:type="dxa"/>
            </w:tcMar>
            <w:vAlign w:val="bottom"/>
          </w:tcPr>
          <w:p w14:paraId="0BC9955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55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45</w:t>
            </w:r>
          </w:p>
        </w:tc>
        <w:tc>
          <w:tcPr>
            <w:tcW w:w="0" w:type="auto"/>
            <w:shd w:val="clear" w:color="auto" w:fill="E2E2E2"/>
            <w:vAlign w:val="bottom"/>
          </w:tcPr>
          <w:p w14:paraId="0BC9955D" w14:textId="77777777" w:rsidR="009F0928" w:rsidRDefault="009F0928">
            <w:pPr>
              <w:textAlignment w:val="bottom"/>
              <w:rPr>
                <w:rFonts w:ascii="Times New Roman" w:hAnsi="Times New Roman"/>
                <w:sz w:val="20"/>
                <w:szCs w:val="20"/>
              </w:rPr>
            </w:pPr>
          </w:p>
        </w:tc>
      </w:tr>
      <w:tr w:rsidR="009F0928" w14:paraId="0BC99562" w14:textId="77777777">
        <w:tc>
          <w:tcPr>
            <w:tcW w:w="0" w:type="auto"/>
            <w:shd w:val="clear" w:color="auto" w:fill="auto"/>
            <w:tcMar>
              <w:top w:w="40" w:type="dxa"/>
              <w:left w:w="40" w:type="dxa"/>
              <w:bottom w:w="40" w:type="dxa"/>
              <w:right w:w="40" w:type="dxa"/>
            </w:tcMar>
            <w:vAlign w:val="bottom"/>
          </w:tcPr>
          <w:p w14:paraId="0BC9955F" w14:textId="77777777" w:rsidR="009F0928" w:rsidRDefault="002112BD">
            <w:pPr>
              <w:textAlignment w:val="bottom"/>
              <w:rPr>
                <w:rFonts w:ascii="Times New Roman" w:hAnsi="Times New Roman"/>
                <w:sz w:val="18"/>
                <w:szCs w:val="18"/>
              </w:rPr>
            </w:pPr>
            <w:r>
              <w:rPr>
                <w:rFonts w:ascii="Arial" w:eastAsia="宋体" w:hAnsi="Arial" w:cs="Arial"/>
                <w:sz w:val="18"/>
                <w:szCs w:val="18"/>
              </w:rPr>
              <w:t>2021</w:t>
            </w:r>
          </w:p>
        </w:tc>
        <w:tc>
          <w:tcPr>
            <w:tcW w:w="0" w:type="auto"/>
            <w:gridSpan w:val="2"/>
            <w:shd w:val="clear" w:color="auto" w:fill="auto"/>
            <w:tcMar>
              <w:top w:w="40" w:type="dxa"/>
              <w:left w:w="40" w:type="dxa"/>
              <w:bottom w:w="40" w:type="dxa"/>
            </w:tcMar>
            <w:vAlign w:val="bottom"/>
          </w:tcPr>
          <w:p w14:paraId="0BC9956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w:t>
            </w:r>
          </w:p>
        </w:tc>
        <w:tc>
          <w:tcPr>
            <w:tcW w:w="0" w:type="auto"/>
            <w:shd w:val="clear" w:color="auto" w:fill="auto"/>
            <w:vAlign w:val="bottom"/>
          </w:tcPr>
          <w:p w14:paraId="0BC99561" w14:textId="77777777" w:rsidR="009F0928" w:rsidRDefault="009F0928">
            <w:pPr>
              <w:textAlignment w:val="bottom"/>
              <w:rPr>
                <w:rFonts w:ascii="Times New Roman" w:hAnsi="Times New Roman"/>
                <w:sz w:val="20"/>
                <w:szCs w:val="20"/>
              </w:rPr>
            </w:pPr>
          </w:p>
        </w:tc>
      </w:tr>
      <w:tr w:rsidR="009F0928" w14:paraId="0BC99566" w14:textId="77777777">
        <w:tc>
          <w:tcPr>
            <w:tcW w:w="0" w:type="auto"/>
            <w:shd w:val="clear" w:color="auto" w:fill="E2E2E2"/>
            <w:tcMar>
              <w:top w:w="40" w:type="dxa"/>
              <w:left w:w="40" w:type="dxa"/>
              <w:bottom w:w="40" w:type="dxa"/>
              <w:right w:w="40" w:type="dxa"/>
            </w:tcMar>
            <w:vAlign w:val="bottom"/>
          </w:tcPr>
          <w:p w14:paraId="0BC99563" w14:textId="77777777" w:rsidR="009F0928" w:rsidRDefault="002112BD">
            <w:pPr>
              <w:textAlignment w:val="bottom"/>
              <w:rPr>
                <w:rFonts w:ascii="Times New Roman" w:hAnsi="Times New Roman"/>
                <w:sz w:val="18"/>
                <w:szCs w:val="18"/>
              </w:rPr>
            </w:pPr>
            <w:r>
              <w:rPr>
                <w:rFonts w:ascii="Arial" w:eastAsia="宋体" w:hAnsi="Arial" w:cs="Arial"/>
                <w:sz w:val="18"/>
                <w:szCs w:val="18"/>
              </w:rPr>
              <w:t>2022</w:t>
            </w:r>
          </w:p>
        </w:tc>
        <w:tc>
          <w:tcPr>
            <w:tcW w:w="0" w:type="auto"/>
            <w:gridSpan w:val="2"/>
            <w:shd w:val="clear" w:color="auto" w:fill="E2E2E2"/>
            <w:tcMar>
              <w:top w:w="40" w:type="dxa"/>
              <w:left w:w="40" w:type="dxa"/>
              <w:bottom w:w="40" w:type="dxa"/>
            </w:tcMar>
            <w:vAlign w:val="bottom"/>
          </w:tcPr>
          <w:p w14:paraId="0BC9956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w:t>
            </w:r>
          </w:p>
        </w:tc>
        <w:tc>
          <w:tcPr>
            <w:tcW w:w="0" w:type="auto"/>
            <w:shd w:val="clear" w:color="auto" w:fill="E2E2E2"/>
            <w:vAlign w:val="bottom"/>
          </w:tcPr>
          <w:p w14:paraId="0BC99565" w14:textId="77777777" w:rsidR="009F0928" w:rsidRDefault="009F0928">
            <w:pPr>
              <w:textAlignment w:val="bottom"/>
              <w:rPr>
                <w:rFonts w:ascii="Times New Roman" w:hAnsi="Times New Roman"/>
                <w:sz w:val="20"/>
                <w:szCs w:val="20"/>
              </w:rPr>
            </w:pPr>
          </w:p>
        </w:tc>
      </w:tr>
      <w:tr w:rsidR="009F0928" w14:paraId="0BC9956A" w14:textId="77777777">
        <w:tc>
          <w:tcPr>
            <w:tcW w:w="0" w:type="auto"/>
            <w:shd w:val="clear" w:color="auto" w:fill="auto"/>
            <w:tcMar>
              <w:top w:w="40" w:type="dxa"/>
              <w:left w:w="40" w:type="dxa"/>
              <w:bottom w:w="40" w:type="dxa"/>
              <w:right w:w="40" w:type="dxa"/>
            </w:tcMar>
            <w:vAlign w:val="bottom"/>
          </w:tcPr>
          <w:p w14:paraId="0BC99567" w14:textId="77777777" w:rsidR="009F0928" w:rsidRDefault="002112BD">
            <w:pPr>
              <w:textAlignment w:val="bottom"/>
              <w:rPr>
                <w:rFonts w:ascii="Times New Roman" w:hAnsi="Times New Roman"/>
                <w:sz w:val="18"/>
                <w:szCs w:val="18"/>
              </w:rPr>
            </w:pPr>
            <w:r>
              <w:rPr>
                <w:rFonts w:ascii="Arial" w:eastAsia="宋体" w:hAnsi="Arial" w:cs="Arial"/>
                <w:sz w:val="18"/>
                <w:szCs w:val="18"/>
              </w:rPr>
              <w:t>2023</w:t>
            </w:r>
          </w:p>
        </w:tc>
        <w:tc>
          <w:tcPr>
            <w:tcW w:w="0" w:type="auto"/>
            <w:gridSpan w:val="2"/>
            <w:shd w:val="clear" w:color="auto" w:fill="auto"/>
            <w:tcMar>
              <w:top w:w="40" w:type="dxa"/>
              <w:left w:w="40" w:type="dxa"/>
              <w:bottom w:w="40" w:type="dxa"/>
            </w:tcMar>
            <w:vAlign w:val="bottom"/>
          </w:tcPr>
          <w:p w14:paraId="0BC9956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w:t>
            </w:r>
          </w:p>
        </w:tc>
        <w:tc>
          <w:tcPr>
            <w:tcW w:w="0" w:type="auto"/>
            <w:shd w:val="clear" w:color="auto" w:fill="auto"/>
            <w:vAlign w:val="bottom"/>
          </w:tcPr>
          <w:p w14:paraId="0BC99569" w14:textId="77777777" w:rsidR="009F0928" w:rsidRDefault="009F0928">
            <w:pPr>
              <w:textAlignment w:val="bottom"/>
              <w:rPr>
                <w:rFonts w:ascii="Times New Roman" w:hAnsi="Times New Roman"/>
                <w:sz w:val="20"/>
                <w:szCs w:val="20"/>
              </w:rPr>
            </w:pPr>
          </w:p>
        </w:tc>
      </w:tr>
      <w:tr w:rsidR="009F0928" w14:paraId="0BC9956E" w14:textId="77777777">
        <w:tc>
          <w:tcPr>
            <w:tcW w:w="0" w:type="auto"/>
            <w:shd w:val="clear" w:color="auto" w:fill="E2E2E2"/>
            <w:tcMar>
              <w:top w:w="40" w:type="dxa"/>
              <w:left w:w="40" w:type="dxa"/>
              <w:bottom w:w="40" w:type="dxa"/>
              <w:right w:w="40" w:type="dxa"/>
            </w:tcMar>
            <w:vAlign w:val="bottom"/>
          </w:tcPr>
          <w:p w14:paraId="0BC9956B" w14:textId="77777777" w:rsidR="009F0928" w:rsidRDefault="002112BD">
            <w:pPr>
              <w:textAlignment w:val="bottom"/>
              <w:rPr>
                <w:rFonts w:ascii="Times New Roman" w:hAnsi="Times New Roman"/>
                <w:sz w:val="18"/>
                <w:szCs w:val="18"/>
              </w:rPr>
            </w:pPr>
            <w:r>
              <w:rPr>
                <w:rFonts w:ascii="Arial" w:eastAsia="宋体" w:hAnsi="Arial" w:cs="Arial"/>
                <w:sz w:val="18"/>
                <w:szCs w:val="18"/>
              </w:rPr>
              <w:t>2024</w:t>
            </w:r>
          </w:p>
        </w:tc>
        <w:tc>
          <w:tcPr>
            <w:tcW w:w="0" w:type="auto"/>
            <w:gridSpan w:val="2"/>
            <w:shd w:val="clear" w:color="auto" w:fill="E2E2E2"/>
            <w:tcMar>
              <w:top w:w="40" w:type="dxa"/>
              <w:left w:w="40" w:type="dxa"/>
              <w:bottom w:w="40" w:type="dxa"/>
            </w:tcMar>
            <w:vAlign w:val="bottom"/>
          </w:tcPr>
          <w:p w14:paraId="0BC9956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956D" w14:textId="77777777" w:rsidR="009F0928" w:rsidRDefault="009F0928">
            <w:pPr>
              <w:textAlignment w:val="bottom"/>
              <w:rPr>
                <w:rFonts w:ascii="Times New Roman" w:hAnsi="Times New Roman"/>
                <w:sz w:val="20"/>
                <w:szCs w:val="20"/>
              </w:rPr>
            </w:pPr>
          </w:p>
        </w:tc>
      </w:tr>
      <w:tr w:rsidR="009F0928" w14:paraId="0BC99573" w14:textId="77777777">
        <w:tc>
          <w:tcPr>
            <w:tcW w:w="0" w:type="auto"/>
            <w:shd w:val="clear" w:color="auto" w:fill="auto"/>
            <w:tcMar>
              <w:top w:w="40" w:type="dxa"/>
              <w:left w:w="240" w:type="dxa"/>
              <w:bottom w:w="40" w:type="dxa"/>
              <w:right w:w="40" w:type="dxa"/>
            </w:tcMar>
            <w:vAlign w:val="bottom"/>
          </w:tcPr>
          <w:p w14:paraId="0BC9956F" w14:textId="77777777" w:rsidR="009F0928" w:rsidRDefault="002112BD">
            <w:pPr>
              <w:textAlignment w:val="bottom"/>
              <w:rPr>
                <w:rFonts w:ascii="Times New Roman" w:hAnsi="Times New Roman"/>
                <w:sz w:val="18"/>
                <w:szCs w:val="18"/>
              </w:rPr>
            </w:pPr>
            <w:r>
              <w:rPr>
                <w:rFonts w:ascii="Arial" w:eastAsia="宋体" w:hAnsi="Arial" w:cs="Arial"/>
                <w:sz w:val="18"/>
                <w:szCs w:val="18"/>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57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57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67</w:t>
            </w:r>
          </w:p>
        </w:tc>
        <w:tc>
          <w:tcPr>
            <w:tcW w:w="0" w:type="auto"/>
            <w:tcBorders>
              <w:top w:val="single" w:sz="8" w:space="0" w:color="000000"/>
              <w:bottom w:val="double" w:sz="6" w:space="0" w:color="000000"/>
            </w:tcBorders>
            <w:shd w:val="clear" w:color="auto" w:fill="auto"/>
            <w:vAlign w:val="bottom"/>
          </w:tcPr>
          <w:p w14:paraId="0BC99572" w14:textId="77777777" w:rsidR="009F0928" w:rsidRDefault="009F0928">
            <w:pPr>
              <w:textAlignment w:val="bottom"/>
              <w:rPr>
                <w:rFonts w:ascii="Times New Roman" w:hAnsi="Times New Roman"/>
                <w:sz w:val="20"/>
                <w:szCs w:val="20"/>
              </w:rPr>
            </w:pPr>
          </w:p>
        </w:tc>
      </w:tr>
    </w:tbl>
    <w:p w14:paraId="0BC99574" w14:textId="77777777" w:rsidR="009F0928" w:rsidRDefault="009F0928">
      <w:pPr>
        <w:spacing w:line="288" w:lineRule="auto"/>
        <w:jc w:val="both"/>
        <w:rPr>
          <w:rFonts w:ascii="Times New Roman" w:hAnsi="Times New Roman"/>
          <w:sz w:val="20"/>
          <w:szCs w:val="20"/>
        </w:rPr>
      </w:pPr>
    </w:p>
    <w:p w14:paraId="0BC99575" w14:textId="77777777" w:rsidR="009F0928" w:rsidRDefault="009F0928">
      <w:pPr>
        <w:spacing w:line="288" w:lineRule="auto"/>
        <w:jc w:val="both"/>
        <w:rPr>
          <w:rFonts w:ascii="Times New Roman" w:hAnsi="Times New Roman"/>
          <w:sz w:val="20"/>
          <w:szCs w:val="20"/>
        </w:rPr>
      </w:pPr>
    </w:p>
    <w:p w14:paraId="0BC99576"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Note 5 – Segments</w:t>
      </w:r>
    </w:p>
    <w:p w14:paraId="0BC99577" w14:textId="77777777" w:rsidR="009F0928" w:rsidRDefault="009F0928">
      <w:pPr>
        <w:spacing w:line="288" w:lineRule="auto"/>
        <w:jc w:val="both"/>
        <w:rPr>
          <w:rFonts w:ascii="Times New Roman" w:hAnsi="Times New Roman"/>
          <w:sz w:val="20"/>
          <w:szCs w:val="20"/>
        </w:rPr>
      </w:pPr>
    </w:p>
    <w:p w14:paraId="0BC9957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the first quarter of 2019, we announced several organizational changes, including bringing our Marketplace geographic regions together under one global leadership team. We changed from one reportable segment to three reportable segments to reflect the w</w:t>
      </w:r>
      <w:r>
        <w:rPr>
          <w:rFonts w:ascii="Arial" w:eastAsia="宋体" w:hAnsi="Arial" w:cs="Arial"/>
          <w:sz w:val="20"/>
          <w:szCs w:val="20"/>
        </w:rPr>
        <w:t>ay management and our chief operating decision maker (“CODM”) review and assess performance of the business. Our three reportable segments are Marketplace, StubHub and Classifieds. Marketplace includes our online marketplace located at www.ebay.com, its lo</w:t>
      </w:r>
      <w:r>
        <w:rPr>
          <w:rFonts w:ascii="Arial" w:eastAsia="宋体" w:hAnsi="Arial" w:cs="Arial"/>
          <w:sz w:val="20"/>
          <w:szCs w:val="20"/>
        </w:rPr>
        <w:t>calized counterparts and the eBay suite of mobile apps. StubHub includes our online ticket platform located at www.stubhub.com, its localized counterparts and the StubHub mobile apps. Classifieds includes a collection of brands such as mobile.de, Kijiji, G</w:t>
      </w:r>
      <w:r>
        <w:rPr>
          <w:rFonts w:ascii="Arial" w:eastAsia="宋体" w:hAnsi="Arial" w:cs="Arial"/>
          <w:sz w:val="20"/>
          <w:szCs w:val="20"/>
        </w:rPr>
        <w:t xml:space="preserve">umtree, Marktplaats, eBay Kleinanzeigen and others. The accounting policies of our segments are the same as those described in “Note 1 – The Company and Summary of Significant Accounting Policies”. Prior period segment information has been reclassified to </w:t>
      </w:r>
      <w:r>
        <w:rPr>
          <w:rFonts w:ascii="Arial" w:eastAsia="宋体" w:hAnsi="Arial" w:cs="Arial"/>
          <w:sz w:val="20"/>
          <w:szCs w:val="20"/>
        </w:rPr>
        <w:t xml:space="preserve">conform to the current period segment presentation. </w:t>
      </w:r>
    </w:p>
    <w:p w14:paraId="0BC99579" w14:textId="77777777" w:rsidR="009F0928" w:rsidRDefault="009F0928">
      <w:pPr>
        <w:spacing w:line="288" w:lineRule="auto"/>
        <w:ind w:firstLine="720"/>
        <w:jc w:val="both"/>
        <w:rPr>
          <w:rFonts w:ascii="Times New Roman" w:hAnsi="Times New Roman"/>
          <w:sz w:val="20"/>
          <w:szCs w:val="20"/>
        </w:rPr>
      </w:pPr>
    </w:p>
    <w:p w14:paraId="0BC9957A"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Our reportable segments reflect the way management and our CODM review and assess performance of the business. Our CODM reviews revenue and operating income (loss) for each reportable segment. Our </w:t>
      </w:r>
      <w:r>
        <w:rPr>
          <w:rFonts w:ascii="Arial" w:eastAsia="宋体" w:hAnsi="Arial" w:cs="Arial"/>
          <w:sz w:val="20"/>
          <w:szCs w:val="20"/>
        </w:rPr>
        <w:t>CODM does not evaluate reportable segments using asset information. Corporate and other costs includes: (i) corporate management costs, such as human resources, finance and legal, that are not allocated to our segments; (ii) amortization of intangible asse</w:t>
      </w:r>
      <w:r>
        <w:rPr>
          <w:rFonts w:ascii="Arial" w:eastAsia="宋体" w:hAnsi="Arial" w:cs="Arial"/>
          <w:sz w:val="20"/>
          <w:szCs w:val="20"/>
        </w:rPr>
        <w:t>ts; (iii) restructuring charges; (iv) stock-based compensation; and (v) results of operations of various initiatives that support all of our reportable segments.</w:t>
      </w:r>
    </w:p>
    <w:p w14:paraId="0BC9957B" w14:textId="77777777" w:rsidR="009F0928" w:rsidRDefault="009F0928">
      <w:pPr>
        <w:spacing w:line="288" w:lineRule="auto"/>
        <w:ind w:firstLine="720"/>
        <w:jc w:val="both"/>
        <w:rPr>
          <w:rFonts w:ascii="Times New Roman" w:hAnsi="Times New Roman"/>
          <w:sz w:val="20"/>
          <w:szCs w:val="20"/>
        </w:rPr>
      </w:pPr>
    </w:p>
    <w:p w14:paraId="0BC9957C" w14:textId="77777777" w:rsidR="009F0928" w:rsidRDefault="009F0928">
      <w:pPr>
        <w:rPr>
          <w:rFonts w:ascii="Times New Roman" w:hAnsi="Times New Roman"/>
          <w:sz w:val="20"/>
          <w:szCs w:val="20"/>
        </w:rPr>
      </w:pPr>
    </w:p>
    <w:p w14:paraId="0BC9957D"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F-19</w:t>
      </w:r>
    </w:p>
    <w:p w14:paraId="0BC9957E" w14:textId="77777777" w:rsidR="009F0928" w:rsidRDefault="002112BD">
      <w:r>
        <w:rPr>
          <w:rFonts w:ascii="Times New Roman" w:hAnsi="Times New Roman"/>
          <w:sz w:val="18"/>
          <w:szCs w:val="18"/>
        </w:rPr>
        <w:pict w14:anchorId="0BC9B50D">
          <v:rect id="_x0000_i1105" style="width:415.3pt;height:1.5pt" o:hralign="center" o:hrstd="t" o:hr="t" fillcolor="#a0a0a0" stroked="f"/>
        </w:pict>
      </w:r>
    </w:p>
    <w:p w14:paraId="0BC9957F"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580"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NOTES TO CONSOLIDATED FINANCIAL </w:t>
      </w:r>
      <w:r>
        <w:rPr>
          <w:rFonts w:ascii="Arial" w:eastAsia="宋体" w:hAnsi="Arial" w:cs="Arial"/>
          <w:b/>
          <w:bCs/>
          <w:sz w:val="20"/>
          <w:szCs w:val="20"/>
        </w:rPr>
        <w:t>STATEMENTS—(Continued)</w:t>
      </w:r>
    </w:p>
    <w:p w14:paraId="0BC99581" w14:textId="77777777" w:rsidR="009F0928" w:rsidRDefault="009F0928">
      <w:pPr>
        <w:spacing w:line="288" w:lineRule="auto"/>
        <w:jc w:val="center"/>
        <w:rPr>
          <w:rFonts w:ascii="Times New Roman" w:hAnsi="Times New Roman"/>
          <w:sz w:val="20"/>
          <w:szCs w:val="20"/>
        </w:rPr>
      </w:pPr>
    </w:p>
    <w:p w14:paraId="0BC99582" w14:textId="77777777" w:rsidR="009F0928" w:rsidRDefault="009F0928">
      <w:pPr>
        <w:rPr>
          <w:rFonts w:ascii="Times New Roman" w:hAnsi="Times New Roman"/>
          <w:sz w:val="20"/>
          <w:szCs w:val="20"/>
        </w:rPr>
      </w:pPr>
    </w:p>
    <w:p w14:paraId="0BC9958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Segment net revenue and operating income for the years ended 2019, 2018 and 2017 were as follows (in millions): </w:t>
      </w:r>
    </w:p>
    <w:tbl>
      <w:tblPr>
        <w:tblW w:w="5000" w:type="pct"/>
        <w:tblCellMar>
          <w:left w:w="0" w:type="dxa"/>
          <w:right w:w="0" w:type="dxa"/>
        </w:tblCellMar>
        <w:tblLook w:val="04A0" w:firstRow="1" w:lastRow="0" w:firstColumn="1" w:lastColumn="0" w:noHBand="0" w:noVBand="1"/>
      </w:tblPr>
      <w:tblGrid>
        <w:gridCol w:w="4821"/>
        <w:gridCol w:w="141"/>
        <w:gridCol w:w="834"/>
        <w:gridCol w:w="100"/>
        <w:gridCol w:w="130"/>
        <w:gridCol w:w="141"/>
        <w:gridCol w:w="834"/>
        <w:gridCol w:w="100"/>
        <w:gridCol w:w="130"/>
        <w:gridCol w:w="141"/>
        <w:gridCol w:w="834"/>
        <w:gridCol w:w="100"/>
      </w:tblGrid>
      <w:tr w:rsidR="009F0928" w14:paraId="0BC99585" w14:textId="77777777">
        <w:tc>
          <w:tcPr>
            <w:tcW w:w="0" w:type="auto"/>
            <w:gridSpan w:val="12"/>
            <w:shd w:val="clear" w:color="auto" w:fill="auto"/>
            <w:vAlign w:val="center"/>
          </w:tcPr>
          <w:p w14:paraId="0BC99584" w14:textId="77777777" w:rsidR="009F0928" w:rsidRDefault="009F0928">
            <w:pPr>
              <w:rPr>
                <w:rFonts w:ascii="Times New Roman" w:hAnsi="Times New Roman"/>
                <w:sz w:val="20"/>
                <w:szCs w:val="20"/>
              </w:rPr>
            </w:pPr>
          </w:p>
        </w:tc>
      </w:tr>
      <w:tr w:rsidR="009F0928" w14:paraId="0BC99592" w14:textId="77777777">
        <w:tc>
          <w:tcPr>
            <w:tcW w:w="2950" w:type="pct"/>
            <w:shd w:val="clear" w:color="auto" w:fill="auto"/>
            <w:vAlign w:val="center"/>
          </w:tcPr>
          <w:p w14:paraId="0BC99586" w14:textId="77777777" w:rsidR="009F0928" w:rsidRDefault="009F0928">
            <w:pPr>
              <w:rPr>
                <w:rFonts w:ascii="Times New Roman" w:hAnsi="Times New Roman"/>
                <w:sz w:val="20"/>
                <w:szCs w:val="20"/>
              </w:rPr>
            </w:pPr>
          </w:p>
        </w:tc>
        <w:tc>
          <w:tcPr>
            <w:tcW w:w="50" w:type="pct"/>
            <w:shd w:val="clear" w:color="auto" w:fill="auto"/>
            <w:vAlign w:val="center"/>
          </w:tcPr>
          <w:p w14:paraId="0BC99587" w14:textId="77777777" w:rsidR="009F0928" w:rsidRDefault="009F0928">
            <w:pPr>
              <w:rPr>
                <w:rFonts w:ascii="Times New Roman" w:hAnsi="Times New Roman"/>
                <w:sz w:val="20"/>
                <w:szCs w:val="20"/>
              </w:rPr>
            </w:pPr>
          </w:p>
        </w:tc>
        <w:tc>
          <w:tcPr>
            <w:tcW w:w="550" w:type="pct"/>
            <w:shd w:val="clear" w:color="auto" w:fill="auto"/>
            <w:vAlign w:val="center"/>
          </w:tcPr>
          <w:p w14:paraId="0BC99588" w14:textId="77777777" w:rsidR="009F0928" w:rsidRDefault="009F0928">
            <w:pPr>
              <w:rPr>
                <w:rFonts w:ascii="Times New Roman" w:hAnsi="Times New Roman"/>
                <w:sz w:val="20"/>
                <w:szCs w:val="20"/>
              </w:rPr>
            </w:pPr>
          </w:p>
        </w:tc>
        <w:tc>
          <w:tcPr>
            <w:tcW w:w="50" w:type="pct"/>
            <w:shd w:val="clear" w:color="auto" w:fill="auto"/>
            <w:vAlign w:val="center"/>
          </w:tcPr>
          <w:p w14:paraId="0BC99589" w14:textId="77777777" w:rsidR="009F0928" w:rsidRDefault="009F0928">
            <w:pPr>
              <w:rPr>
                <w:rFonts w:ascii="Times New Roman" w:hAnsi="Times New Roman"/>
                <w:sz w:val="20"/>
                <w:szCs w:val="20"/>
              </w:rPr>
            </w:pPr>
          </w:p>
        </w:tc>
        <w:tc>
          <w:tcPr>
            <w:tcW w:w="50" w:type="pct"/>
            <w:shd w:val="clear" w:color="auto" w:fill="auto"/>
            <w:vAlign w:val="center"/>
          </w:tcPr>
          <w:p w14:paraId="0BC9958A" w14:textId="77777777" w:rsidR="009F0928" w:rsidRDefault="009F0928">
            <w:pPr>
              <w:rPr>
                <w:rFonts w:ascii="Times New Roman" w:hAnsi="Times New Roman"/>
                <w:sz w:val="20"/>
                <w:szCs w:val="20"/>
              </w:rPr>
            </w:pPr>
          </w:p>
        </w:tc>
        <w:tc>
          <w:tcPr>
            <w:tcW w:w="50" w:type="pct"/>
            <w:shd w:val="clear" w:color="auto" w:fill="auto"/>
            <w:vAlign w:val="center"/>
          </w:tcPr>
          <w:p w14:paraId="0BC9958B" w14:textId="77777777" w:rsidR="009F0928" w:rsidRDefault="009F0928">
            <w:pPr>
              <w:rPr>
                <w:rFonts w:ascii="Times New Roman" w:hAnsi="Times New Roman"/>
                <w:sz w:val="20"/>
                <w:szCs w:val="20"/>
              </w:rPr>
            </w:pPr>
          </w:p>
        </w:tc>
        <w:tc>
          <w:tcPr>
            <w:tcW w:w="550" w:type="pct"/>
            <w:shd w:val="clear" w:color="auto" w:fill="auto"/>
            <w:vAlign w:val="center"/>
          </w:tcPr>
          <w:p w14:paraId="0BC9958C" w14:textId="77777777" w:rsidR="009F0928" w:rsidRDefault="009F0928">
            <w:pPr>
              <w:rPr>
                <w:rFonts w:ascii="Times New Roman" w:hAnsi="Times New Roman"/>
                <w:sz w:val="20"/>
                <w:szCs w:val="20"/>
              </w:rPr>
            </w:pPr>
          </w:p>
        </w:tc>
        <w:tc>
          <w:tcPr>
            <w:tcW w:w="50" w:type="pct"/>
            <w:shd w:val="clear" w:color="auto" w:fill="auto"/>
            <w:vAlign w:val="center"/>
          </w:tcPr>
          <w:p w14:paraId="0BC9958D" w14:textId="77777777" w:rsidR="009F0928" w:rsidRDefault="009F0928">
            <w:pPr>
              <w:rPr>
                <w:rFonts w:ascii="Times New Roman" w:hAnsi="Times New Roman"/>
                <w:sz w:val="20"/>
                <w:szCs w:val="20"/>
              </w:rPr>
            </w:pPr>
          </w:p>
        </w:tc>
        <w:tc>
          <w:tcPr>
            <w:tcW w:w="50" w:type="pct"/>
            <w:shd w:val="clear" w:color="auto" w:fill="auto"/>
            <w:vAlign w:val="center"/>
          </w:tcPr>
          <w:p w14:paraId="0BC9958E" w14:textId="77777777" w:rsidR="009F0928" w:rsidRDefault="009F0928">
            <w:pPr>
              <w:rPr>
                <w:rFonts w:ascii="Times New Roman" w:hAnsi="Times New Roman"/>
                <w:sz w:val="20"/>
                <w:szCs w:val="20"/>
              </w:rPr>
            </w:pPr>
          </w:p>
        </w:tc>
        <w:tc>
          <w:tcPr>
            <w:tcW w:w="50" w:type="pct"/>
            <w:shd w:val="clear" w:color="auto" w:fill="auto"/>
            <w:vAlign w:val="center"/>
          </w:tcPr>
          <w:p w14:paraId="0BC9958F" w14:textId="77777777" w:rsidR="009F0928" w:rsidRDefault="009F0928">
            <w:pPr>
              <w:rPr>
                <w:rFonts w:ascii="Times New Roman" w:hAnsi="Times New Roman"/>
                <w:sz w:val="20"/>
                <w:szCs w:val="20"/>
              </w:rPr>
            </w:pPr>
          </w:p>
        </w:tc>
        <w:tc>
          <w:tcPr>
            <w:tcW w:w="550" w:type="pct"/>
            <w:shd w:val="clear" w:color="auto" w:fill="auto"/>
            <w:vAlign w:val="center"/>
          </w:tcPr>
          <w:p w14:paraId="0BC99590" w14:textId="77777777" w:rsidR="009F0928" w:rsidRDefault="009F0928">
            <w:pPr>
              <w:rPr>
                <w:rFonts w:ascii="Times New Roman" w:hAnsi="Times New Roman"/>
                <w:sz w:val="20"/>
                <w:szCs w:val="20"/>
              </w:rPr>
            </w:pPr>
          </w:p>
        </w:tc>
        <w:tc>
          <w:tcPr>
            <w:tcW w:w="50" w:type="pct"/>
            <w:shd w:val="clear" w:color="auto" w:fill="auto"/>
            <w:vAlign w:val="center"/>
          </w:tcPr>
          <w:p w14:paraId="0BC99591" w14:textId="77777777" w:rsidR="009F0928" w:rsidRDefault="009F0928">
            <w:pPr>
              <w:rPr>
                <w:rFonts w:ascii="Times New Roman" w:hAnsi="Times New Roman"/>
                <w:sz w:val="20"/>
                <w:szCs w:val="20"/>
              </w:rPr>
            </w:pPr>
          </w:p>
        </w:tc>
      </w:tr>
      <w:tr w:rsidR="009F0928" w14:paraId="0BC99595" w14:textId="77777777">
        <w:tc>
          <w:tcPr>
            <w:tcW w:w="0" w:type="auto"/>
            <w:shd w:val="clear" w:color="auto" w:fill="auto"/>
            <w:tcMar>
              <w:top w:w="40" w:type="dxa"/>
              <w:left w:w="240" w:type="dxa"/>
              <w:bottom w:w="40" w:type="dxa"/>
              <w:right w:w="40" w:type="dxa"/>
            </w:tcMar>
            <w:vAlign w:val="bottom"/>
          </w:tcPr>
          <w:p w14:paraId="0BC99593"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9594"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w:t>
            </w:r>
          </w:p>
        </w:tc>
      </w:tr>
      <w:tr w:rsidR="009F0928" w14:paraId="0BC9959C" w14:textId="77777777">
        <w:tc>
          <w:tcPr>
            <w:tcW w:w="0" w:type="auto"/>
            <w:shd w:val="clear" w:color="auto" w:fill="auto"/>
            <w:tcMar>
              <w:top w:w="40" w:type="dxa"/>
              <w:left w:w="40" w:type="dxa"/>
              <w:bottom w:w="40" w:type="dxa"/>
              <w:right w:w="40" w:type="dxa"/>
            </w:tcMar>
            <w:vAlign w:val="bottom"/>
          </w:tcPr>
          <w:p w14:paraId="0BC99596"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59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0BC9959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599"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0BC9959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59B"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2017</w:t>
            </w:r>
          </w:p>
        </w:tc>
      </w:tr>
      <w:tr w:rsidR="009F0928" w14:paraId="0BC995A3" w14:textId="77777777">
        <w:tc>
          <w:tcPr>
            <w:tcW w:w="0" w:type="auto"/>
            <w:shd w:val="clear" w:color="auto" w:fill="E2E2E2"/>
            <w:tcMar>
              <w:top w:w="40" w:type="dxa"/>
              <w:left w:w="40" w:type="dxa"/>
              <w:bottom w:w="40" w:type="dxa"/>
              <w:right w:w="40" w:type="dxa"/>
            </w:tcMar>
            <w:vAlign w:val="bottom"/>
          </w:tcPr>
          <w:p w14:paraId="0BC9959D"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Net Revenues</w:t>
            </w:r>
          </w:p>
        </w:tc>
        <w:tc>
          <w:tcPr>
            <w:tcW w:w="0" w:type="auto"/>
            <w:gridSpan w:val="3"/>
            <w:shd w:val="clear" w:color="auto" w:fill="E2E2E2"/>
            <w:tcMar>
              <w:top w:w="40" w:type="dxa"/>
              <w:left w:w="40" w:type="dxa"/>
              <w:bottom w:w="40" w:type="dxa"/>
              <w:right w:w="40" w:type="dxa"/>
            </w:tcMar>
            <w:vAlign w:val="bottom"/>
          </w:tcPr>
          <w:p w14:paraId="0BC9959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59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5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5A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5A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5AA" w14:textId="77777777">
        <w:tc>
          <w:tcPr>
            <w:tcW w:w="0" w:type="auto"/>
            <w:shd w:val="clear" w:color="auto" w:fill="auto"/>
            <w:tcMar>
              <w:top w:w="40" w:type="dxa"/>
              <w:left w:w="40" w:type="dxa"/>
              <w:bottom w:w="40" w:type="dxa"/>
              <w:right w:w="40" w:type="dxa"/>
            </w:tcMar>
            <w:vAlign w:val="bottom"/>
          </w:tcPr>
          <w:p w14:paraId="0BC995A4" w14:textId="77777777" w:rsidR="009F0928" w:rsidRDefault="002112BD">
            <w:pPr>
              <w:textAlignment w:val="bottom"/>
              <w:rPr>
                <w:rFonts w:ascii="Times New Roman" w:hAnsi="Times New Roman"/>
                <w:sz w:val="18"/>
                <w:szCs w:val="18"/>
              </w:rPr>
            </w:pPr>
            <w:r>
              <w:rPr>
                <w:rFonts w:ascii="Arial" w:eastAsia="宋体" w:hAnsi="Arial" w:cs="Arial"/>
                <w:sz w:val="18"/>
                <w:szCs w:val="18"/>
              </w:rPr>
              <w:t>Marketplace</w:t>
            </w:r>
          </w:p>
        </w:tc>
        <w:tc>
          <w:tcPr>
            <w:tcW w:w="0" w:type="auto"/>
            <w:gridSpan w:val="3"/>
            <w:shd w:val="clear" w:color="auto" w:fill="auto"/>
            <w:tcMar>
              <w:top w:w="40" w:type="dxa"/>
              <w:left w:w="40" w:type="dxa"/>
              <w:bottom w:w="40" w:type="dxa"/>
              <w:right w:w="40" w:type="dxa"/>
            </w:tcMar>
            <w:vAlign w:val="bottom"/>
          </w:tcPr>
          <w:p w14:paraId="0BC995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5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5A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5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5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5B7" w14:textId="77777777">
        <w:tc>
          <w:tcPr>
            <w:tcW w:w="0" w:type="auto"/>
            <w:shd w:val="clear" w:color="auto" w:fill="E2E2E2"/>
            <w:tcMar>
              <w:top w:w="40" w:type="dxa"/>
              <w:left w:w="240" w:type="dxa"/>
              <w:bottom w:w="40" w:type="dxa"/>
              <w:right w:w="40" w:type="dxa"/>
            </w:tcMar>
            <w:vAlign w:val="bottom"/>
          </w:tcPr>
          <w:p w14:paraId="0BC995AB"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Net </w:t>
            </w:r>
            <w:r>
              <w:rPr>
                <w:rFonts w:ascii="Arial" w:eastAsia="宋体" w:hAnsi="Arial" w:cs="Arial"/>
                <w:sz w:val="18"/>
                <w:szCs w:val="18"/>
              </w:rPr>
              <w:t>transaction revenues</w:t>
            </w:r>
          </w:p>
        </w:tc>
        <w:tc>
          <w:tcPr>
            <w:tcW w:w="0" w:type="auto"/>
            <w:shd w:val="clear" w:color="auto" w:fill="E2E2E2"/>
            <w:tcMar>
              <w:top w:w="40" w:type="dxa"/>
              <w:left w:w="40" w:type="dxa"/>
              <w:bottom w:w="40" w:type="dxa"/>
            </w:tcMar>
            <w:vAlign w:val="bottom"/>
          </w:tcPr>
          <w:p w14:paraId="0BC995A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5A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7,578</w:t>
            </w:r>
          </w:p>
        </w:tc>
        <w:tc>
          <w:tcPr>
            <w:tcW w:w="0" w:type="auto"/>
            <w:shd w:val="clear" w:color="auto" w:fill="E2E2E2"/>
            <w:vAlign w:val="bottom"/>
          </w:tcPr>
          <w:p w14:paraId="0BC995A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5A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5B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5B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7,416</w:t>
            </w:r>
          </w:p>
        </w:tc>
        <w:tc>
          <w:tcPr>
            <w:tcW w:w="0" w:type="auto"/>
            <w:shd w:val="clear" w:color="auto" w:fill="E2E2E2"/>
            <w:vAlign w:val="bottom"/>
          </w:tcPr>
          <w:p w14:paraId="0BC995B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5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5B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5B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6,809</w:t>
            </w:r>
          </w:p>
        </w:tc>
        <w:tc>
          <w:tcPr>
            <w:tcW w:w="0" w:type="auto"/>
            <w:shd w:val="clear" w:color="auto" w:fill="E2E2E2"/>
            <w:vAlign w:val="bottom"/>
          </w:tcPr>
          <w:p w14:paraId="0BC995B6" w14:textId="77777777" w:rsidR="009F0928" w:rsidRDefault="009F0928">
            <w:pPr>
              <w:textAlignment w:val="bottom"/>
              <w:rPr>
                <w:rFonts w:ascii="Times New Roman" w:hAnsi="Times New Roman"/>
                <w:sz w:val="20"/>
                <w:szCs w:val="20"/>
              </w:rPr>
            </w:pPr>
          </w:p>
        </w:tc>
      </w:tr>
      <w:tr w:rsidR="009F0928" w14:paraId="0BC995C1" w14:textId="77777777">
        <w:tc>
          <w:tcPr>
            <w:tcW w:w="0" w:type="auto"/>
            <w:shd w:val="clear" w:color="auto" w:fill="auto"/>
            <w:tcMar>
              <w:top w:w="40" w:type="dxa"/>
              <w:left w:w="240" w:type="dxa"/>
              <w:bottom w:w="40" w:type="dxa"/>
              <w:right w:w="40" w:type="dxa"/>
            </w:tcMar>
            <w:vAlign w:val="bottom"/>
          </w:tcPr>
          <w:p w14:paraId="0BC995B8" w14:textId="77777777" w:rsidR="009F0928" w:rsidRDefault="002112BD">
            <w:pPr>
              <w:textAlignment w:val="bottom"/>
              <w:rPr>
                <w:rFonts w:ascii="Times New Roman" w:hAnsi="Times New Roman"/>
                <w:sz w:val="18"/>
                <w:szCs w:val="18"/>
              </w:rPr>
            </w:pPr>
            <w:r>
              <w:rPr>
                <w:rFonts w:ascii="Arial" w:eastAsia="宋体" w:hAnsi="Arial" w:cs="Arial"/>
                <w:sz w:val="18"/>
                <w:szCs w:val="18"/>
              </w:rPr>
              <w:t>Marketing services and other revenues</w:t>
            </w:r>
          </w:p>
        </w:tc>
        <w:tc>
          <w:tcPr>
            <w:tcW w:w="0" w:type="auto"/>
            <w:gridSpan w:val="2"/>
            <w:tcBorders>
              <w:bottom w:val="single" w:sz="8" w:space="0" w:color="000000"/>
            </w:tcBorders>
            <w:shd w:val="clear" w:color="auto" w:fill="auto"/>
            <w:tcMar>
              <w:top w:w="40" w:type="dxa"/>
              <w:left w:w="40" w:type="dxa"/>
              <w:bottom w:w="40" w:type="dxa"/>
            </w:tcMar>
            <w:vAlign w:val="bottom"/>
          </w:tcPr>
          <w:p w14:paraId="0BC995B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1,060</w:t>
            </w:r>
          </w:p>
        </w:tc>
        <w:tc>
          <w:tcPr>
            <w:tcW w:w="0" w:type="auto"/>
            <w:tcBorders>
              <w:bottom w:val="single" w:sz="8" w:space="0" w:color="000000"/>
            </w:tcBorders>
            <w:shd w:val="clear" w:color="auto" w:fill="auto"/>
            <w:vAlign w:val="bottom"/>
          </w:tcPr>
          <w:p w14:paraId="0BC995B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5B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5B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1,225</w:t>
            </w:r>
          </w:p>
        </w:tc>
        <w:tc>
          <w:tcPr>
            <w:tcW w:w="0" w:type="auto"/>
            <w:tcBorders>
              <w:bottom w:val="single" w:sz="8" w:space="0" w:color="000000"/>
            </w:tcBorders>
            <w:shd w:val="clear" w:color="auto" w:fill="auto"/>
            <w:vAlign w:val="bottom"/>
          </w:tcPr>
          <w:p w14:paraId="0BC995B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5B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5B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1,192</w:t>
            </w:r>
          </w:p>
        </w:tc>
        <w:tc>
          <w:tcPr>
            <w:tcW w:w="0" w:type="auto"/>
            <w:tcBorders>
              <w:bottom w:val="single" w:sz="8" w:space="0" w:color="000000"/>
            </w:tcBorders>
            <w:shd w:val="clear" w:color="auto" w:fill="auto"/>
            <w:vAlign w:val="bottom"/>
          </w:tcPr>
          <w:p w14:paraId="0BC995C0" w14:textId="77777777" w:rsidR="009F0928" w:rsidRDefault="009F0928">
            <w:pPr>
              <w:textAlignment w:val="bottom"/>
              <w:rPr>
                <w:rFonts w:ascii="Times New Roman" w:hAnsi="Times New Roman"/>
                <w:sz w:val="20"/>
                <w:szCs w:val="20"/>
              </w:rPr>
            </w:pPr>
          </w:p>
        </w:tc>
      </w:tr>
      <w:tr w:rsidR="009F0928" w14:paraId="0BC995CB" w14:textId="77777777">
        <w:tc>
          <w:tcPr>
            <w:tcW w:w="0" w:type="auto"/>
            <w:shd w:val="clear" w:color="auto" w:fill="E2E2E2"/>
            <w:tcMar>
              <w:top w:w="40" w:type="dxa"/>
              <w:left w:w="400" w:type="dxa"/>
              <w:bottom w:w="40" w:type="dxa"/>
              <w:right w:w="40" w:type="dxa"/>
            </w:tcMar>
            <w:vAlign w:val="bottom"/>
          </w:tcPr>
          <w:p w14:paraId="0BC995C2"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Marketplace</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5C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8,638</w:t>
            </w:r>
          </w:p>
        </w:tc>
        <w:tc>
          <w:tcPr>
            <w:tcW w:w="0" w:type="auto"/>
            <w:tcBorders>
              <w:top w:val="single" w:sz="8" w:space="0" w:color="000000"/>
              <w:bottom w:val="single" w:sz="8" w:space="0" w:color="000000"/>
            </w:tcBorders>
            <w:shd w:val="clear" w:color="auto" w:fill="E2E2E2"/>
            <w:vAlign w:val="bottom"/>
          </w:tcPr>
          <w:p w14:paraId="0BC995C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5C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5C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8,641</w:t>
            </w:r>
          </w:p>
        </w:tc>
        <w:tc>
          <w:tcPr>
            <w:tcW w:w="0" w:type="auto"/>
            <w:tcBorders>
              <w:top w:val="single" w:sz="8" w:space="0" w:color="000000"/>
              <w:bottom w:val="single" w:sz="8" w:space="0" w:color="000000"/>
            </w:tcBorders>
            <w:shd w:val="clear" w:color="auto" w:fill="E2E2E2"/>
            <w:vAlign w:val="bottom"/>
          </w:tcPr>
          <w:p w14:paraId="0BC995C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5C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5C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8,001</w:t>
            </w:r>
          </w:p>
        </w:tc>
        <w:tc>
          <w:tcPr>
            <w:tcW w:w="0" w:type="auto"/>
            <w:tcBorders>
              <w:top w:val="single" w:sz="8" w:space="0" w:color="000000"/>
              <w:bottom w:val="single" w:sz="8" w:space="0" w:color="000000"/>
            </w:tcBorders>
            <w:shd w:val="clear" w:color="auto" w:fill="E2E2E2"/>
            <w:vAlign w:val="bottom"/>
          </w:tcPr>
          <w:p w14:paraId="0BC995CA" w14:textId="77777777" w:rsidR="009F0928" w:rsidRDefault="009F0928">
            <w:pPr>
              <w:textAlignment w:val="bottom"/>
              <w:rPr>
                <w:rFonts w:ascii="Times New Roman" w:hAnsi="Times New Roman"/>
                <w:sz w:val="20"/>
                <w:szCs w:val="20"/>
              </w:rPr>
            </w:pPr>
          </w:p>
        </w:tc>
      </w:tr>
      <w:tr w:rsidR="009F0928" w14:paraId="0BC995D2" w14:textId="77777777">
        <w:tc>
          <w:tcPr>
            <w:tcW w:w="0" w:type="auto"/>
            <w:shd w:val="clear" w:color="auto" w:fill="auto"/>
            <w:tcMar>
              <w:top w:w="40" w:type="dxa"/>
              <w:left w:w="40" w:type="dxa"/>
              <w:bottom w:w="40" w:type="dxa"/>
              <w:right w:w="40" w:type="dxa"/>
            </w:tcMar>
            <w:vAlign w:val="bottom"/>
          </w:tcPr>
          <w:p w14:paraId="0BC995C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5C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5C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5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5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5D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5D9" w14:textId="77777777">
        <w:tc>
          <w:tcPr>
            <w:tcW w:w="0" w:type="auto"/>
            <w:shd w:val="clear" w:color="auto" w:fill="E2E2E2"/>
            <w:tcMar>
              <w:top w:w="40" w:type="dxa"/>
              <w:left w:w="40" w:type="dxa"/>
              <w:bottom w:w="40" w:type="dxa"/>
              <w:right w:w="40" w:type="dxa"/>
            </w:tcMar>
            <w:vAlign w:val="bottom"/>
          </w:tcPr>
          <w:p w14:paraId="0BC995D3" w14:textId="77777777" w:rsidR="009F0928" w:rsidRDefault="002112BD">
            <w:pPr>
              <w:textAlignment w:val="bottom"/>
              <w:rPr>
                <w:rFonts w:ascii="Times New Roman" w:hAnsi="Times New Roman"/>
                <w:sz w:val="18"/>
                <w:szCs w:val="18"/>
              </w:rPr>
            </w:pPr>
            <w:r>
              <w:rPr>
                <w:rFonts w:ascii="Arial" w:eastAsia="宋体" w:hAnsi="Arial" w:cs="Arial"/>
                <w:sz w:val="18"/>
                <w:szCs w:val="18"/>
              </w:rPr>
              <w:t>StubHub</w:t>
            </w:r>
          </w:p>
        </w:tc>
        <w:tc>
          <w:tcPr>
            <w:tcW w:w="0" w:type="auto"/>
            <w:gridSpan w:val="3"/>
            <w:shd w:val="clear" w:color="auto" w:fill="E2E2E2"/>
            <w:tcMar>
              <w:top w:w="40" w:type="dxa"/>
              <w:left w:w="40" w:type="dxa"/>
              <w:bottom w:w="40" w:type="dxa"/>
              <w:right w:w="40" w:type="dxa"/>
            </w:tcMar>
            <w:vAlign w:val="bottom"/>
          </w:tcPr>
          <w:p w14:paraId="0BC995D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5D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5D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5D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5D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5E3" w14:textId="77777777">
        <w:tc>
          <w:tcPr>
            <w:tcW w:w="0" w:type="auto"/>
            <w:shd w:val="clear" w:color="auto" w:fill="auto"/>
            <w:tcMar>
              <w:top w:w="40" w:type="dxa"/>
              <w:left w:w="240" w:type="dxa"/>
              <w:bottom w:w="40" w:type="dxa"/>
              <w:right w:w="40" w:type="dxa"/>
            </w:tcMar>
            <w:vAlign w:val="bottom"/>
          </w:tcPr>
          <w:p w14:paraId="0BC995DA" w14:textId="77777777" w:rsidR="009F0928" w:rsidRDefault="002112BD">
            <w:pPr>
              <w:textAlignment w:val="bottom"/>
              <w:rPr>
                <w:rFonts w:ascii="Times New Roman" w:hAnsi="Times New Roman"/>
                <w:sz w:val="18"/>
                <w:szCs w:val="18"/>
              </w:rPr>
            </w:pPr>
            <w:r>
              <w:rPr>
                <w:rFonts w:ascii="Arial" w:eastAsia="宋体" w:hAnsi="Arial" w:cs="Arial"/>
                <w:sz w:val="18"/>
                <w:szCs w:val="18"/>
              </w:rPr>
              <w:t>Net transaction revenues</w:t>
            </w:r>
          </w:p>
        </w:tc>
        <w:tc>
          <w:tcPr>
            <w:tcW w:w="0" w:type="auto"/>
            <w:gridSpan w:val="2"/>
            <w:shd w:val="clear" w:color="auto" w:fill="auto"/>
            <w:tcMar>
              <w:top w:w="40" w:type="dxa"/>
              <w:left w:w="40" w:type="dxa"/>
              <w:bottom w:w="40" w:type="dxa"/>
            </w:tcMar>
            <w:vAlign w:val="bottom"/>
          </w:tcPr>
          <w:p w14:paraId="0BC995D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1,057</w:t>
            </w:r>
          </w:p>
        </w:tc>
        <w:tc>
          <w:tcPr>
            <w:tcW w:w="0" w:type="auto"/>
            <w:shd w:val="clear" w:color="auto" w:fill="auto"/>
            <w:vAlign w:val="bottom"/>
          </w:tcPr>
          <w:p w14:paraId="0BC995D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5D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5D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1,068</w:t>
            </w:r>
          </w:p>
        </w:tc>
        <w:tc>
          <w:tcPr>
            <w:tcW w:w="0" w:type="auto"/>
            <w:shd w:val="clear" w:color="auto" w:fill="auto"/>
            <w:vAlign w:val="bottom"/>
          </w:tcPr>
          <w:p w14:paraId="0BC995D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5E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5E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1,011</w:t>
            </w:r>
          </w:p>
        </w:tc>
        <w:tc>
          <w:tcPr>
            <w:tcW w:w="0" w:type="auto"/>
            <w:shd w:val="clear" w:color="auto" w:fill="auto"/>
            <w:vAlign w:val="bottom"/>
          </w:tcPr>
          <w:p w14:paraId="0BC995E2" w14:textId="77777777" w:rsidR="009F0928" w:rsidRDefault="009F0928">
            <w:pPr>
              <w:textAlignment w:val="bottom"/>
              <w:rPr>
                <w:rFonts w:ascii="Times New Roman" w:hAnsi="Times New Roman"/>
                <w:sz w:val="20"/>
                <w:szCs w:val="20"/>
              </w:rPr>
            </w:pPr>
          </w:p>
        </w:tc>
      </w:tr>
      <w:tr w:rsidR="009F0928" w14:paraId="0BC995ED" w14:textId="77777777">
        <w:tc>
          <w:tcPr>
            <w:tcW w:w="0" w:type="auto"/>
            <w:shd w:val="clear" w:color="auto" w:fill="E2E2E2"/>
            <w:tcMar>
              <w:top w:w="40" w:type="dxa"/>
              <w:left w:w="240" w:type="dxa"/>
              <w:bottom w:w="40" w:type="dxa"/>
              <w:right w:w="40" w:type="dxa"/>
            </w:tcMar>
            <w:vAlign w:val="bottom"/>
          </w:tcPr>
          <w:p w14:paraId="0BC995E4" w14:textId="77777777" w:rsidR="009F0928" w:rsidRDefault="002112BD">
            <w:pPr>
              <w:textAlignment w:val="bottom"/>
              <w:rPr>
                <w:rFonts w:ascii="Times New Roman" w:hAnsi="Times New Roman"/>
                <w:sz w:val="18"/>
                <w:szCs w:val="18"/>
              </w:rPr>
            </w:pPr>
            <w:r>
              <w:rPr>
                <w:rFonts w:ascii="Arial" w:eastAsia="宋体" w:hAnsi="Arial" w:cs="Arial"/>
                <w:sz w:val="18"/>
                <w:szCs w:val="18"/>
              </w:rPr>
              <w:t>Marketing services and other revenues</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5E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64</w:t>
            </w:r>
          </w:p>
        </w:tc>
        <w:tc>
          <w:tcPr>
            <w:tcW w:w="0" w:type="auto"/>
            <w:tcBorders>
              <w:bottom w:val="single" w:sz="8" w:space="0" w:color="000000"/>
            </w:tcBorders>
            <w:shd w:val="clear" w:color="auto" w:fill="E2E2E2"/>
            <w:vAlign w:val="bottom"/>
          </w:tcPr>
          <w:p w14:paraId="0BC995E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5E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5E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w:t>
            </w:r>
          </w:p>
        </w:tc>
        <w:tc>
          <w:tcPr>
            <w:tcW w:w="0" w:type="auto"/>
            <w:tcBorders>
              <w:bottom w:val="single" w:sz="8" w:space="0" w:color="000000"/>
            </w:tcBorders>
            <w:shd w:val="clear" w:color="auto" w:fill="E2E2E2"/>
            <w:vAlign w:val="bottom"/>
          </w:tcPr>
          <w:p w14:paraId="0BC995E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5E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5E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w:t>
            </w:r>
          </w:p>
        </w:tc>
        <w:tc>
          <w:tcPr>
            <w:tcW w:w="0" w:type="auto"/>
            <w:tcBorders>
              <w:bottom w:val="single" w:sz="8" w:space="0" w:color="000000"/>
            </w:tcBorders>
            <w:shd w:val="clear" w:color="auto" w:fill="E2E2E2"/>
            <w:vAlign w:val="bottom"/>
          </w:tcPr>
          <w:p w14:paraId="0BC995EC" w14:textId="77777777" w:rsidR="009F0928" w:rsidRDefault="009F0928">
            <w:pPr>
              <w:textAlignment w:val="bottom"/>
              <w:rPr>
                <w:rFonts w:ascii="Times New Roman" w:hAnsi="Times New Roman"/>
                <w:sz w:val="20"/>
                <w:szCs w:val="20"/>
              </w:rPr>
            </w:pPr>
          </w:p>
        </w:tc>
      </w:tr>
      <w:tr w:rsidR="009F0928" w14:paraId="0BC995F7" w14:textId="77777777">
        <w:tc>
          <w:tcPr>
            <w:tcW w:w="0" w:type="auto"/>
            <w:shd w:val="clear" w:color="auto" w:fill="auto"/>
            <w:tcMar>
              <w:top w:w="40" w:type="dxa"/>
              <w:left w:w="400" w:type="dxa"/>
              <w:bottom w:w="40" w:type="dxa"/>
              <w:right w:w="40" w:type="dxa"/>
            </w:tcMar>
            <w:vAlign w:val="bottom"/>
          </w:tcPr>
          <w:p w14:paraId="0BC995EE"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StubHub</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95E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1,121</w:t>
            </w:r>
          </w:p>
        </w:tc>
        <w:tc>
          <w:tcPr>
            <w:tcW w:w="0" w:type="auto"/>
            <w:tcBorders>
              <w:top w:val="single" w:sz="8" w:space="0" w:color="000000"/>
              <w:bottom w:val="single" w:sz="8" w:space="0" w:color="000000"/>
            </w:tcBorders>
            <w:shd w:val="clear" w:color="auto" w:fill="auto"/>
            <w:vAlign w:val="bottom"/>
          </w:tcPr>
          <w:p w14:paraId="0BC995F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5F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95F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1,083</w:t>
            </w:r>
          </w:p>
        </w:tc>
        <w:tc>
          <w:tcPr>
            <w:tcW w:w="0" w:type="auto"/>
            <w:tcBorders>
              <w:top w:val="single" w:sz="8" w:space="0" w:color="000000"/>
              <w:bottom w:val="single" w:sz="8" w:space="0" w:color="000000"/>
            </w:tcBorders>
            <w:shd w:val="clear" w:color="auto" w:fill="auto"/>
            <w:vAlign w:val="bottom"/>
          </w:tcPr>
          <w:p w14:paraId="0BC995F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5F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95F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1,029</w:t>
            </w:r>
          </w:p>
        </w:tc>
        <w:tc>
          <w:tcPr>
            <w:tcW w:w="0" w:type="auto"/>
            <w:tcBorders>
              <w:top w:val="single" w:sz="8" w:space="0" w:color="000000"/>
              <w:bottom w:val="single" w:sz="8" w:space="0" w:color="000000"/>
            </w:tcBorders>
            <w:shd w:val="clear" w:color="auto" w:fill="auto"/>
            <w:vAlign w:val="bottom"/>
          </w:tcPr>
          <w:p w14:paraId="0BC995F6" w14:textId="77777777" w:rsidR="009F0928" w:rsidRDefault="009F0928">
            <w:pPr>
              <w:textAlignment w:val="bottom"/>
              <w:rPr>
                <w:rFonts w:ascii="Times New Roman" w:hAnsi="Times New Roman"/>
                <w:sz w:val="20"/>
                <w:szCs w:val="20"/>
              </w:rPr>
            </w:pPr>
          </w:p>
        </w:tc>
      </w:tr>
      <w:tr w:rsidR="009F0928" w14:paraId="0BC995FE" w14:textId="77777777">
        <w:tc>
          <w:tcPr>
            <w:tcW w:w="0" w:type="auto"/>
            <w:shd w:val="clear" w:color="auto" w:fill="E2E2E2"/>
            <w:tcMar>
              <w:top w:w="40" w:type="dxa"/>
              <w:left w:w="40" w:type="dxa"/>
              <w:bottom w:w="40" w:type="dxa"/>
              <w:right w:w="40" w:type="dxa"/>
            </w:tcMar>
            <w:vAlign w:val="bottom"/>
          </w:tcPr>
          <w:p w14:paraId="0BC995F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5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5F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5F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5F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5F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608" w14:textId="77777777">
        <w:tc>
          <w:tcPr>
            <w:tcW w:w="0" w:type="auto"/>
            <w:shd w:val="clear" w:color="auto" w:fill="auto"/>
            <w:tcMar>
              <w:top w:w="40" w:type="dxa"/>
              <w:left w:w="40" w:type="dxa"/>
              <w:bottom w:w="40" w:type="dxa"/>
              <w:right w:w="40" w:type="dxa"/>
            </w:tcMar>
            <w:vAlign w:val="bottom"/>
          </w:tcPr>
          <w:p w14:paraId="0BC995FF"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Classifieds </w:t>
            </w:r>
            <w:r>
              <w:rPr>
                <w:rFonts w:ascii="Arial" w:eastAsia="宋体" w:hAnsi="Arial" w:cs="Arial"/>
                <w:sz w:val="12"/>
                <w:szCs w:val="12"/>
              </w:rPr>
              <w:t>(1)</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960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1,061</w:t>
            </w:r>
          </w:p>
        </w:tc>
        <w:tc>
          <w:tcPr>
            <w:tcW w:w="0" w:type="auto"/>
            <w:tcBorders>
              <w:top w:val="single" w:sz="8" w:space="0" w:color="000000"/>
              <w:bottom w:val="single" w:sz="8" w:space="0" w:color="000000"/>
            </w:tcBorders>
            <w:shd w:val="clear" w:color="auto" w:fill="auto"/>
            <w:vAlign w:val="bottom"/>
          </w:tcPr>
          <w:p w14:paraId="0BC9960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60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960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1,022</w:t>
            </w:r>
          </w:p>
        </w:tc>
        <w:tc>
          <w:tcPr>
            <w:tcW w:w="0" w:type="auto"/>
            <w:tcBorders>
              <w:top w:val="single" w:sz="8" w:space="0" w:color="000000"/>
              <w:bottom w:val="single" w:sz="8" w:space="0" w:color="000000"/>
            </w:tcBorders>
            <w:shd w:val="clear" w:color="auto" w:fill="auto"/>
            <w:vAlign w:val="bottom"/>
          </w:tcPr>
          <w:p w14:paraId="0BC9960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60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960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897</w:t>
            </w:r>
          </w:p>
        </w:tc>
        <w:tc>
          <w:tcPr>
            <w:tcW w:w="0" w:type="auto"/>
            <w:tcBorders>
              <w:top w:val="single" w:sz="8" w:space="0" w:color="000000"/>
              <w:bottom w:val="single" w:sz="8" w:space="0" w:color="000000"/>
            </w:tcBorders>
            <w:shd w:val="clear" w:color="auto" w:fill="auto"/>
            <w:vAlign w:val="bottom"/>
          </w:tcPr>
          <w:p w14:paraId="0BC99607" w14:textId="77777777" w:rsidR="009F0928" w:rsidRDefault="009F0928">
            <w:pPr>
              <w:textAlignment w:val="bottom"/>
              <w:rPr>
                <w:rFonts w:ascii="Times New Roman" w:hAnsi="Times New Roman"/>
                <w:sz w:val="20"/>
                <w:szCs w:val="20"/>
              </w:rPr>
            </w:pPr>
          </w:p>
        </w:tc>
      </w:tr>
      <w:tr w:rsidR="009F0928" w14:paraId="0BC9960F" w14:textId="77777777">
        <w:tc>
          <w:tcPr>
            <w:tcW w:w="0" w:type="auto"/>
            <w:shd w:val="clear" w:color="auto" w:fill="E2E2E2"/>
            <w:tcMar>
              <w:top w:w="40" w:type="dxa"/>
              <w:left w:w="40" w:type="dxa"/>
              <w:bottom w:w="40" w:type="dxa"/>
              <w:right w:w="40" w:type="dxa"/>
            </w:tcMar>
            <w:vAlign w:val="bottom"/>
          </w:tcPr>
          <w:p w14:paraId="0BC9960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60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60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60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60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60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619" w14:textId="77777777">
        <w:tc>
          <w:tcPr>
            <w:tcW w:w="0" w:type="auto"/>
            <w:shd w:val="clear" w:color="auto" w:fill="auto"/>
            <w:tcMar>
              <w:top w:w="40" w:type="dxa"/>
              <w:left w:w="40" w:type="dxa"/>
              <w:bottom w:w="40" w:type="dxa"/>
              <w:right w:w="40" w:type="dxa"/>
            </w:tcMar>
            <w:vAlign w:val="bottom"/>
          </w:tcPr>
          <w:p w14:paraId="0BC99610"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Elimination of inter-segment net revenue </w:t>
            </w:r>
            <w:r>
              <w:rPr>
                <w:rFonts w:ascii="Arial" w:eastAsia="宋体" w:hAnsi="Arial" w:cs="Arial"/>
                <w:sz w:val="12"/>
                <w:szCs w:val="12"/>
              </w:rPr>
              <w:t>(2)</w:t>
            </w:r>
          </w:p>
        </w:tc>
        <w:tc>
          <w:tcPr>
            <w:tcW w:w="0" w:type="auto"/>
            <w:gridSpan w:val="2"/>
            <w:tcBorders>
              <w:bottom w:val="single" w:sz="8" w:space="0" w:color="000000"/>
            </w:tcBorders>
            <w:shd w:val="clear" w:color="auto" w:fill="auto"/>
            <w:tcMar>
              <w:top w:w="40" w:type="dxa"/>
              <w:left w:w="40" w:type="dxa"/>
              <w:bottom w:w="40" w:type="dxa"/>
            </w:tcMar>
            <w:vAlign w:val="bottom"/>
          </w:tcPr>
          <w:p w14:paraId="0BC9961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(20</w:t>
            </w:r>
          </w:p>
        </w:tc>
        <w:tc>
          <w:tcPr>
            <w:tcW w:w="0" w:type="auto"/>
            <w:tcBorders>
              <w:bottom w:val="single" w:sz="8" w:space="0" w:color="000000"/>
            </w:tcBorders>
            <w:shd w:val="clear" w:color="auto" w:fill="auto"/>
            <w:tcMar>
              <w:top w:w="40" w:type="dxa"/>
              <w:bottom w:w="40" w:type="dxa"/>
              <w:right w:w="40" w:type="dxa"/>
            </w:tcMar>
            <w:vAlign w:val="bottom"/>
          </w:tcPr>
          <w:p w14:paraId="0BC9961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961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61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auto"/>
            <w:vAlign w:val="bottom"/>
          </w:tcPr>
          <w:p w14:paraId="0BC9961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6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61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auto"/>
            <w:vAlign w:val="bottom"/>
          </w:tcPr>
          <w:p w14:paraId="0BC99618" w14:textId="77777777" w:rsidR="009F0928" w:rsidRDefault="009F0928">
            <w:pPr>
              <w:textAlignment w:val="bottom"/>
              <w:rPr>
                <w:rFonts w:ascii="Times New Roman" w:hAnsi="Times New Roman"/>
                <w:sz w:val="20"/>
                <w:szCs w:val="20"/>
              </w:rPr>
            </w:pPr>
          </w:p>
        </w:tc>
      </w:tr>
      <w:tr w:rsidR="009F0928" w14:paraId="0BC99626" w14:textId="77777777">
        <w:tc>
          <w:tcPr>
            <w:tcW w:w="0" w:type="auto"/>
            <w:shd w:val="clear" w:color="auto" w:fill="E2E2E2"/>
            <w:tcMar>
              <w:top w:w="40" w:type="dxa"/>
              <w:left w:w="720" w:type="dxa"/>
              <w:bottom w:w="40" w:type="dxa"/>
              <w:right w:w="40" w:type="dxa"/>
            </w:tcMar>
            <w:vAlign w:val="bottom"/>
          </w:tcPr>
          <w:p w14:paraId="0BC9961A"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Total consolidated net </w:t>
            </w:r>
            <w:r>
              <w:rPr>
                <w:rFonts w:ascii="Arial" w:eastAsia="宋体" w:hAnsi="Arial" w:cs="Arial"/>
                <w:sz w:val="18"/>
                <w:szCs w:val="18"/>
              </w:rPr>
              <w:t>revenue</w:t>
            </w:r>
          </w:p>
        </w:tc>
        <w:tc>
          <w:tcPr>
            <w:tcW w:w="0" w:type="auto"/>
            <w:tcBorders>
              <w:top w:val="single" w:sz="8" w:space="0" w:color="000000"/>
              <w:bottom w:val="single" w:sz="8" w:space="0" w:color="000000"/>
            </w:tcBorders>
            <w:shd w:val="clear" w:color="auto" w:fill="E2E2E2"/>
            <w:tcMar>
              <w:top w:w="40" w:type="dxa"/>
              <w:left w:w="40" w:type="dxa"/>
              <w:bottom w:w="40" w:type="dxa"/>
            </w:tcMar>
            <w:vAlign w:val="bottom"/>
          </w:tcPr>
          <w:p w14:paraId="0BC9961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E2E2E2"/>
            <w:tcMar>
              <w:top w:w="40" w:type="dxa"/>
              <w:bottom w:w="40" w:type="dxa"/>
            </w:tcMar>
            <w:vAlign w:val="bottom"/>
          </w:tcPr>
          <w:p w14:paraId="0BC9961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10,800</w:t>
            </w:r>
          </w:p>
        </w:tc>
        <w:tc>
          <w:tcPr>
            <w:tcW w:w="0" w:type="auto"/>
            <w:tcBorders>
              <w:top w:val="single" w:sz="8" w:space="0" w:color="000000"/>
              <w:bottom w:val="single" w:sz="8" w:space="0" w:color="000000"/>
            </w:tcBorders>
            <w:shd w:val="clear" w:color="auto" w:fill="E2E2E2"/>
            <w:vAlign w:val="bottom"/>
          </w:tcPr>
          <w:p w14:paraId="0BC9961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6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E2E2E2"/>
            <w:tcMar>
              <w:top w:w="40" w:type="dxa"/>
              <w:left w:w="40" w:type="dxa"/>
              <w:bottom w:w="40" w:type="dxa"/>
            </w:tcMar>
            <w:vAlign w:val="bottom"/>
          </w:tcPr>
          <w:p w14:paraId="0BC9961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E2E2E2"/>
            <w:tcMar>
              <w:top w:w="40" w:type="dxa"/>
              <w:bottom w:w="40" w:type="dxa"/>
            </w:tcMar>
            <w:vAlign w:val="bottom"/>
          </w:tcPr>
          <w:p w14:paraId="0BC9962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10,746</w:t>
            </w:r>
          </w:p>
        </w:tc>
        <w:tc>
          <w:tcPr>
            <w:tcW w:w="0" w:type="auto"/>
            <w:tcBorders>
              <w:top w:val="single" w:sz="8" w:space="0" w:color="000000"/>
              <w:bottom w:val="single" w:sz="8" w:space="0" w:color="000000"/>
            </w:tcBorders>
            <w:shd w:val="clear" w:color="auto" w:fill="E2E2E2"/>
            <w:vAlign w:val="bottom"/>
          </w:tcPr>
          <w:p w14:paraId="0BC9962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62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E2E2E2"/>
            <w:tcMar>
              <w:top w:w="40" w:type="dxa"/>
              <w:left w:w="40" w:type="dxa"/>
              <w:bottom w:w="40" w:type="dxa"/>
            </w:tcMar>
            <w:vAlign w:val="bottom"/>
          </w:tcPr>
          <w:p w14:paraId="0BC9962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E2E2E2"/>
            <w:tcMar>
              <w:top w:w="40" w:type="dxa"/>
              <w:bottom w:w="40" w:type="dxa"/>
            </w:tcMar>
            <w:vAlign w:val="bottom"/>
          </w:tcPr>
          <w:p w14:paraId="0BC9962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9,927</w:t>
            </w:r>
          </w:p>
        </w:tc>
        <w:tc>
          <w:tcPr>
            <w:tcW w:w="0" w:type="auto"/>
            <w:tcBorders>
              <w:top w:val="single" w:sz="8" w:space="0" w:color="000000"/>
              <w:bottom w:val="single" w:sz="8" w:space="0" w:color="000000"/>
            </w:tcBorders>
            <w:shd w:val="clear" w:color="auto" w:fill="E2E2E2"/>
            <w:vAlign w:val="bottom"/>
          </w:tcPr>
          <w:p w14:paraId="0BC99625" w14:textId="77777777" w:rsidR="009F0928" w:rsidRDefault="009F0928">
            <w:pPr>
              <w:textAlignment w:val="bottom"/>
              <w:rPr>
                <w:rFonts w:ascii="Times New Roman" w:hAnsi="Times New Roman"/>
                <w:sz w:val="20"/>
                <w:szCs w:val="20"/>
              </w:rPr>
            </w:pPr>
          </w:p>
        </w:tc>
      </w:tr>
      <w:tr w:rsidR="009F0928" w14:paraId="0BC9962D" w14:textId="77777777">
        <w:tc>
          <w:tcPr>
            <w:tcW w:w="0" w:type="auto"/>
            <w:shd w:val="clear" w:color="auto" w:fill="auto"/>
            <w:tcMar>
              <w:top w:w="40" w:type="dxa"/>
              <w:left w:w="40" w:type="dxa"/>
              <w:bottom w:w="40" w:type="dxa"/>
              <w:right w:w="40" w:type="dxa"/>
            </w:tcMar>
            <w:vAlign w:val="bottom"/>
          </w:tcPr>
          <w:p w14:paraId="0BC9962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62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62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62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62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62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634" w14:textId="77777777">
        <w:tc>
          <w:tcPr>
            <w:tcW w:w="0" w:type="auto"/>
            <w:shd w:val="clear" w:color="auto" w:fill="E2E2E2"/>
            <w:tcMar>
              <w:top w:w="40" w:type="dxa"/>
              <w:left w:w="40" w:type="dxa"/>
              <w:bottom w:w="40" w:type="dxa"/>
              <w:right w:w="40" w:type="dxa"/>
            </w:tcMar>
            <w:vAlign w:val="bottom"/>
          </w:tcPr>
          <w:p w14:paraId="0BC9962E"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Operating income (loss)</w:t>
            </w:r>
          </w:p>
        </w:tc>
        <w:tc>
          <w:tcPr>
            <w:tcW w:w="0" w:type="auto"/>
            <w:gridSpan w:val="3"/>
            <w:shd w:val="clear" w:color="auto" w:fill="E2E2E2"/>
            <w:tcMar>
              <w:top w:w="40" w:type="dxa"/>
              <w:left w:w="40" w:type="dxa"/>
              <w:bottom w:w="40" w:type="dxa"/>
              <w:right w:w="40" w:type="dxa"/>
            </w:tcMar>
            <w:vAlign w:val="bottom"/>
          </w:tcPr>
          <w:p w14:paraId="0BC9962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63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63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63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63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641" w14:textId="77777777">
        <w:tc>
          <w:tcPr>
            <w:tcW w:w="0" w:type="auto"/>
            <w:shd w:val="clear" w:color="auto" w:fill="auto"/>
            <w:tcMar>
              <w:top w:w="40" w:type="dxa"/>
              <w:left w:w="40" w:type="dxa"/>
              <w:bottom w:w="40" w:type="dxa"/>
              <w:right w:w="40" w:type="dxa"/>
            </w:tcMar>
            <w:vAlign w:val="bottom"/>
          </w:tcPr>
          <w:p w14:paraId="0BC99635" w14:textId="77777777" w:rsidR="009F0928" w:rsidRDefault="002112BD">
            <w:pPr>
              <w:textAlignment w:val="bottom"/>
              <w:rPr>
                <w:rFonts w:ascii="Times New Roman" w:hAnsi="Times New Roman"/>
                <w:sz w:val="18"/>
                <w:szCs w:val="18"/>
              </w:rPr>
            </w:pPr>
            <w:r>
              <w:rPr>
                <w:rFonts w:ascii="Arial" w:eastAsia="宋体" w:hAnsi="Arial" w:cs="Arial"/>
                <w:sz w:val="18"/>
                <w:szCs w:val="18"/>
              </w:rPr>
              <w:t>Marketplace</w:t>
            </w:r>
          </w:p>
        </w:tc>
        <w:tc>
          <w:tcPr>
            <w:tcW w:w="0" w:type="auto"/>
            <w:shd w:val="clear" w:color="auto" w:fill="auto"/>
            <w:tcMar>
              <w:top w:w="40" w:type="dxa"/>
              <w:left w:w="40" w:type="dxa"/>
              <w:bottom w:w="40" w:type="dxa"/>
            </w:tcMar>
            <w:vAlign w:val="bottom"/>
          </w:tcPr>
          <w:p w14:paraId="0BC9963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63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2,814</w:t>
            </w:r>
          </w:p>
        </w:tc>
        <w:tc>
          <w:tcPr>
            <w:tcW w:w="0" w:type="auto"/>
            <w:shd w:val="clear" w:color="auto" w:fill="auto"/>
            <w:vAlign w:val="bottom"/>
          </w:tcPr>
          <w:p w14:paraId="0BC9963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63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63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63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2,673</w:t>
            </w:r>
          </w:p>
        </w:tc>
        <w:tc>
          <w:tcPr>
            <w:tcW w:w="0" w:type="auto"/>
            <w:shd w:val="clear" w:color="auto" w:fill="auto"/>
            <w:vAlign w:val="bottom"/>
          </w:tcPr>
          <w:p w14:paraId="0BC9963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6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63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63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2,626</w:t>
            </w:r>
          </w:p>
        </w:tc>
        <w:tc>
          <w:tcPr>
            <w:tcW w:w="0" w:type="auto"/>
            <w:shd w:val="clear" w:color="auto" w:fill="auto"/>
            <w:vAlign w:val="bottom"/>
          </w:tcPr>
          <w:p w14:paraId="0BC99640" w14:textId="77777777" w:rsidR="009F0928" w:rsidRDefault="009F0928">
            <w:pPr>
              <w:textAlignment w:val="bottom"/>
              <w:rPr>
                <w:rFonts w:ascii="Times New Roman" w:hAnsi="Times New Roman"/>
                <w:sz w:val="20"/>
                <w:szCs w:val="20"/>
              </w:rPr>
            </w:pPr>
          </w:p>
        </w:tc>
      </w:tr>
      <w:tr w:rsidR="009F0928" w14:paraId="0BC9964B" w14:textId="77777777">
        <w:tc>
          <w:tcPr>
            <w:tcW w:w="0" w:type="auto"/>
            <w:shd w:val="clear" w:color="auto" w:fill="E2E2E2"/>
            <w:tcMar>
              <w:top w:w="40" w:type="dxa"/>
              <w:left w:w="40" w:type="dxa"/>
              <w:bottom w:w="40" w:type="dxa"/>
              <w:right w:w="40" w:type="dxa"/>
            </w:tcMar>
            <w:vAlign w:val="bottom"/>
          </w:tcPr>
          <w:p w14:paraId="0BC99642" w14:textId="77777777" w:rsidR="009F0928" w:rsidRDefault="002112BD">
            <w:pPr>
              <w:textAlignment w:val="bottom"/>
              <w:rPr>
                <w:rFonts w:ascii="Times New Roman" w:hAnsi="Times New Roman"/>
                <w:sz w:val="18"/>
                <w:szCs w:val="18"/>
              </w:rPr>
            </w:pPr>
            <w:r>
              <w:rPr>
                <w:rFonts w:ascii="Arial" w:eastAsia="宋体" w:hAnsi="Arial" w:cs="Arial"/>
                <w:sz w:val="18"/>
                <w:szCs w:val="18"/>
              </w:rPr>
              <w:t>StubHub</w:t>
            </w:r>
          </w:p>
        </w:tc>
        <w:tc>
          <w:tcPr>
            <w:tcW w:w="0" w:type="auto"/>
            <w:gridSpan w:val="2"/>
            <w:shd w:val="clear" w:color="auto" w:fill="E2E2E2"/>
            <w:tcMar>
              <w:top w:w="40" w:type="dxa"/>
              <w:left w:w="40" w:type="dxa"/>
              <w:bottom w:w="40" w:type="dxa"/>
            </w:tcMar>
            <w:vAlign w:val="bottom"/>
          </w:tcPr>
          <w:p w14:paraId="0BC9964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139</w:t>
            </w:r>
          </w:p>
        </w:tc>
        <w:tc>
          <w:tcPr>
            <w:tcW w:w="0" w:type="auto"/>
            <w:shd w:val="clear" w:color="auto" w:fill="E2E2E2"/>
            <w:vAlign w:val="bottom"/>
          </w:tcPr>
          <w:p w14:paraId="0BC9964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64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64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149</w:t>
            </w:r>
          </w:p>
        </w:tc>
        <w:tc>
          <w:tcPr>
            <w:tcW w:w="0" w:type="auto"/>
            <w:shd w:val="clear" w:color="auto" w:fill="E2E2E2"/>
            <w:vAlign w:val="bottom"/>
          </w:tcPr>
          <w:p w14:paraId="0BC9964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64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64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161</w:t>
            </w:r>
          </w:p>
        </w:tc>
        <w:tc>
          <w:tcPr>
            <w:tcW w:w="0" w:type="auto"/>
            <w:shd w:val="clear" w:color="auto" w:fill="E2E2E2"/>
            <w:vAlign w:val="bottom"/>
          </w:tcPr>
          <w:p w14:paraId="0BC9964A" w14:textId="77777777" w:rsidR="009F0928" w:rsidRDefault="009F0928">
            <w:pPr>
              <w:textAlignment w:val="bottom"/>
              <w:rPr>
                <w:rFonts w:ascii="Times New Roman" w:hAnsi="Times New Roman"/>
                <w:sz w:val="20"/>
                <w:szCs w:val="20"/>
              </w:rPr>
            </w:pPr>
          </w:p>
        </w:tc>
      </w:tr>
      <w:tr w:rsidR="009F0928" w14:paraId="0BC99655" w14:textId="77777777">
        <w:tc>
          <w:tcPr>
            <w:tcW w:w="0" w:type="auto"/>
            <w:shd w:val="clear" w:color="auto" w:fill="auto"/>
            <w:tcMar>
              <w:top w:w="40" w:type="dxa"/>
              <w:left w:w="40" w:type="dxa"/>
              <w:bottom w:w="40" w:type="dxa"/>
              <w:right w:w="40" w:type="dxa"/>
            </w:tcMar>
            <w:vAlign w:val="bottom"/>
          </w:tcPr>
          <w:p w14:paraId="0BC9964C" w14:textId="77777777" w:rsidR="009F0928" w:rsidRDefault="002112BD">
            <w:pPr>
              <w:textAlignment w:val="bottom"/>
              <w:rPr>
                <w:rFonts w:ascii="Times New Roman" w:hAnsi="Times New Roman"/>
                <w:sz w:val="18"/>
                <w:szCs w:val="18"/>
              </w:rPr>
            </w:pPr>
            <w:r>
              <w:rPr>
                <w:rFonts w:ascii="Arial" w:eastAsia="宋体" w:hAnsi="Arial" w:cs="Arial"/>
                <w:sz w:val="18"/>
                <w:szCs w:val="18"/>
              </w:rPr>
              <w:t>Classifieds</w:t>
            </w:r>
          </w:p>
        </w:tc>
        <w:tc>
          <w:tcPr>
            <w:tcW w:w="0" w:type="auto"/>
            <w:gridSpan w:val="2"/>
            <w:shd w:val="clear" w:color="auto" w:fill="auto"/>
            <w:tcMar>
              <w:top w:w="40" w:type="dxa"/>
              <w:left w:w="40" w:type="dxa"/>
              <w:bottom w:w="40" w:type="dxa"/>
            </w:tcMar>
            <w:vAlign w:val="bottom"/>
          </w:tcPr>
          <w:p w14:paraId="0BC9964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420</w:t>
            </w:r>
          </w:p>
        </w:tc>
        <w:tc>
          <w:tcPr>
            <w:tcW w:w="0" w:type="auto"/>
            <w:shd w:val="clear" w:color="auto" w:fill="auto"/>
            <w:vAlign w:val="bottom"/>
          </w:tcPr>
          <w:p w14:paraId="0BC9964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64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65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401</w:t>
            </w:r>
          </w:p>
        </w:tc>
        <w:tc>
          <w:tcPr>
            <w:tcW w:w="0" w:type="auto"/>
            <w:shd w:val="clear" w:color="auto" w:fill="auto"/>
            <w:vAlign w:val="bottom"/>
          </w:tcPr>
          <w:p w14:paraId="0BC9965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65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65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314</w:t>
            </w:r>
          </w:p>
        </w:tc>
        <w:tc>
          <w:tcPr>
            <w:tcW w:w="0" w:type="auto"/>
            <w:shd w:val="clear" w:color="auto" w:fill="auto"/>
            <w:vAlign w:val="bottom"/>
          </w:tcPr>
          <w:p w14:paraId="0BC99654" w14:textId="77777777" w:rsidR="009F0928" w:rsidRDefault="009F0928">
            <w:pPr>
              <w:textAlignment w:val="bottom"/>
              <w:rPr>
                <w:rFonts w:ascii="Times New Roman" w:hAnsi="Times New Roman"/>
                <w:sz w:val="20"/>
                <w:szCs w:val="20"/>
              </w:rPr>
            </w:pPr>
          </w:p>
        </w:tc>
      </w:tr>
      <w:tr w:rsidR="009F0928" w14:paraId="0BC9965F" w14:textId="77777777">
        <w:tc>
          <w:tcPr>
            <w:tcW w:w="0" w:type="auto"/>
            <w:shd w:val="clear" w:color="auto" w:fill="E2E2E2"/>
            <w:tcMar>
              <w:top w:w="40" w:type="dxa"/>
              <w:left w:w="40" w:type="dxa"/>
              <w:bottom w:w="40" w:type="dxa"/>
              <w:right w:w="40" w:type="dxa"/>
            </w:tcMar>
            <w:vAlign w:val="bottom"/>
          </w:tcPr>
          <w:p w14:paraId="0BC99656" w14:textId="77777777" w:rsidR="009F0928" w:rsidRDefault="002112BD">
            <w:pPr>
              <w:textAlignment w:val="bottom"/>
              <w:rPr>
                <w:rFonts w:ascii="Times New Roman" w:hAnsi="Times New Roman"/>
                <w:sz w:val="18"/>
                <w:szCs w:val="18"/>
              </w:rPr>
            </w:pPr>
            <w:r>
              <w:rPr>
                <w:rFonts w:ascii="Arial" w:eastAsia="宋体" w:hAnsi="Arial" w:cs="Arial"/>
                <w:sz w:val="18"/>
                <w:szCs w:val="18"/>
              </w:rPr>
              <w:t>Corporate and other costs</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65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(1,052</w:t>
            </w:r>
          </w:p>
        </w:tc>
        <w:tc>
          <w:tcPr>
            <w:tcW w:w="0" w:type="auto"/>
            <w:tcBorders>
              <w:bottom w:val="single" w:sz="8" w:space="0" w:color="000000"/>
            </w:tcBorders>
            <w:shd w:val="clear" w:color="auto" w:fill="E2E2E2"/>
            <w:tcMar>
              <w:top w:w="40" w:type="dxa"/>
              <w:bottom w:w="40" w:type="dxa"/>
              <w:right w:w="40" w:type="dxa"/>
            </w:tcMar>
            <w:vAlign w:val="bottom"/>
          </w:tcPr>
          <w:p w14:paraId="0BC9965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965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65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(1,001</w:t>
            </w:r>
          </w:p>
        </w:tc>
        <w:tc>
          <w:tcPr>
            <w:tcW w:w="0" w:type="auto"/>
            <w:tcBorders>
              <w:bottom w:val="single" w:sz="8" w:space="0" w:color="000000"/>
            </w:tcBorders>
            <w:shd w:val="clear" w:color="auto" w:fill="E2E2E2"/>
            <w:tcMar>
              <w:top w:w="40" w:type="dxa"/>
              <w:bottom w:w="40" w:type="dxa"/>
              <w:right w:w="40" w:type="dxa"/>
            </w:tcMar>
            <w:vAlign w:val="bottom"/>
          </w:tcPr>
          <w:p w14:paraId="0BC9965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965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65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(837</w:t>
            </w:r>
          </w:p>
        </w:tc>
        <w:tc>
          <w:tcPr>
            <w:tcW w:w="0" w:type="auto"/>
            <w:tcBorders>
              <w:bottom w:val="single" w:sz="8" w:space="0" w:color="000000"/>
            </w:tcBorders>
            <w:shd w:val="clear" w:color="auto" w:fill="E2E2E2"/>
            <w:tcMar>
              <w:top w:w="40" w:type="dxa"/>
              <w:bottom w:w="40" w:type="dxa"/>
              <w:right w:w="40" w:type="dxa"/>
            </w:tcMar>
            <w:vAlign w:val="bottom"/>
          </w:tcPr>
          <w:p w14:paraId="0BC9965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9669" w14:textId="77777777">
        <w:tc>
          <w:tcPr>
            <w:tcW w:w="0" w:type="auto"/>
            <w:shd w:val="clear" w:color="auto" w:fill="auto"/>
            <w:tcMar>
              <w:top w:w="40" w:type="dxa"/>
              <w:left w:w="240" w:type="dxa"/>
              <w:bottom w:w="40" w:type="dxa"/>
              <w:right w:w="40" w:type="dxa"/>
            </w:tcMar>
            <w:vAlign w:val="bottom"/>
          </w:tcPr>
          <w:p w14:paraId="0BC99660"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operating income</w:t>
            </w:r>
          </w:p>
        </w:tc>
        <w:tc>
          <w:tcPr>
            <w:tcW w:w="0" w:type="auto"/>
            <w:gridSpan w:val="2"/>
            <w:shd w:val="clear" w:color="auto" w:fill="auto"/>
            <w:tcMar>
              <w:top w:w="40" w:type="dxa"/>
              <w:left w:w="40" w:type="dxa"/>
              <w:bottom w:w="40" w:type="dxa"/>
            </w:tcMar>
            <w:vAlign w:val="bottom"/>
          </w:tcPr>
          <w:p w14:paraId="0BC9966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2,321</w:t>
            </w:r>
          </w:p>
        </w:tc>
        <w:tc>
          <w:tcPr>
            <w:tcW w:w="0" w:type="auto"/>
            <w:shd w:val="clear" w:color="auto" w:fill="auto"/>
            <w:vAlign w:val="bottom"/>
          </w:tcPr>
          <w:p w14:paraId="0BC9966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66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66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2,222</w:t>
            </w:r>
          </w:p>
        </w:tc>
        <w:tc>
          <w:tcPr>
            <w:tcW w:w="0" w:type="auto"/>
            <w:shd w:val="clear" w:color="auto" w:fill="auto"/>
            <w:vAlign w:val="bottom"/>
          </w:tcPr>
          <w:p w14:paraId="0BC9966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66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66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2,264</w:t>
            </w:r>
          </w:p>
        </w:tc>
        <w:tc>
          <w:tcPr>
            <w:tcW w:w="0" w:type="auto"/>
            <w:shd w:val="clear" w:color="auto" w:fill="auto"/>
            <w:vAlign w:val="bottom"/>
          </w:tcPr>
          <w:p w14:paraId="0BC99668" w14:textId="77777777" w:rsidR="009F0928" w:rsidRDefault="009F0928">
            <w:pPr>
              <w:textAlignment w:val="bottom"/>
              <w:rPr>
                <w:rFonts w:ascii="Times New Roman" w:hAnsi="Times New Roman"/>
                <w:sz w:val="20"/>
                <w:szCs w:val="20"/>
              </w:rPr>
            </w:pPr>
          </w:p>
        </w:tc>
      </w:tr>
      <w:tr w:rsidR="009F0928" w14:paraId="0BC99673" w14:textId="77777777">
        <w:tc>
          <w:tcPr>
            <w:tcW w:w="0" w:type="auto"/>
            <w:shd w:val="clear" w:color="auto" w:fill="E2E2E2"/>
            <w:tcMar>
              <w:top w:w="40" w:type="dxa"/>
              <w:left w:w="240" w:type="dxa"/>
              <w:bottom w:w="40" w:type="dxa"/>
              <w:right w:w="40" w:type="dxa"/>
            </w:tcMar>
            <w:vAlign w:val="bottom"/>
          </w:tcPr>
          <w:p w14:paraId="0BC9966A" w14:textId="77777777" w:rsidR="009F0928" w:rsidRDefault="002112BD">
            <w:pPr>
              <w:textAlignment w:val="bottom"/>
              <w:rPr>
                <w:rFonts w:ascii="Times New Roman" w:hAnsi="Times New Roman"/>
                <w:sz w:val="18"/>
                <w:szCs w:val="18"/>
              </w:rPr>
            </w:pPr>
            <w:r>
              <w:rPr>
                <w:rFonts w:ascii="Arial" w:eastAsia="宋体" w:hAnsi="Arial" w:cs="Arial"/>
                <w:sz w:val="18"/>
                <w:szCs w:val="18"/>
              </w:rPr>
              <w:t>Interest and other, net</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66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(114</w:t>
            </w:r>
          </w:p>
        </w:tc>
        <w:tc>
          <w:tcPr>
            <w:tcW w:w="0" w:type="auto"/>
            <w:tcBorders>
              <w:bottom w:val="single" w:sz="8" w:space="0" w:color="000000"/>
            </w:tcBorders>
            <w:shd w:val="clear" w:color="auto" w:fill="E2E2E2"/>
            <w:tcMar>
              <w:top w:w="40" w:type="dxa"/>
              <w:bottom w:w="40" w:type="dxa"/>
              <w:right w:w="40" w:type="dxa"/>
            </w:tcMar>
            <w:vAlign w:val="bottom"/>
          </w:tcPr>
          <w:p w14:paraId="0BC9966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966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66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496</w:t>
            </w:r>
          </w:p>
        </w:tc>
        <w:tc>
          <w:tcPr>
            <w:tcW w:w="0" w:type="auto"/>
            <w:tcBorders>
              <w:bottom w:val="single" w:sz="8" w:space="0" w:color="000000"/>
            </w:tcBorders>
            <w:shd w:val="clear" w:color="auto" w:fill="E2E2E2"/>
            <w:vAlign w:val="bottom"/>
          </w:tcPr>
          <w:p w14:paraId="0BC9966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67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67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w:t>
            </w:r>
          </w:p>
        </w:tc>
        <w:tc>
          <w:tcPr>
            <w:tcW w:w="0" w:type="auto"/>
            <w:tcBorders>
              <w:bottom w:val="single" w:sz="8" w:space="0" w:color="000000"/>
            </w:tcBorders>
            <w:shd w:val="clear" w:color="auto" w:fill="E2E2E2"/>
            <w:vAlign w:val="bottom"/>
          </w:tcPr>
          <w:p w14:paraId="0BC99672" w14:textId="77777777" w:rsidR="009F0928" w:rsidRDefault="009F0928">
            <w:pPr>
              <w:textAlignment w:val="bottom"/>
              <w:rPr>
                <w:rFonts w:ascii="Times New Roman" w:hAnsi="Times New Roman"/>
                <w:sz w:val="20"/>
                <w:szCs w:val="20"/>
              </w:rPr>
            </w:pPr>
          </w:p>
        </w:tc>
      </w:tr>
      <w:tr w:rsidR="009F0928" w14:paraId="0BC99680" w14:textId="77777777">
        <w:tc>
          <w:tcPr>
            <w:tcW w:w="0" w:type="auto"/>
            <w:shd w:val="clear" w:color="auto" w:fill="auto"/>
            <w:tcMar>
              <w:top w:w="40" w:type="dxa"/>
              <w:left w:w="720" w:type="dxa"/>
              <w:bottom w:w="40" w:type="dxa"/>
              <w:right w:w="40" w:type="dxa"/>
            </w:tcMar>
            <w:vAlign w:val="bottom"/>
          </w:tcPr>
          <w:p w14:paraId="0BC99674" w14:textId="77777777" w:rsidR="009F0928" w:rsidRDefault="002112BD">
            <w:pPr>
              <w:textAlignment w:val="bottom"/>
              <w:rPr>
                <w:rFonts w:ascii="Times New Roman" w:hAnsi="Times New Roman"/>
                <w:sz w:val="18"/>
                <w:szCs w:val="18"/>
              </w:rPr>
            </w:pPr>
            <w:r>
              <w:rPr>
                <w:rFonts w:ascii="Arial" w:eastAsia="宋体" w:hAnsi="Arial" w:cs="Arial"/>
                <w:sz w:val="18"/>
                <w:szCs w:val="18"/>
              </w:rPr>
              <w:t>Income before income taxes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67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67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2,207</w:t>
            </w:r>
          </w:p>
        </w:tc>
        <w:tc>
          <w:tcPr>
            <w:tcW w:w="0" w:type="auto"/>
            <w:tcBorders>
              <w:top w:val="single" w:sz="8" w:space="0" w:color="000000"/>
              <w:bottom w:val="double" w:sz="6" w:space="0" w:color="000000"/>
            </w:tcBorders>
            <w:shd w:val="clear" w:color="auto" w:fill="auto"/>
            <w:vAlign w:val="bottom"/>
          </w:tcPr>
          <w:p w14:paraId="0BC9967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67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67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67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2,718</w:t>
            </w:r>
          </w:p>
        </w:tc>
        <w:tc>
          <w:tcPr>
            <w:tcW w:w="0" w:type="auto"/>
            <w:tcBorders>
              <w:top w:val="single" w:sz="8" w:space="0" w:color="000000"/>
              <w:bottom w:val="double" w:sz="6" w:space="0" w:color="000000"/>
            </w:tcBorders>
            <w:shd w:val="clear" w:color="auto" w:fill="auto"/>
            <w:vAlign w:val="bottom"/>
          </w:tcPr>
          <w:p w14:paraId="0BC9967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67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67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67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2,275</w:t>
            </w:r>
          </w:p>
        </w:tc>
        <w:tc>
          <w:tcPr>
            <w:tcW w:w="0" w:type="auto"/>
            <w:tcBorders>
              <w:top w:val="single" w:sz="8" w:space="0" w:color="000000"/>
              <w:bottom w:val="double" w:sz="6" w:space="0" w:color="000000"/>
            </w:tcBorders>
            <w:shd w:val="clear" w:color="auto" w:fill="auto"/>
            <w:vAlign w:val="bottom"/>
          </w:tcPr>
          <w:p w14:paraId="0BC9967F" w14:textId="77777777" w:rsidR="009F0928" w:rsidRDefault="009F0928">
            <w:pPr>
              <w:textAlignment w:val="bottom"/>
              <w:rPr>
                <w:rFonts w:ascii="Times New Roman" w:hAnsi="Times New Roman"/>
                <w:sz w:val="20"/>
                <w:szCs w:val="20"/>
              </w:rPr>
            </w:pPr>
          </w:p>
        </w:tc>
      </w:tr>
    </w:tbl>
    <w:p w14:paraId="0BC99681" w14:textId="77777777" w:rsidR="009F0928" w:rsidRDefault="009F0928">
      <w:pPr>
        <w:spacing w:line="288" w:lineRule="auto"/>
        <w:jc w:val="cente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5870"/>
      </w:tblGrid>
      <w:tr w:rsidR="009F0928" w14:paraId="0BC99684" w14:textId="77777777">
        <w:trPr>
          <w:tblCellSpacing w:w="0" w:type="dxa"/>
        </w:trPr>
        <w:tc>
          <w:tcPr>
            <w:tcW w:w="480" w:type="dxa"/>
            <w:shd w:val="clear" w:color="auto" w:fill="auto"/>
            <w:vAlign w:val="center"/>
          </w:tcPr>
          <w:p w14:paraId="0BC99682" w14:textId="77777777" w:rsidR="009F0928" w:rsidRDefault="009F0928">
            <w:pPr>
              <w:rPr>
                <w:rFonts w:ascii="Times New Roman" w:hAnsi="Times New Roman"/>
                <w:sz w:val="20"/>
                <w:szCs w:val="20"/>
              </w:rPr>
            </w:pPr>
          </w:p>
        </w:tc>
        <w:tc>
          <w:tcPr>
            <w:tcW w:w="0" w:type="auto"/>
            <w:shd w:val="clear" w:color="auto" w:fill="auto"/>
            <w:vAlign w:val="center"/>
          </w:tcPr>
          <w:p w14:paraId="0BC99683" w14:textId="77777777" w:rsidR="009F0928" w:rsidRDefault="009F0928">
            <w:pPr>
              <w:rPr>
                <w:rFonts w:ascii="Times New Roman" w:hAnsi="Times New Roman"/>
                <w:sz w:val="20"/>
                <w:szCs w:val="20"/>
              </w:rPr>
            </w:pPr>
          </w:p>
        </w:tc>
      </w:tr>
      <w:tr w:rsidR="009F0928" w14:paraId="0BC99687" w14:textId="77777777">
        <w:trPr>
          <w:tblCellSpacing w:w="0" w:type="dxa"/>
        </w:trPr>
        <w:tc>
          <w:tcPr>
            <w:tcW w:w="0" w:type="auto"/>
            <w:shd w:val="clear" w:color="auto" w:fill="auto"/>
          </w:tcPr>
          <w:p w14:paraId="0BC99685"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(1)</w:t>
            </w:r>
          </w:p>
        </w:tc>
        <w:tc>
          <w:tcPr>
            <w:tcW w:w="0" w:type="auto"/>
            <w:shd w:val="clear" w:color="auto" w:fill="auto"/>
          </w:tcPr>
          <w:p w14:paraId="0BC99686"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Classifieds net revenues consists entirely of marketing services and other revenue.</w:t>
            </w:r>
          </w:p>
        </w:tc>
      </w:tr>
    </w:tbl>
    <w:p w14:paraId="0BC99688"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4679"/>
      </w:tblGrid>
      <w:tr w:rsidR="009F0928" w14:paraId="0BC9968B" w14:textId="77777777">
        <w:trPr>
          <w:tblCellSpacing w:w="0" w:type="dxa"/>
        </w:trPr>
        <w:tc>
          <w:tcPr>
            <w:tcW w:w="480" w:type="dxa"/>
            <w:shd w:val="clear" w:color="auto" w:fill="auto"/>
            <w:vAlign w:val="center"/>
          </w:tcPr>
          <w:p w14:paraId="0BC99689" w14:textId="77777777" w:rsidR="009F0928" w:rsidRDefault="009F0928">
            <w:pPr>
              <w:rPr>
                <w:rFonts w:ascii="Times New Roman" w:hAnsi="Times New Roman"/>
                <w:sz w:val="20"/>
                <w:szCs w:val="20"/>
              </w:rPr>
            </w:pPr>
          </w:p>
        </w:tc>
        <w:tc>
          <w:tcPr>
            <w:tcW w:w="0" w:type="auto"/>
            <w:shd w:val="clear" w:color="auto" w:fill="auto"/>
            <w:vAlign w:val="center"/>
          </w:tcPr>
          <w:p w14:paraId="0BC9968A" w14:textId="77777777" w:rsidR="009F0928" w:rsidRDefault="009F0928">
            <w:pPr>
              <w:rPr>
                <w:rFonts w:ascii="Times New Roman" w:hAnsi="Times New Roman"/>
                <w:sz w:val="20"/>
                <w:szCs w:val="20"/>
              </w:rPr>
            </w:pPr>
          </w:p>
        </w:tc>
      </w:tr>
      <w:tr w:rsidR="009F0928" w14:paraId="0BC9968E" w14:textId="77777777">
        <w:trPr>
          <w:tblCellSpacing w:w="0" w:type="dxa"/>
        </w:trPr>
        <w:tc>
          <w:tcPr>
            <w:tcW w:w="0" w:type="auto"/>
            <w:shd w:val="clear" w:color="auto" w:fill="auto"/>
          </w:tcPr>
          <w:p w14:paraId="0BC9968C"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(2)</w:t>
            </w:r>
          </w:p>
        </w:tc>
        <w:tc>
          <w:tcPr>
            <w:tcW w:w="0" w:type="auto"/>
            <w:shd w:val="clear" w:color="auto" w:fill="auto"/>
          </w:tcPr>
          <w:p w14:paraId="0BC9968D"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Represents revenue generated between our reportable segments.</w:t>
            </w:r>
          </w:p>
        </w:tc>
      </w:tr>
    </w:tbl>
    <w:p w14:paraId="0BC9968F" w14:textId="77777777" w:rsidR="009F0928" w:rsidRDefault="009F0928">
      <w:pPr>
        <w:jc w:val="both"/>
        <w:rPr>
          <w:rFonts w:ascii="Times New Roman" w:hAnsi="Times New Roman"/>
          <w:sz w:val="20"/>
          <w:szCs w:val="20"/>
        </w:rPr>
      </w:pPr>
    </w:p>
    <w:p w14:paraId="0BC99690" w14:textId="77777777" w:rsidR="009F0928" w:rsidRDefault="009F0928">
      <w:pPr>
        <w:rPr>
          <w:rFonts w:ascii="Times New Roman" w:hAnsi="Times New Roman"/>
          <w:sz w:val="20"/>
          <w:szCs w:val="20"/>
        </w:rPr>
      </w:pPr>
    </w:p>
    <w:p w14:paraId="0BC99691"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F-20</w:t>
      </w:r>
    </w:p>
    <w:p w14:paraId="0BC99692" w14:textId="77777777" w:rsidR="009F0928" w:rsidRDefault="002112BD">
      <w:r>
        <w:rPr>
          <w:rFonts w:ascii="Times New Roman" w:hAnsi="Times New Roman"/>
          <w:sz w:val="18"/>
          <w:szCs w:val="18"/>
        </w:rPr>
        <w:pict w14:anchorId="0BC9B50E">
          <v:rect id="_x0000_i1106" style="width:415.3pt;height:1.5pt" o:hralign="center" o:hrstd="t" o:hr="t" fillcolor="#a0a0a0" stroked="f"/>
        </w:pict>
      </w:r>
    </w:p>
    <w:p w14:paraId="0BC99693"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694"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9695" w14:textId="77777777" w:rsidR="009F0928" w:rsidRDefault="009F0928">
      <w:pPr>
        <w:spacing w:line="288" w:lineRule="auto"/>
        <w:jc w:val="center"/>
        <w:rPr>
          <w:rFonts w:ascii="Times New Roman" w:hAnsi="Times New Roman"/>
          <w:sz w:val="20"/>
          <w:szCs w:val="20"/>
        </w:rPr>
      </w:pPr>
    </w:p>
    <w:p w14:paraId="0BC99696" w14:textId="77777777" w:rsidR="009F0928" w:rsidRDefault="009F0928">
      <w:pPr>
        <w:rPr>
          <w:rFonts w:ascii="Times New Roman" w:hAnsi="Times New Roman"/>
          <w:sz w:val="20"/>
          <w:szCs w:val="20"/>
        </w:rPr>
      </w:pPr>
    </w:p>
    <w:p w14:paraId="0BC9969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following tables summarize the allocation of net revenues and long-lived tangible assets based on geography (in millions): </w:t>
      </w:r>
      <w:r>
        <w:rPr>
          <w:rFonts w:ascii="Arial" w:eastAsia="宋体" w:hAnsi="Arial" w:cs="Arial"/>
          <w:sz w:val="14"/>
          <w:szCs w:val="14"/>
        </w:rPr>
        <w:t> </w:t>
      </w:r>
    </w:p>
    <w:tbl>
      <w:tblPr>
        <w:tblW w:w="5000" w:type="pct"/>
        <w:tblCellMar>
          <w:left w:w="0" w:type="dxa"/>
          <w:right w:w="0" w:type="dxa"/>
        </w:tblCellMar>
        <w:tblLook w:val="04A0" w:firstRow="1" w:lastRow="0" w:firstColumn="1" w:lastColumn="0" w:noHBand="0" w:noVBand="1"/>
      </w:tblPr>
      <w:tblGrid>
        <w:gridCol w:w="4848"/>
        <w:gridCol w:w="141"/>
        <w:gridCol w:w="861"/>
        <w:gridCol w:w="30"/>
        <w:gridCol w:w="181"/>
        <w:gridCol w:w="141"/>
        <w:gridCol w:w="861"/>
        <w:gridCol w:w="30"/>
        <w:gridCol w:w="181"/>
        <w:gridCol w:w="141"/>
        <w:gridCol w:w="861"/>
        <w:gridCol w:w="30"/>
      </w:tblGrid>
      <w:tr w:rsidR="009F0928" w14:paraId="0BC99699" w14:textId="77777777">
        <w:tc>
          <w:tcPr>
            <w:tcW w:w="0" w:type="auto"/>
            <w:gridSpan w:val="12"/>
            <w:shd w:val="clear" w:color="auto" w:fill="auto"/>
            <w:vAlign w:val="center"/>
          </w:tcPr>
          <w:p w14:paraId="0BC99698" w14:textId="77777777" w:rsidR="009F0928" w:rsidRDefault="009F0928">
            <w:pPr>
              <w:rPr>
                <w:rFonts w:ascii="Times New Roman" w:hAnsi="Times New Roman"/>
                <w:sz w:val="20"/>
                <w:szCs w:val="20"/>
              </w:rPr>
            </w:pPr>
          </w:p>
        </w:tc>
      </w:tr>
      <w:tr w:rsidR="009F0928" w14:paraId="0BC996A6" w14:textId="77777777">
        <w:tc>
          <w:tcPr>
            <w:tcW w:w="2950" w:type="pct"/>
            <w:shd w:val="clear" w:color="auto" w:fill="auto"/>
            <w:vAlign w:val="center"/>
          </w:tcPr>
          <w:p w14:paraId="0BC9969A" w14:textId="77777777" w:rsidR="009F0928" w:rsidRDefault="009F0928">
            <w:pPr>
              <w:rPr>
                <w:rFonts w:ascii="Times New Roman" w:hAnsi="Times New Roman"/>
                <w:sz w:val="20"/>
                <w:szCs w:val="20"/>
              </w:rPr>
            </w:pPr>
          </w:p>
        </w:tc>
        <w:tc>
          <w:tcPr>
            <w:tcW w:w="50" w:type="pct"/>
            <w:shd w:val="clear" w:color="auto" w:fill="auto"/>
            <w:vAlign w:val="center"/>
          </w:tcPr>
          <w:p w14:paraId="0BC9969B" w14:textId="77777777" w:rsidR="009F0928" w:rsidRDefault="009F0928">
            <w:pPr>
              <w:rPr>
                <w:rFonts w:ascii="Times New Roman" w:hAnsi="Times New Roman"/>
                <w:sz w:val="20"/>
                <w:szCs w:val="20"/>
              </w:rPr>
            </w:pPr>
          </w:p>
        </w:tc>
        <w:tc>
          <w:tcPr>
            <w:tcW w:w="550" w:type="pct"/>
            <w:shd w:val="clear" w:color="auto" w:fill="auto"/>
            <w:vAlign w:val="center"/>
          </w:tcPr>
          <w:p w14:paraId="0BC9969C" w14:textId="77777777" w:rsidR="009F0928" w:rsidRDefault="009F0928">
            <w:pPr>
              <w:rPr>
                <w:rFonts w:ascii="Times New Roman" w:hAnsi="Times New Roman"/>
                <w:sz w:val="20"/>
                <w:szCs w:val="20"/>
              </w:rPr>
            </w:pPr>
          </w:p>
        </w:tc>
        <w:tc>
          <w:tcPr>
            <w:tcW w:w="50" w:type="pct"/>
            <w:shd w:val="clear" w:color="auto" w:fill="auto"/>
            <w:vAlign w:val="center"/>
          </w:tcPr>
          <w:p w14:paraId="0BC9969D" w14:textId="77777777" w:rsidR="009F0928" w:rsidRDefault="009F0928">
            <w:pPr>
              <w:rPr>
                <w:rFonts w:ascii="Times New Roman" w:hAnsi="Times New Roman"/>
                <w:sz w:val="20"/>
                <w:szCs w:val="20"/>
              </w:rPr>
            </w:pPr>
          </w:p>
        </w:tc>
        <w:tc>
          <w:tcPr>
            <w:tcW w:w="50" w:type="pct"/>
            <w:shd w:val="clear" w:color="auto" w:fill="auto"/>
            <w:vAlign w:val="center"/>
          </w:tcPr>
          <w:p w14:paraId="0BC9969E" w14:textId="77777777" w:rsidR="009F0928" w:rsidRDefault="009F0928">
            <w:pPr>
              <w:rPr>
                <w:rFonts w:ascii="Times New Roman" w:hAnsi="Times New Roman"/>
                <w:sz w:val="20"/>
                <w:szCs w:val="20"/>
              </w:rPr>
            </w:pPr>
          </w:p>
        </w:tc>
        <w:tc>
          <w:tcPr>
            <w:tcW w:w="50" w:type="pct"/>
            <w:shd w:val="clear" w:color="auto" w:fill="auto"/>
            <w:vAlign w:val="center"/>
          </w:tcPr>
          <w:p w14:paraId="0BC9969F" w14:textId="77777777" w:rsidR="009F0928" w:rsidRDefault="009F0928">
            <w:pPr>
              <w:rPr>
                <w:rFonts w:ascii="Times New Roman" w:hAnsi="Times New Roman"/>
                <w:sz w:val="20"/>
                <w:szCs w:val="20"/>
              </w:rPr>
            </w:pPr>
          </w:p>
        </w:tc>
        <w:tc>
          <w:tcPr>
            <w:tcW w:w="550" w:type="pct"/>
            <w:shd w:val="clear" w:color="auto" w:fill="auto"/>
            <w:vAlign w:val="center"/>
          </w:tcPr>
          <w:p w14:paraId="0BC996A0" w14:textId="77777777" w:rsidR="009F0928" w:rsidRDefault="009F0928">
            <w:pPr>
              <w:rPr>
                <w:rFonts w:ascii="Times New Roman" w:hAnsi="Times New Roman"/>
                <w:sz w:val="20"/>
                <w:szCs w:val="20"/>
              </w:rPr>
            </w:pPr>
          </w:p>
        </w:tc>
        <w:tc>
          <w:tcPr>
            <w:tcW w:w="50" w:type="pct"/>
            <w:shd w:val="clear" w:color="auto" w:fill="auto"/>
            <w:vAlign w:val="center"/>
          </w:tcPr>
          <w:p w14:paraId="0BC996A1" w14:textId="77777777" w:rsidR="009F0928" w:rsidRDefault="009F0928">
            <w:pPr>
              <w:rPr>
                <w:rFonts w:ascii="Times New Roman" w:hAnsi="Times New Roman"/>
                <w:sz w:val="20"/>
                <w:szCs w:val="20"/>
              </w:rPr>
            </w:pPr>
          </w:p>
        </w:tc>
        <w:tc>
          <w:tcPr>
            <w:tcW w:w="50" w:type="pct"/>
            <w:shd w:val="clear" w:color="auto" w:fill="auto"/>
            <w:vAlign w:val="center"/>
          </w:tcPr>
          <w:p w14:paraId="0BC996A2" w14:textId="77777777" w:rsidR="009F0928" w:rsidRDefault="009F0928">
            <w:pPr>
              <w:rPr>
                <w:rFonts w:ascii="Times New Roman" w:hAnsi="Times New Roman"/>
                <w:sz w:val="20"/>
                <w:szCs w:val="20"/>
              </w:rPr>
            </w:pPr>
          </w:p>
        </w:tc>
        <w:tc>
          <w:tcPr>
            <w:tcW w:w="50" w:type="pct"/>
            <w:shd w:val="clear" w:color="auto" w:fill="auto"/>
            <w:vAlign w:val="center"/>
          </w:tcPr>
          <w:p w14:paraId="0BC996A3" w14:textId="77777777" w:rsidR="009F0928" w:rsidRDefault="009F0928">
            <w:pPr>
              <w:rPr>
                <w:rFonts w:ascii="Times New Roman" w:hAnsi="Times New Roman"/>
                <w:sz w:val="20"/>
                <w:szCs w:val="20"/>
              </w:rPr>
            </w:pPr>
          </w:p>
        </w:tc>
        <w:tc>
          <w:tcPr>
            <w:tcW w:w="550" w:type="pct"/>
            <w:shd w:val="clear" w:color="auto" w:fill="auto"/>
            <w:vAlign w:val="center"/>
          </w:tcPr>
          <w:p w14:paraId="0BC996A4" w14:textId="77777777" w:rsidR="009F0928" w:rsidRDefault="009F0928">
            <w:pPr>
              <w:rPr>
                <w:rFonts w:ascii="Times New Roman" w:hAnsi="Times New Roman"/>
                <w:sz w:val="20"/>
                <w:szCs w:val="20"/>
              </w:rPr>
            </w:pPr>
          </w:p>
        </w:tc>
        <w:tc>
          <w:tcPr>
            <w:tcW w:w="50" w:type="pct"/>
            <w:shd w:val="clear" w:color="auto" w:fill="auto"/>
            <w:vAlign w:val="center"/>
          </w:tcPr>
          <w:p w14:paraId="0BC996A5" w14:textId="77777777" w:rsidR="009F0928" w:rsidRDefault="009F0928">
            <w:pPr>
              <w:rPr>
                <w:rFonts w:ascii="Times New Roman" w:hAnsi="Times New Roman"/>
                <w:sz w:val="20"/>
                <w:szCs w:val="20"/>
              </w:rPr>
            </w:pPr>
          </w:p>
        </w:tc>
      </w:tr>
      <w:tr w:rsidR="009F0928" w14:paraId="0BC996A9" w14:textId="77777777">
        <w:tc>
          <w:tcPr>
            <w:tcW w:w="0" w:type="auto"/>
            <w:shd w:val="clear" w:color="auto" w:fill="auto"/>
            <w:tcMar>
              <w:top w:w="40" w:type="dxa"/>
              <w:left w:w="40" w:type="dxa"/>
              <w:bottom w:w="40" w:type="dxa"/>
              <w:right w:w="40" w:type="dxa"/>
            </w:tcMar>
            <w:vAlign w:val="bottom"/>
          </w:tcPr>
          <w:p w14:paraId="0BC996A7"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96A8"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w:t>
            </w:r>
          </w:p>
        </w:tc>
      </w:tr>
      <w:tr w:rsidR="009F0928" w14:paraId="0BC996B0" w14:textId="77777777">
        <w:tc>
          <w:tcPr>
            <w:tcW w:w="0" w:type="auto"/>
            <w:shd w:val="clear" w:color="auto" w:fill="auto"/>
            <w:tcMar>
              <w:top w:w="40" w:type="dxa"/>
              <w:left w:w="40" w:type="dxa"/>
              <w:bottom w:w="40" w:type="dxa"/>
              <w:right w:w="40" w:type="dxa"/>
            </w:tcMar>
            <w:vAlign w:val="bottom"/>
          </w:tcPr>
          <w:p w14:paraId="0BC996AA"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6AB"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96AC"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6A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0BC996AE"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6A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2017</w:t>
            </w:r>
          </w:p>
        </w:tc>
      </w:tr>
      <w:tr w:rsidR="009F0928" w14:paraId="0BC996B7" w14:textId="77777777">
        <w:tc>
          <w:tcPr>
            <w:tcW w:w="0" w:type="auto"/>
            <w:shd w:val="clear" w:color="auto" w:fill="E2E2E2"/>
            <w:tcMar>
              <w:top w:w="40" w:type="dxa"/>
              <w:left w:w="40" w:type="dxa"/>
              <w:bottom w:w="40" w:type="dxa"/>
              <w:right w:w="40" w:type="dxa"/>
            </w:tcMar>
            <w:vAlign w:val="bottom"/>
          </w:tcPr>
          <w:p w14:paraId="0BC996B1" w14:textId="77777777" w:rsidR="009F0928" w:rsidRDefault="002112BD">
            <w:pPr>
              <w:textAlignment w:val="bottom"/>
              <w:rPr>
                <w:rFonts w:ascii="Times New Roman" w:hAnsi="Times New Roman"/>
                <w:sz w:val="18"/>
                <w:szCs w:val="18"/>
              </w:rPr>
            </w:pPr>
            <w:r>
              <w:rPr>
                <w:rFonts w:ascii="Arial" w:eastAsia="宋体" w:hAnsi="Arial" w:cs="Arial"/>
                <w:sz w:val="18"/>
                <w:szCs w:val="18"/>
              </w:rPr>
              <w:t>Net revenues by geography:</w:t>
            </w:r>
          </w:p>
        </w:tc>
        <w:tc>
          <w:tcPr>
            <w:tcW w:w="0" w:type="auto"/>
            <w:gridSpan w:val="3"/>
            <w:tcBorders>
              <w:top w:val="single" w:sz="8" w:space="0" w:color="000000"/>
            </w:tcBorders>
            <w:shd w:val="clear" w:color="auto" w:fill="E2E2E2"/>
            <w:tcMar>
              <w:top w:w="40" w:type="dxa"/>
              <w:left w:w="40" w:type="dxa"/>
              <w:bottom w:w="40" w:type="dxa"/>
              <w:right w:w="40" w:type="dxa"/>
            </w:tcMar>
            <w:vAlign w:val="bottom"/>
          </w:tcPr>
          <w:p w14:paraId="0BC996B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6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6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6B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6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6C4" w14:textId="77777777">
        <w:tc>
          <w:tcPr>
            <w:tcW w:w="0" w:type="auto"/>
            <w:shd w:val="clear" w:color="auto" w:fill="auto"/>
            <w:tcMar>
              <w:top w:w="40" w:type="dxa"/>
              <w:left w:w="240" w:type="dxa"/>
              <w:bottom w:w="40" w:type="dxa"/>
              <w:right w:w="40" w:type="dxa"/>
            </w:tcMar>
            <w:vAlign w:val="bottom"/>
          </w:tcPr>
          <w:p w14:paraId="0BC996B8" w14:textId="77777777" w:rsidR="009F0928" w:rsidRDefault="002112BD">
            <w:pPr>
              <w:textAlignment w:val="bottom"/>
              <w:rPr>
                <w:rFonts w:ascii="Times New Roman" w:hAnsi="Times New Roman"/>
                <w:sz w:val="18"/>
                <w:szCs w:val="18"/>
              </w:rPr>
            </w:pPr>
            <w:r>
              <w:rPr>
                <w:rFonts w:ascii="Arial" w:eastAsia="宋体" w:hAnsi="Arial" w:cs="Arial"/>
                <w:sz w:val="18"/>
                <w:szCs w:val="18"/>
              </w:rPr>
              <w:t>U.S.</w:t>
            </w:r>
          </w:p>
        </w:tc>
        <w:tc>
          <w:tcPr>
            <w:tcW w:w="0" w:type="auto"/>
            <w:shd w:val="clear" w:color="auto" w:fill="auto"/>
            <w:tcMar>
              <w:top w:w="40" w:type="dxa"/>
              <w:left w:w="40" w:type="dxa"/>
              <w:bottom w:w="40" w:type="dxa"/>
            </w:tcMar>
            <w:vAlign w:val="bottom"/>
          </w:tcPr>
          <w:p w14:paraId="0BC996B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6B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4,337</w:t>
            </w:r>
          </w:p>
        </w:tc>
        <w:tc>
          <w:tcPr>
            <w:tcW w:w="0" w:type="auto"/>
            <w:shd w:val="clear" w:color="auto" w:fill="auto"/>
            <w:vAlign w:val="bottom"/>
          </w:tcPr>
          <w:p w14:paraId="0BC996B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6BC"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tcMar>
            <w:vAlign w:val="bottom"/>
          </w:tcPr>
          <w:p w14:paraId="0BC996B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6B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4,373</w:t>
            </w:r>
          </w:p>
        </w:tc>
        <w:tc>
          <w:tcPr>
            <w:tcW w:w="0" w:type="auto"/>
            <w:shd w:val="clear" w:color="auto" w:fill="auto"/>
            <w:vAlign w:val="bottom"/>
          </w:tcPr>
          <w:p w14:paraId="0BC996B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6C0"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tcMar>
            <w:vAlign w:val="bottom"/>
          </w:tcPr>
          <w:p w14:paraId="0BC996C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6C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4,187</w:t>
            </w:r>
          </w:p>
        </w:tc>
        <w:tc>
          <w:tcPr>
            <w:tcW w:w="0" w:type="auto"/>
            <w:shd w:val="clear" w:color="auto" w:fill="auto"/>
            <w:vAlign w:val="bottom"/>
          </w:tcPr>
          <w:p w14:paraId="0BC996C3" w14:textId="77777777" w:rsidR="009F0928" w:rsidRDefault="009F0928">
            <w:pPr>
              <w:textAlignment w:val="bottom"/>
              <w:rPr>
                <w:rFonts w:ascii="Times New Roman" w:hAnsi="Times New Roman"/>
                <w:sz w:val="20"/>
                <w:szCs w:val="20"/>
              </w:rPr>
            </w:pPr>
          </w:p>
        </w:tc>
      </w:tr>
      <w:tr w:rsidR="009F0928" w14:paraId="0BC996CE" w14:textId="77777777">
        <w:tc>
          <w:tcPr>
            <w:tcW w:w="0" w:type="auto"/>
            <w:shd w:val="clear" w:color="auto" w:fill="E2E2E2"/>
            <w:tcMar>
              <w:top w:w="40" w:type="dxa"/>
              <w:left w:w="240" w:type="dxa"/>
              <w:bottom w:w="40" w:type="dxa"/>
              <w:right w:w="40" w:type="dxa"/>
            </w:tcMar>
            <w:vAlign w:val="bottom"/>
          </w:tcPr>
          <w:p w14:paraId="0BC996C5" w14:textId="77777777" w:rsidR="009F0928" w:rsidRDefault="002112BD">
            <w:pPr>
              <w:textAlignment w:val="bottom"/>
              <w:rPr>
                <w:rFonts w:ascii="Times New Roman" w:hAnsi="Times New Roman"/>
                <w:sz w:val="18"/>
                <w:szCs w:val="18"/>
              </w:rPr>
            </w:pPr>
            <w:r>
              <w:rPr>
                <w:rFonts w:ascii="Arial" w:eastAsia="宋体" w:hAnsi="Arial" w:cs="Arial"/>
                <w:sz w:val="18"/>
                <w:szCs w:val="18"/>
              </w:rPr>
              <w:t>Germany</w:t>
            </w:r>
          </w:p>
        </w:tc>
        <w:tc>
          <w:tcPr>
            <w:tcW w:w="0" w:type="auto"/>
            <w:gridSpan w:val="2"/>
            <w:shd w:val="clear" w:color="auto" w:fill="E2E2E2"/>
            <w:tcMar>
              <w:top w:w="40" w:type="dxa"/>
              <w:left w:w="40" w:type="dxa"/>
              <w:bottom w:w="40" w:type="dxa"/>
            </w:tcMar>
            <w:vAlign w:val="bottom"/>
          </w:tcPr>
          <w:p w14:paraId="0BC996C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1,506</w:t>
            </w:r>
          </w:p>
        </w:tc>
        <w:tc>
          <w:tcPr>
            <w:tcW w:w="0" w:type="auto"/>
            <w:shd w:val="clear" w:color="auto" w:fill="E2E2E2"/>
            <w:vAlign w:val="bottom"/>
          </w:tcPr>
          <w:p w14:paraId="0BC996C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6C8"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96C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1,591</w:t>
            </w:r>
          </w:p>
        </w:tc>
        <w:tc>
          <w:tcPr>
            <w:tcW w:w="0" w:type="auto"/>
            <w:shd w:val="clear" w:color="auto" w:fill="E2E2E2"/>
            <w:vAlign w:val="bottom"/>
          </w:tcPr>
          <w:p w14:paraId="0BC996C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6CB"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96C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1,464</w:t>
            </w:r>
          </w:p>
        </w:tc>
        <w:tc>
          <w:tcPr>
            <w:tcW w:w="0" w:type="auto"/>
            <w:shd w:val="clear" w:color="auto" w:fill="E2E2E2"/>
            <w:vAlign w:val="bottom"/>
          </w:tcPr>
          <w:p w14:paraId="0BC996CD" w14:textId="77777777" w:rsidR="009F0928" w:rsidRDefault="009F0928">
            <w:pPr>
              <w:textAlignment w:val="bottom"/>
              <w:rPr>
                <w:rFonts w:ascii="Times New Roman" w:hAnsi="Times New Roman"/>
                <w:sz w:val="20"/>
                <w:szCs w:val="20"/>
              </w:rPr>
            </w:pPr>
          </w:p>
        </w:tc>
      </w:tr>
      <w:tr w:rsidR="009F0928" w14:paraId="0BC996D8" w14:textId="77777777">
        <w:tc>
          <w:tcPr>
            <w:tcW w:w="0" w:type="auto"/>
            <w:shd w:val="clear" w:color="auto" w:fill="auto"/>
            <w:tcMar>
              <w:top w:w="40" w:type="dxa"/>
              <w:left w:w="240" w:type="dxa"/>
              <w:bottom w:w="40" w:type="dxa"/>
              <w:right w:w="40" w:type="dxa"/>
            </w:tcMar>
            <w:vAlign w:val="bottom"/>
          </w:tcPr>
          <w:p w14:paraId="0BC996CF" w14:textId="77777777" w:rsidR="009F0928" w:rsidRDefault="002112BD">
            <w:pPr>
              <w:textAlignment w:val="bottom"/>
              <w:rPr>
                <w:rFonts w:ascii="Times New Roman" w:hAnsi="Times New Roman"/>
                <w:sz w:val="18"/>
                <w:szCs w:val="18"/>
              </w:rPr>
            </w:pPr>
            <w:r>
              <w:rPr>
                <w:rFonts w:ascii="Arial" w:eastAsia="宋体" w:hAnsi="Arial" w:cs="Arial"/>
                <w:sz w:val="18"/>
                <w:szCs w:val="18"/>
              </w:rPr>
              <w:t>United Kingdom</w:t>
            </w:r>
          </w:p>
        </w:tc>
        <w:tc>
          <w:tcPr>
            <w:tcW w:w="0" w:type="auto"/>
            <w:gridSpan w:val="2"/>
            <w:shd w:val="clear" w:color="auto" w:fill="auto"/>
            <w:tcMar>
              <w:top w:w="40" w:type="dxa"/>
              <w:left w:w="40" w:type="dxa"/>
              <w:bottom w:w="40" w:type="dxa"/>
            </w:tcMar>
            <w:vAlign w:val="bottom"/>
          </w:tcPr>
          <w:p w14:paraId="0BC996D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1,441</w:t>
            </w:r>
          </w:p>
        </w:tc>
        <w:tc>
          <w:tcPr>
            <w:tcW w:w="0" w:type="auto"/>
            <w:shd w:val="clear" w:color="auto" w:fill="auto"/>
            <w:vAlign w:val="bottom"/>
          </w:tcPr>
          <w:p w14:paraId="0BC996D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6D2"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96D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1,481</w:t>
            </w:r>
          </w:p>
        </w:tc>
        <w:tc>
          <w:tcPr>
            <w:tcW w:w="0" w:type="auto"/>
            <w:shd w:val="clear" w:color="auto" w:fill="auto"/>
            <w:vAlign w:val="bottom"/>
          </w:tcPr>
          <w:p w14:paraId="0BC996D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6D5"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96D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1,368</w:t>
            </w:r>
          </w:p>
        </w:tc>
        <w:tc>
          <w:tcPr>
            <w:tcW w:w="0" w:type="auto"/>
            <w:shd w:val="clear" w:color="auto" w:fill="auto"/>
            <w:vAlign w:val="bottom"/>
          </w:tcPr>
          <w:p w14:paraId="0BC996D7" w14:textId="77777777" w:rsidR="009F0928" w:rsidRDefault="009F0928">
            <w:pPr>
              <w:textAlignment w:val="bottom"/>
              <w:rPr>
                <w:rFonts w:ascii="Times New Roman" w:hAnsi="Times New Roman"/>
                <w:sz w:val="20"/>
                <w:szCs w:val="20"/>
              </w:rPr>
            </w:pPr>
          </w:p>
        </w:tc>
      </w:tr>
      <w:tr w:rsidR="009F0928" w14:paraId="0BC996E2" w14:textId="77777777">
        <w:tc>
          <w:tcPr>
            <w:tcW w:w="0" w:type="auto"/>
            <w:shd w:val="clear" w:color="auto" w:fill="E2E2E2"/>
            <w:tcMar>
              <w:top w:w="40" w:type="dxa"/>
              <w:left w:w="240" w:type="dxa"/>
              <w:bottom w:w="40" w:type="dxa"/>
              <w:right w:w="40" w:type="dxa"/>
            </w:tcMar>
            <w:vAlign w:val="bottom"/>
          </w:tcPr>
          <w:p w14:paraId="0BC996D9" w14:textId="77777777" w:rsidR="009F0928" w:rsidRDefault="002112BD">
            <w:pPr>
              <w:textAlignment w:val="bottom"/>
              <w:rPr>
                <w:rFonts w:ascii="Times New Roman" w:hAnsi="Times New Roman"/>
                <w:sz w:val="18"/>
                <w:szCs w:val="18"/>
              </w:rPr>
            </w:pPr>
            <w:r>
              <w:rPr>
                <w:rFonts w:ascii="Arial" w:eastAsia="宋体" w:hAnsi="Arial" w:cs="Arial"/>
                <w:sz w:val="18"/>
                <w:szCs w:val="18"/>
              </w:rPr>
              <w:t>South Korea</w:t>
            </w:r>
          </w:p>
        </w:tc>
        <w:tc>
          <w:tcPr>
            <w:tcW w:w="0" w:type="auto"/>
            <w:gridSpan w:val="2"/>
            <w:shd w:val="clear" w:color="auto" w:fill="E2E2E2"/>
            <w:tcMar>
              <w:top w:w="40" w:type="dxa"/>
              <w:left w:w="40" w:type="dxa"/>
              <w:bottom w:w="40" w:type="dxa"/>
            </w:tcMar>
            <w:vAlign w:val="bottom"/>
          </w:tcPr>
          <w:p w14:paraId="0BC996D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1,221</w:t>
            </w:r>
          </w:p>
        </w:tc>
        <w:tc>
          <w:tcPr>
            <w:tcW w:w="0" w:type="auto"/>
            <w:shd w:val="clear" w:color="auto" w:fill="E2E2E2"/>
            <w:vAlign w:val="bottom"/>
          </w:tcPr>
          <w:p w14:paraId="0BC996D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6D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6D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1,195</w:t>
            </w:r>
          </w:p>
        </w:tc>
        <w:tc>
          <w:tcPr>
            <w:tcW w:w="0" w:type="auto"/>
            <w:shd w:val="clear" w:color="auto" w:fill="E2E2E2"/>
            <w:vAlign w:val="bottom"/>
          </w:tcPr>
          <w:p w14:paraId="0BC996D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6D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6E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1,061</w:t>
            </w:r>
          </w:p>
        </w:tc>
        <w:tc>
          <w:tcPr>
            <w:tcW w:w="0" w:type="auto"/>
            <w:shd w:val="clear" w:color="auto" w:fill="E2E2E2"/>
            <w:vAlign w:val="bottom"/>
          </w:tcPr>
          <w:p w14:paraId="0BC996E1" w14:textId="77777777" w:rsidR="009F0928" w:rsidRDefault="009F0928">
            <w:pPr>
              <w:textAlignment w:val="bottom"/>
              <w:rPr>
                <w:rFonts w:ascii="Times New Roman" w:hAnsi="Times New Roman"/>
                <w:sz w:val="20"/>
                <w:szCs w:val="20"/>
              </w:rPr>
            </w:pPr>
          </w:p>
        </w:tc>
      </w:tr>
      <w:tr w:rsidR="009F0928" w14:paraId="0BC996EC" w14:textId="77777777">
        <w:tc>
          <w:tcPr>
            <w:tcW w:w="0" w:type="auto"/>
            <w:shd w:val="clear" w:color="auto" w:fill="auto"/>
            <w:tcMar>
              <w:top w:w="40" w:type="dxa"/>
              <w:left w:w="240" w:type="dxa"/>
              <w:bottom w:w="40" w:type="dxa"/>
              <w:right w:w="40" w:type="dxa"/>
            </w:tcMar>
            <w:vAlign w:val="bottom"/>
          </w:tcPr>
          <w:p w14:paraId="0BC996E3" w14:textId="77777777" w:rsidR="009F0928" w:rsidRDefault="002112BD">
            <w:pPr>
              <w:textAlignment w:val="bottom"/>
              <w:rPr>
                <w:rFonts w:ascii="Times New Roman" w:hAnsi="Times New Roman"/>
                <w:sz w:val="18"/>
                <w:szCs w:val="18"/>
              </w:rPr>
            </w:pPr>
            <w:r>
              <w:rPr>
                <w:rFonts w:ascii="Arial" w:eastAsia="宋体" w:hAnsi="Arial" w:cs="Arial"/>
                <w:sz w:val="18"/>
                <w:szCs w:val="18"/>
              </w:rPr>
              <w:t>Rest of world</w:t>
            </w:r>
          </w:p>
        </w:tc>
        <w:tc>
          <w:tcPr>
            <w:tcW w:w="0" w:type="auto"/>
            <w:gridSpan w:val="2"/>
            <w:shd w:val="clear" w:color="auto" w:fill="auto"/>
            <w:tcMar>
              <w:top w:w="40" w:type="dxa"/>
              <w:left w:w="40" w:type="dxa"/>
              <w:bottom w:w="40" w:type="dxa"/>
            </w:tcMar>
            <w:vAlign w:val="bottom"/>
          </w:tcPr>
          <w:p w14:paraId="0BC996E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2,295</w:t>
            </w:r>
          </w:p>
        </w:tc>
        <w:tc>
          <w:tcPr>
            <w:tcW w:w="0" w:type="auto"/>
            <w:shd w:val="clear" w:color="auto" w:fill="auto"/>
            <w:vAlign w:val="bottom"/>
          </w:tcPr>
          <w:p w14:paraId="0BC996E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6E6"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96E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2,106</w:t>
            </w:r>
          </w:p>
        </w:tc>
        <w:tc>
          <w:tcPr>
            <w:tcW w:w="0" w:type="auto"/>
            <w:shd w:val="clear" w:color="auto" w:fill="auto"/>
            <w:vAlign w:val="bottom"/>
          </w:tcPr>
          <w:p w14:paraId="0BC996E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6E9"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96E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1,847</w:t>
            </w:r>
          </w:p>
        </w:tc>
        <w:tc>
          <w:tcPr>
            <w:tcW w:w="0" w:type="auto"/>
            <w:shd w:val="clear" w:color="auto" w:fill="auto"/>
            <w:vAlign w:val="bottom"/>
          </w:tcPr>
          <w:p w14:paraId="0BC996EB" w14:textId="77777777" w:rsidR="009F0928" w:rsidRDefault="009F0928">
            <w:pPr>
              <w:textAlignment w:val="bottom"/>
              <w:rPr>
                <w:rFonts w:ascii="Times New Roman" w:hAnsi="Times New Roman"/>
                <w:sz w:val="20"/>
                <w:szCs w:val="20"/>
              </w:rPr>
            </w:pPr>
          </w:p>
        </w:tc>
      </w:tr>
      <w:tr w:rsidR="009F0928" w14:paraId="0BC996F9" w14:textId="77777777">
        <w:tc>
          <w:tcPr>
            <w:tcW w:w="0" w:type="auto"/>
            <w:shd w:val="clear" w:color="auto" w:fill="E2E2E2"/>
            <w:tcMar>
              <w:top w:w="40" w:type="dxa"/>
              <w:left w:w="880" w:type="dxa"/>
              <w:bottom w:w="40" w:type="dxa"/>
              <w:right w:w="40" w:type="dxa"/>
            </w:tcMar>
            <w:vAlign w:val="bottom"/>
          </w:tcPr>
          <w:p w14:paraId="0BC996ED"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net revenues</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6E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6E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10,800</w:t>
            </w:r>
          </w:p>
        </w:tc>
        <w:tc>
          <w:tcPr>
            <w:tcW w:w="0" w:type="auto"/>
            <w:tcBorders>
              <w:top w:val="single" w:sz="8" w:space="0" w:color="000000"/>
              <w:bottom w:val="double" w:sz="6" w:space="0" w:color="000000"/>
            </w:tcBorders>
            <w:shd w:val="clear" w:color="auto" w:fill="E2E2E2"/>
            <w:vAlign w:val="bottom"/>
          </w:tcPr>
          <w:p w14:paraId="0BC996F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6F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6F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6F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10,746</w:t>
            </w:r>
          </w:p>
        </w:tc>
        <w:tc>
          <w:tcPr>
            <w:tcW w:w="0" w:type="auto"/>
            <w:tcBorders>
              <w:top w:val="single" w:sz="8" w:space="0" w:color="000000"/>
              <w:bottom w:val="double" w:sz="6" w:space="0" w:color="000000"/>
            </w:tcBorders>
            <w:shd w:val="clear" w:color="auto" w:fill="E2E2E2"/>
            <w:vAlign w:val="bottom"/>
          </w:tcPr>
          <w:p w14:paraId="0BC996F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6F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6F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6F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9,927</w:t>
            </w:r>
          </w:p>
        </w:tc>
        <w:tc>
          <w:tcPr>
            <w:tcW w:w="0" w:type="auto"/>
            <w:tcBorders>
              <w:top w:val="single" w:sz="8" w:space="0" w:color="000000"/>
              <w:bottom w:val="double" w:sz="6" w:space="0" w:color="000000"/>
            </w:tcBorders>
            <w:shd w:val="clear" w:color="auto" w:fill="E2E2E2"/>
            <w:vAlign w:val="bottom"/>
          </w:tcPr>
          <w:p w14:paraId="0BC996F8" w14:textId="77777777" w:rsidR="009F0928" w:rsidRDefault="009F0928">
            <w:pPr>
              <w:textAlignment w:val="bottom"/>
              <w:rPr>
                <w:rFonts w:ascii="Times New Roman" w:hAnsi="Times New Roman"/>
                <w:sz w:val="20"/>
                <w:szCs w:val="20"/>
              </w:rPr>
            </w:pPr>
          </w:p>
        </w:tc>
      </w:tr>
    </w:tbl>
    <w:p w14:paraId="0BC996FA" w14:textId="77777777" w:rsidR="009F0928" w:rsidRDefault="009F0928">
      <w:pPr>
        <w:spacing w:line="288" w:lineRule="auto"/>
        <w:ind w:firstLine="720"/>
        <w:jc w:val="both"/>
        <w:rPr>
          <w:rFonts w:ascii="Times New Roman" w:hAnsi="Times New Roman"/>
          <w:sz w:val="14"/>
          <w:szCs w:val="14"/>
        </w:rPr>
      </w:pPr>
    </w:p>
    <w:tbl>
      <w:tblPr>
        <w:tblW w:w="5000" w:type="pct"/>
        <w:tblCellMar>
          <w:left w:w="0" w:type="dxa"/>
          <w:right w:w="0" w:type="dxa"/>
        </w:tblCellMar>
        <w:tblLook w:val="04A0" w:firstRow="1" w:lastRow="0" w:firstColumn="1" w:lastColumn="0" w:noHBand="0" w:noVBand="1"/>
      </w:tblPr>
      <w:tblGrid>
        <w:gridCol w:w="6020"/>
        <w:gridCol w:w="141"/>
        <w:gridCol w:w="871"/>
        <w:gridCol w:w="40"/>
        <w:gridCol w:w="181"/>
        <w:gridCol w:w="141"/>
        <w:gridCol w:w="871"/>
        <w:gridCol w:w="41"/>
      </w:tblGrid>
      <w:tr w:rsidR="009F0928" w14:paraId="0BC996FC" w14:textId="77777777">
        <w:tc>
          <w:tcPr>
            <w:tcW w:w="0" w:type="auto"/>
            <w:gridSpan w:val="8"/>
            <w:shd w:val="clear" w:color="auto" w:fill="auto"/>
            <w:vAlign w:val="center"/>
          </w:tcPr>
          <w:p w14:paraId="0BC996FB" w14:textId="77777777" w:rsidR="009F0928" w:rsidRDefault="009F0928">
            <w:pPr>
              <w:rPr>
                <w:rFonts w:ascii="Times New Roman" w:hAnsi="Times New Roman"/>
                <w:sz w:val="20"/>
                <w:szCs w:val="20"/>
              </w:rPr>
            </w:pPr>
          </w:p>
        </w:tc>
      </w:tr>
      <w:tr w:rsidR="009F0928" w14:paraId="0BC99705" w14:textId="77777777">
        <w:tc>
          <w:tcPr>
            <w:tcW w:w="3650" w:type="pct"/>
            <w:shd w:val="clear" w:color="auto" w:fill="auto"/>
            <w:vAlign w:val="center"/>
          </w:tcPr>
          <w:p w14:paraId="0BC996FD" w14:textId="77777777" w:rsidR="009F0928" w:rsidRDefault="009F0928">
            <w:pPr>
              <w:rPr>
                <w:rFonts w:ascii="Times New Roman" w:hAnsi="Times New Roman"/>
                <w:sz w:val="20"/>
                <w:szCs w:val="20"/>
              </w:rPr>
            </w:pPr>
          </w:p>
        </w:tc>
        <w:tc>
          <w:tcPr>
            <w:tcW w:w="50" w:type="pct"/>
            <w:shd w:val="clear" w:color="auto" w:fill="auto"/>
            <w:vAlign w:val="center"/>
          </w:tcPr>
          <w:p w14:paraId="0BC996FE" w14:textId="77777777" w:rsidR="009F0928" w:rsidRDefault="009F0928">
            <w:pPr>
              <w:rPr>
                <w:rFonts w:ascii="Times New Roman" w:hAnsi="Times New Roman"/>
                <w:sz w:val="20"/>
                <w:szCs w:val="20"/>
              </w:rPr>
            </w:pPr>
          </w:p>
        </w:tc>
        <w:tc>
          <w:tcPr>
            <w:tcW w:w="550" w:type="pct"/>
            <w:shd w:val="clear" w:color="auto" w:fill="auto"/>
            <w:vAlign w:val="center"/>
          </w:tcPr>
          <w:p w14:paraId="0BC996FF" w14:textId="77777777" w:rsidR="009F0928" w:rsidRDefault="009F0928">
            <w:pPr>
              <w:rPr>
                <w:rFonts w:ascii="Times New Roman" w:hAnsi="Times New Roman"/>
                <w:sz w:val="20"/>
                <w:szCs w:val="20"/>
              </w:rPr>
            </w:pPr>
          </w:p>
        </w:tc>
        <w:tc>
          <w:tcPr>
            <w:tcW w:w="50" w:type="pct"/>
            <w:shd w:val="clear" w:color="auto" w:fill="auto"/>
            <w:vAlign w:val="center"/>
          </w:tcPr>
          <w:p w14:paraId="0BC99700" w14:textId="77777777" w:rsidR="009F0928" w:rsidRDefault="009F0928">
            <w:pPr>
              <w:rPr>
                <w:rFonts w:ascii="Times New Roman" w:hAnsi="Times New Roman"/>
                <w:sz w:val="20"/>
                <w:szCs w:val="20"/>
              </w:rPr>
            </w:pPr>
          </w:p>
        </w:tc>
        <w:tc>
          <w:tcPr>
            <w:tcW w:w="50" w:type="pct"/>
            <w:shd w:val="clear" w:color="auto" w:fill="auto"/>
            <w:vAlign w:val="center"/>
          </w:tcPr>
          <w:p w14:paraId="0BC99701" w14:textId="77777777" w:rsidR="009F0928" w:rsidRDefault="009F0928">
            <w:pPr>
              <w:rPr>
                <w:rFonts w:ascii="Times New Roman" w:hAnsi="Times New Roman"/>
                <w:sz w:val="20"/>
                <w:szCs w:val="20"/>
              </w:rPr>
            </w:pPr>
          </w:p>
        </w:tc>
        <w:tc>
          <w:tcPr>
            <w:tcW w:w="50" w:type="pct"/>
            <w:shd w:val="clear" w:color="auto" w:fill="auto"/>
            <w:vAlign w:val="center"/>
          </w:tcPr>
          <w:p w14:paraId="0BC99702" w14:textId="77777777" w:rsidR="009F0928" w:rsidRDefault="009F0928">
            <w:pPr>
              <w:rPr>
                <w:rFonts w:ascii="Times New Roman" w:hAnsi="Times New Roman"/>
                <w:sz w:val="20"/>
                <w:szCs w:val="20"/>
              </w:rPr>
            </w:pPr>
          </w:p>
        </w:tc>
        <w:tc>
          <w:tcPr>
            <w:tcW w:w="550" w:type="pct"/>
            <w:shd w:val="clear" w:color="auto" w:fill="auto"/>
            <w:vAlign w:val="center"/>
          </w:tcPr>
          <w:p w14:paraId="0BC99703" w14:textId="77777777" w:rsidR="009F0928" w:rsidRDefault="009F0928">
            <w:pPr>
              <w:rPr>
                <w:rFonts w:ascii="Times New Roman" w:hAnsi="Times New Roman"/>
                <w:sz w:val="20"/>
                <w:szCs w:val="20"/>
              </w:rPr>
            </w:pPr>
          </w:p>
        </w:tc>
        <w:tc>
          <w:tcPr>
            <w:tcW w:w="50" w:type="pct"/>
            <w:shd w:val="clear" w:color="auto" w:fill="auto"/>
            <w:vAlign w:val="center"/>
          </w:tcPr>
          <w:p w14:paraId="0BC99704" w14:textId="77777777" w:rsidR="009F0928" w:rsidRDefault="009F0928">
            <w:pPr>
              <w:rPr>
                <w:rFonts w:ascii="Times New Roman" w:hAnsi="Times New Roman"/>
                <w:sz w:val="20"/>
                <w:szCs w:val="20"/>
              </w:rPr>
            </w:pPr>
          </w:p>
        </w:tc>
      </w:tr>
      <w:tr w:rsidR="009F0928" w14:paraId="0BC99708" w14:textId="77777777">
        <w:tc>
          <w:tcPr>
            <w:tcW w:w="0" w:type="auto"/>
            <w:shd w:val="clear" w:color="auto" w:fill="auto"/>
            <w:tcMar>
              <w:top w:w="40" w:type="dxa"/>
              <w:left w:w="40" w:type="dxa"/>
              <w:bottom w:w="40" w:type="dxa"/>
              <w:right w:w="40" w:type="dxa"/>
            </w:tcMar>
            <w:vAlign w:val="bottom"/>
          </w:tcPr>
          <w:p w14:paraId="0BC99706"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BC9970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w:t>
            </w:r>
          </w:p>
        </w:tc>
      </w:tr>
      <w:tr w:rsidR="009F0928" w14:paraId="0BC9970D" w14:textId="77777777">
        <w:tc>
          <w:tcPr>
            <w:tcW w:w="0" w:type="auto"/>
            <w:shd w:val="clear" w:color="auto" w:fill="auto"/>
            <w:tcMar>
              <w:top w:w="40" w:type="dxa"/>
              <w:left w:w="40" w:type="dxa"/>
              <w:bottom w:w="40" w:type="dxa"/>
              <w:right w:w="40" w:type="dxa"/>
            </w:tcMar>
            <w:vAlign w:val="bottom"/>
          </w:tcPr>
          <w:p w14:paraId="0BC99709"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70A"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970B"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70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r>
      <w:tr w:rsidR="009F0928" w14:paraId="0BC99712" w14:textId="77777777">
        <w:tc>
          <w:tcPr>
            <w:tcW w:w="0" w:type="auto"/>
            <w:shd w:val="clear" w:color="auto" w:fill="E2E2E2"/>
            <w:tcMar>
              <w:top w:w="40" w:type="dxa"/>
              <w:left w:w="40" w:type="dxa"/>
              <w:bottom w:w="40" w:type="dxa"/>
              <w:right w:w="40" w:type="dxa"/>
            </w:tcMar>
            <w:vAlign w:val="bottom"/>
          </w:tcPr>
          <w:p w14:paraId="0BC9970E" w14:textId="77777777" w:rsidR="009F0928" w:rsidRDefault="002112BD">
            <w:pPr>
              <w:textAlignment w:val="bottom"/>
              <w:rPr>
                <w:rFonts w:ascii="Times New Roman" w:hAnsi="Times New Roman"/>
                <w:sz w:val="18"/>
                <w:szCs w:val="18"/>
              </w:rPr>
            </w:pPr>
            <w:r>
              <w:rPr>
                <w:rFonts w:ascii="Arial" w:eastAsia="宋体" w:hAnsi="Arial" w:cs="Arial"/>
                <w:sz w:val="18"/>
                <w:szCs w:val="18"/>
              </w:rPr>
              <w:t>Long-lived tangible assets by geography:</w:t>
            </w:r>
          </w:p>
        </w:tc>
        <w:tc>
          <w:tcPr>
            <w:tcW w:w="0" w:type="auto"/>
            <w:gridSpan w:val="3"/>
            <w:shd w:val="clear" w:color="auto" w:fill="E2E2E2"/>
            <w:tcMar>
              <w:top w:w="40" w:type="dxa"/>
              <w:left w:w="40" w:type="dxa"/>
              <w:bottom w:w="40" w:type="dxa"/>
              <w:right w:w="40" w:type="dxa"/>
            </w:tcMar>
            <w:vAlign w:val="bottom"/>
          </w:tcPr>
          <w:p w14:paraId="0BC9970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7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71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71B" w14:textId="77777777">
        <w:tc>
          <w:tcPr>
            <w:tcW w:w="0" w:type="auto"/>
            <w:shd w:val="clear" w:color="auto" w:fill="auto"/>
            <w:tcMar>
              <w:top w:w="40" w:type="dxa"/>
              <w:left w:w="240" w:type="dxa"/>
              <w:bottom w:w="40" w:type="dxa"/>
              <w:right w:w="40" w:type="dxa"/>
            </w:tcMar>
            <w:vAlign w:val="bottom"/>
          </w:tcPr>
          <w:p w14:paraId="0BC99713" w14:textId="77777777" w:rsidR="009F0928" w:rsidRDefault="002112BD">
            <w:pPr>
              <w:textAlignment w:val="bottom"/>
              <w:rPr>
                <w:rFonts w:ascii="Times New Roman" w:hAnsi="Times New Roman"/>
                <w:sz w:val="18"/>
                <w:szCs w:val="18"/>
              </w:rPr>
            </w:pPr>
            <w:r>
              <w:rPr>
                <w:rFonts w:ascii="Arial" w:eastAsia="宋体" w:hAnsi="Arial" w:cs="Arial"/>
                <w:sz w:val="18"/>
                <w:szCs w:val="18"/>
              </w:rPr>
              <w:t>U.S.</w:t>
            </w:r>
          </w:p>
        </w:tc>
        <w:tc>
          <w:tcPr>
            <w:tcW w:w="0" w:type="auto"/>
            <w:shd w:val="clear" w:color="auto" w:fill="auto"/>
            <w:tcMar>
              <w:top w:w="40" w:type="dxa"/>
              <w:left w:w="40" w:type="dxa"/>
              <w:bottom w:w="40" w:type="dxa"/>
            </w:tcMar>
            <w:vAlign w:val="bottom"/>
          </w:tcPr>
          <w:p w14:paraId="0BC9971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71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1,786</w:t>
            </w:r>
          </w:p>
        </w:tc>
        <w:tc>
          <w:tcPr>
            <w:tcW w:w="0" w:type="auto"/>
            <w:shd w:val="clear" w:color="auto" w:fill="auto"/>
            <w:vAlign w:val="bottom"/>
          </w:tcPr>
          <w:p w14:paraId="0BC9971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717"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tcMar>
            <w:vAlign w:val="bottom"/>
          </w:tcPr>
          <w:p w14:paraId="0BC9971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71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1,661</w:t>
            </w:r>
          </w:p>
        </w:tc>
        <w:tc>
          <w:tcPr>
            <w:tcW w:w="0" w:type="auto"/>
            <w:shd w:val="clear" w:color="auto" w:fill="auto"/>
            <w:vAlign w:val="bottom"/>
          </w:tcPr>
          <w:p w14:paraId="0BC9971A" w14:textId="77777777" w:rsidR="009F0928" w:rsidRDefault="009F0928">
            <w:pPr>
              <w:textAlignment w:val="bottom"/>
              <w:rPr>
                <w:rFonts w:ascii="Times New Roman" w:hAnsi="Times New Roman"/>
                <w:sz w:val="20"/>
                <w:szCs w:val="20"/>
              </w:rPr>
            </w:pPr>
          </w:p>
        </w:tc>
      </w:tr>
      <w:tr w:rsidR="009F0928" w14:paraId="0BC99722" w14:textId="77777777">
        <w:tc>
          <w:tcPr>
            <w:tcW w:w="0" w:type="auto"/>
            <w:shd w:val="clear" w:color="auto" w:fill="E2E2E2"/>
            <w:tcMar>
              <w:top w:w="40" w:type="dxa"/>
              <w:left w:w="240" w:type="dxa"/>
              <w:bottom w:w="40" w:type="dxa"/>
              <w:right w:w="40" w:type="dxa"/>
            </w:tcMar>
            <w:vAlign w:val="bottom"/>
          </w:tcPr>
          <w:p w14:paraId="0BC9971C" w14:textId="77777777" w:rsidR="009F0928" w:rsidRDefault="002112BD">
            <w:pPr>
              <w:textAlignment w:val="bottom"/>
              <w:rPr>
                <w:rFonts w:ascii="Times New Roman" w:hAnsi="Times New Roman"/>
                <w:sz w:val="18"/>
                <w:szCs w:val="18"/>
              </w:rPr>
            </w:pPr>
            <w:r>
              <w:rPr>
                <w:rFonts w:ascii="Arial" w:eastAsia="宋体" w:hAnsi="Arial" w:cs="Arial"/>
                <w:sz w:val="18"/>
                <w:szCs w:val="18"/>
              </w:rPr>
              <w:t>International</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71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352</w:t>
            </w:r>
          </w:p>
        </w:tc>
        <w:tc>
          <w:tcPr>
            <w:tcW w:w="0" w:type="auto"/>
            <w:tcBorders>
              <w:bottom w:val="single" w:sz="8" w:space="0" w:color="000000"/>
            </w:tcBorders>
            <w:shd w:val="clear" w:color="auto" w:fill="E2E2E2"/>
            <w:vAlign w:val="bottom"/>
          </w:tcPr>
          <w:p w14:paraId="0BC9971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71F"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72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151</w:t>
            </w:r>
          </w:p>
        </w:tc>
        <w:tc>
          <w:tcPr>
            <w:tcW w:w="0" w:type="auto"/>
            <w:tcBorders>
              <w:bottom w:val="single" w:sz="8" w:space="0" w:color="000000"/>
            </w:tcBorders>
            <w:shd w:val="clear" w:color="auto" w:fill="E2E2E2"/>
            <w:vAlign w:val="bottom"/>
          </w:tcPr>
          <w:p w14:paraId="0BC99721" w14:textId="77777777" w:rsidR="009F0928" w:rsidRDefault="009F0928">
            <w:pPr>
              <w:textAlignment w:val="bottom"/>
              <w:rPr>
                <w:rFonts w:ascii="Times New Roman" w:hAnsi="Times New Roman"/>
                <w:sz w:val="20"/>
                <w:szCs w:val="20"/>
              </w:rPr>
            </w:pPr>
          </w:p>
        </w:tc>
      </w:tr>
      <w:tr w:rsidR="009F0928" w14:paraId="0BC9972B" w14:textId="77777777">
        <w:tc>
          <w:tcPr>
            <w:tcW w:w="0" w:type="auto"/>
            <w:shd w:val="clear" w:color="auto" w:fill="auto"/>
            <w:tcMar>
              <w:top w:w="40" w:type="dxa"/>
              <w:left w:w="880" w:type="dxa"/>
              <w:bottom w:w="40" w:type="dxa"/>
              <w:right w:w="40" w:type="dxa"/>
            </w:tcMar>
            <w:vAlign w:val="bottom"/>
          </w:tcPr>
          <w:p w14:paraId="0BC99723"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long-lived tangible assets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72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72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2,138</w:t>
            </w:r>
          </w:p>
        </w:tc>
        <w:tc>
          <w:tcPr>
            <w:tcW w:w="0" w:type="auto"/>
            <w:tcBorders>
              <w:top w:val="single" w:sz="8" w:space="0" w:color="000000"/>
              <w:bottom w:val="double" w:sz="6" w:space="0" w:color="000000"/>
            </w:tcBorders>
            <w:shd w:val="clear" w:color="auto" w:fill="auto"/>
            <w:vAlign w:val="bottom"/>
          </w:tcPr>
          <w:p w14:paraId="0BC9972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727"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72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72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1,812</w:t>
            </w:r>
          </w:p>
        </w:tc>
        <w:tc>
          <w:tcPr>
            <w:tcW w:w="0" w:type="auto"/>
            <w:tcBorders>
              <w:top w:val="single" w:sz="8" w:space="0" w:color="000000"/>
              <w:bottom w:val="double" w:sz="6" w:space="0" w:color="000000"/>
            </w:tcBorders>
            <w:shd w:val="clear" w:color="auto" w:fill="auto"/>
            <w:vAlign w:val="bottom"/>
          </w:tcPr>
          <w:p w14:paraId="0BC9972A" w14:textId="77777777" w:rsidR="009F0928" w:rsidRDefault="009F0928">
            <w:pPr>
              <w:textAlignment w:val="bottom"/>
              <w:rPr>
                <w:rFonts w:ascii="Times New Roman" w:hAnsi="Times New Roman"/>
                <w:sz w:val="20"/>
                <w:szCs w:val="20"/>
              </w:rPr>
            </w:pPr>
          </w:p>
        </w:tc>
      </w:tr>
    </w:tbl>
    <w:p w14:paraId="0BC9972C" w14:textId="77777777" w:rsidR="009F0928" w:rsidRDefault="009F0928">
      <w:pPr>
        <w:spacing w:line="288" w:lineRule="auto"/>
        <w:jc w:val="both"/>
        <w:rPr>
          <w:rFonts w:ascii="Times New Roman" w:hAnsi="Times New Roman"/>
          <w:sz w:val="20"/>
          <w:szCs w:val="20"/>
        </w:rPr>
      </w:pPr>
    </w:p>
    <w:p w14:paraId="0BC9972D" w14:textId="77777777" w:rsidR="009F0928" w:rsidRDefault="009F0928">
      <w:pPr>
        <w:spacing w:line="288" w:lineRule="auto"/>
        <w:ind w:firstLine="720"/>
        <w:jc w:val="both"/>
        <w:rPr>
          <w:rFonts w:ascii="Times New Roman" w:hAnsi="Times New Roman"/>
          <w:sz w:val="20"/>
          <w:szCs w:val="20"/>
        </w:rPr>
      </w:pPr>
    </w:p>
    <w:p w14:paraId="0BC9972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Net revenues, inclusive of the effects of foreign exchange </w:t>
      </w:r>
      <w:r>
        <w:rPr>
          <w:rFonts w:ascii="Arial" w:eastAsia="宋体" w:hAnsi="Arial" w:cs="Arial"/>
          <w:sz w:val="20"/>
          <w:szCs w:val="20"/>
        </w:rPr>
        <w:t>during each period, are attributed to U.S. and international geographies primarily based upon the country in which the seller, platform that displays advertising, other service provider, or customer, as the case may be, is located. Long-lived assets attrib</w:t>
      </w:r>
      <w:r>
        <w:rPr>
          <w:rFonts w:ascii="Arial" w:eastAsia="宋体" w:hAnsi="Arial" w:cs="Arial"/>
          <w:sz w:val="20"/>
          <w:szCs w:val="20"/>
        </w:rPr>
        <w:t>uted to the U.S. and international geographies are based upon the country in which the asset is located or owned. Depreciation and amortization expense was primarily recorded in the Marketplace segment.</w:t>
      </w:r>
    </w:p>
    <w:p w14:paraId="0BC9972F" w14:textId="77777777" w:rsidR="009F0928" w:rsidRDefault="009F0928">
      <w:pPr>
        <w:spacing w:line="288" w:lineRule="auto"/>
        <w:jc w:val="both"/>
        <w:rPr>
          <w:rFonts w:ascii="Times New Roman" w:hAnsi="Times New Roman"/>
          <w:sz w:val="20"/>
          <w:szCs w:val="20"/>
        </w:rPr>
      </w:pPr>
    </w:p>
    <w:p w14:paraId="0BC99730"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 xml:space="preserve">Note 6 – Investments </w:t>
      </w:r>
    </w:p>
    <w:p w14:paraId="0BC9973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tables summarize</w:t>
      </w:r>
      <w:r>
        <w:rPr>
          <w:rFonts w:ascii="Arial" w:eastAsia="宋体" w:hAnsi="Arial" w:cs="Arial"/>
          <w:sz w:val="20"/>
          <w:szCs w:val="20"/>
        </w:rPr>
        <w:t xml:space="preserve"> the unrealized gains and losses and estimated fair value of our investments classified as available-for-sale as of December 31, 2019 and 2018 (in millions):</w:t>
      </w:r>
    </w:p>
    <w:tbl>
      <w:tblPr>
        <w:tblW w:w="5000" w:type="pct"/>
        <w:tblCellMar>
          <w:left w:w="0" w:type="dxa"/>
          <w:right w:w="0" w:type="dxa"/>
        </w:tblCellMar>
        <w:tblLook w:val="04A0" w:firstRow="1" w:lastRow="0" w:firstColumn="1" w:lastColumn="0" w:noHBand="0" w:noVBand="1"/>
      </w:tblPr>
      <w:tblGrid>
        <w:gridCol w:w="3677"/>
        <w:gridCol w:w="142"/>
        <w:gridCol w:w="853"/>
        <w:gridCol w:w="66"/>
        <w:gridCol w:w="181"/>
        <w:gridCol w:w="142"/>
        <w:gridCol w:w="817"/>
        <w:gridCol w:w="68"/>
        <w:gridCol w:w="181"/>
        <w:gridCol w:w="142"/>
        <w:gridCol w:w="816"/>
        <w:gridCol w:w="68"/>
        <w:gridCol w:w="131"/>
        <w:gridCol w:w="141"/>
        <w:gridCol w:w="816"/>
        <w:gridCol w:w="65"/>
      </w:tblGrid>
      <w:tr w:rsidR="009F0928" w14:paraId="0BC99733" w14:textId="77777777">
        <w:tc>
          <w:tcPr>
            <w:tcW w:w="0" w:type="auto"/>
            <w:gridSpan w:val="16"/>
            <w:shd w:val="clear" w:color="auto" w:fill="auto"/>
            <w:vAlign w:val="center"/>
          </w:tcPr>
          <w:p w14:paraId="0BC99732" w14:textId="77777777" w:rsidR="009F0928" w:rsidRDefault="009F0928">
            <w:pPr>
              <w:rPr>
                <w:rFonts w:ascii="Times New Roman" w:hAnsi="Times New Roman"/>
                <w:sz w:val="20"/>
                <w:szCs w:val="20"/>
              </w:rPr>
            </w:pPr>
          </w:p>
        </w:tc>
      </w:tr>
      <w:tr w:rsidR="009F0928" w14:paraId="0BC99744" w14:textId="77777777">
        <w:tc>
          <w:tcPr>
            <w:tcW w:w="2250" w:type="pct"/>
            <w:shd w:val="clear" w:color="auto" w:fill="auto"/>
            <w:vAlign w:val="center"/>
          </w:tcPr>
          <w:p w14:paraId="0BC99734" w14:textId="77777777" w:rsidR="009F0928" w:rsidRDefault="009F0928">
            <w:pPr>
              <w:rPr>
                <w:rFonts w:ascii="Times New Roman" w:hAnsi="Times New Roman"/>
                <w:sz w:val="20"/>
                <w:szCs w:val="20"/>
              </w:rPr>
            </w:pPr>
          </w:p>
        </w:tc>
        <w:tc>
          <w:tcPr>
            <w:tcW w:w="50" w:type="pct"/>
            <w:shd w:val="clear" w:color="auto" w:fill="auto"/>
            <w:vAlign w:val="center"/>
          </w:tcPr>
          <w:p w14:paraId="0BC99735" w14:textId="77777777" w:rsidR="009F0928" w:rsidRDefault="009F0928">
            <w:pPr>
              <w:rPr>
                <w:rFonts w:ascii="Times New Roman" w:hAnsi="Times New Roman"/>
                <w:sz w:val="20"/>
                <w:szCs w:val="20"/>
              </w:rPr>
            </w:pPr>
          </w:p>
        </w:tc>
        <w:tc>
          <w:tcPr>
            <w:tcW w:w="550" w:type="pct"/>
            <w:shd w:val="clear" w:color="auto" w:fill="auto"/>
            <w:vAlign w:val="center"/>
          </w:tcPr>
          <w:p w14:paraId="0BC99736" w14:textId="77777777" w:rsidR="009F0928" w:rsidRDefault="009F0928">
            <w:pPr>
              <w:rPr>
                <w:rFonts w:ascii="Times New Roman" w:hAnsi="Times New Roman"/>
                <w:sz w:val="20"/>
                <w:szCs w:val="20"/>
              </w:rPr>
            </w:pPr>
          </w:p>
        </w:tc>
        <w:tc>
          <w:tcPr>
            <w:tcW w:w="50" w:type="pct"/>
            <w:shd w:val="clear" w:color="auto" w:fill="auto"/>
            <w:vAlign w:val="center"/>
          </w:tcPr>
          <w:p w14:paraId="0BC99737" w14:textId="77777777" w:rsidR="009F0928" w:rsidRDefault="009F0928">
            <w:pPr>
              <w:rPr>
                <w:rFonts w:ascii="Times New Roman" w:hAnsi="Times New Roman"/>
                <w:sz w:val="20"/>
                <w:szCs w:val="20"/>
              </w:rPr>
            </w:pPr>
          </w:p>
        </w:tc>
        <w:tc>
          <w:tcPr>
            <w:tcW w:w="50" w:type="pct"/>
            <w:shd w:val="clear" w:color="auto" w:fill="auto"/>
            <w:vAlign w:val="center"/>
          </w:tcPr>
          <w:p w14:paraId="0BC99738" w14:textId="77777777" w:rsidR="009F0928" w:rsidRDefault="009F0928">
            <w:pPr>
              <w:rPr>
                <w:rFonts w:ascii="Times New Roman" w:hAnsi="Times New Roman"/>
                <w:sz w:val="20"/>
                <w:szCs w:val="20"/>
              </w:rPr>
            </w:pPr>
          </w:p>
        </w:tc>
        <w:tc>
          <w:tcPr>
            <w:tcW w:w="50" w:type="pct"/>
            <w:shd w:val="clear" w:color="auto" w:fill="auto"/>
            <w:vAlign w:val="center"/>
          </w:tcPr>
          <w:p w14:paraId="0BC99739" w14:textId="77777777" w:rsidR="009F0928" w:rsidRDefault="009F0928">
            <w:pPr>
              <w:rPr>
                <w:rFonts w:ascii="Times New Roman" w:hAnsi="Times New Roman"/>
                <w:sz w:val="20"/>
                <w:szCs w:val="20"/>
              </w:rPr>
            </w:pPr>
          </w:p>
        </w:tc>
        <w:tc>
          <w:tcPr>
            <w:tcW w:w="550" w:type="pct"/>
            <w:shd w:val="clear" w:color="auto" w:fill="auto"/>
            <w:vAlign w:val="center"/>
          </w:tcPr>
          <w:p w14:paraId="0BC9973A" w14:textId="77777777" w:rsidR="009F0928" w:rsidRDefault="009F0928">
            <w:pPr>
              <w:rPr>
                <w:rFonts w:ascii="Times New Roman" w:hAnsi="Times New Roman"/>
                <w:sz w:val="20"/>
                <w:szCs w:val="20"/>
              </w:rPr>
            </w:pPr>
          </w:p>
        </w:tc>
        <w:tc>
          <w:tcPr>
            <w:tcW w:w="50" w:type="pct"/>
            <w:shd w:val="clear" w:color="auto" w:fill="auto"/>
            <w:vAlign w:val="center"/>
          </w:tcPr>
          <w:p w14:paraId="0BC9973B" w14:textId="77777777" w:rsidR="009F0928" w:rsidRDefault="009F0928">
            <w:pPr>
              <w:rPr>
                <w:rFonts w:ascii="Times New Roman" w:hAnsi="Times New Roman"/>
                <w:sz w:val="20"/>
                <w:szCs w:val="20"/>
              </w:rPr>
            </w:pPr>
          </w:p>
        </w:tc>
        <w:tc>
          <w:tcPr>
            <w:tcW w:w="50" w:type="pct"/>
            <w:shd w:val="clear" w:color="auto" w:fill="auto"/>
            <w:vAlign w:val="center"/>
          </w:tcPr>
          <w:p w14:paraId="0BC9973C" w14:textId="77777777" w:rsidR="009F0928" w:rsidRDefault="009F0928">
            <w:pPr>
              <w:rPr>
                <w:rFonts w:ascii="Times New Roman" w:hAnsi="Times New Roman"/>
                <w:sz w:val="20"/>
                <w:szCs w:val="20"/>
              </w:rPr>
            </w:pPr>
          </w:p>
        </w:tc>
        <w:tc>
          <w:tcPr>
            <w:tcW w:w="50" w:type="pct"/>
            <w:shd w:val="clear" w:color="auto" w:fill="auto"/>
            <w:vAlign w:val="center"/>
          </w:tcPr>
          <w:p w14:paraId="0BC9973D" w14:textId="77777777" w:rsidR="009F0928" w:rsidRDefault="009F0928">
            <w:pPr>
              <w:rPr>
                <w:rFonts w:ascii="Times New Roman" w:hAnsi="Times New Roman"/>
                <w:sz w:val="20"/>
                <w:szCs w:val="20"/>
              </w:rPr>
            </w:pPr>
          </w:p>
        </w:tc>
        <w:tc>
          <w:tcPr>
            <w:tcW w:w="550" w:type="pct"/>
            <w:shd w:val="clear" w:color="auto" w:fill="auto"/>
            <w:vAlign w:val="center"/>
          </w:tcPr>
          <w:p w14:paraId="0BC9973E" w14:textId="77777777" w:rsidR="009F0928" w:rsidRDefault="009F0928">
            <w:pPr>
              <w:rPr>
                <w:rFonts w:ascii="Times New Roman" w:hAnsi="Times New Roman"/>
                <w:sz w:val="20"/>
                <w:szCs w:val="20"/>
              </w:rPr>
            </w:pPr>
          </w:p>
        </w:tc>
        <w:tc>
          <w:tcPr>
            <w:tcW w:w="50" w:type="pct"/>
            <w:shd w:val="clear" w:color="auto" w:fill="auto"/>
            <w:vAlign w:val="center"/>
          </w:tcPr>
          <w:p w14:paraId="0BC9973F" w14:textId="77777777" w:rsidR="009F0928" w:rsidRDefault="009F0928">
            <w:pPr>
              <w:rPr>
                <w:rFonts w:ascii="Times New Roman" w:hAnsi="Times New Roman"/>
                <w:sz w:val="20"/>
                <w:szCs w:val="20"/>
              </w:rPr>
            </w:pPr>
          </w:p>
        </w:tc>
        <w:tc>
          <w:tcPr>
            <w:tcW w:w="50" w:type="pct"/>
            <w:shd w:val="clear" w:color="auto" w:fill="auto"/>
            <w:vAlign w:val="center"/>
          </w:tcPr>
          <w:p w14:paraId="0BC99740" w14:textId="77777777" w:rsidR="009F0928" w:rsidRDefault="009F0928">
            <w:pPr>
              <w:rPr>
                <w:rFonts w:ascii="Times New Roman" w:hAnsi="Times New Roman"/>
                <w:sz w:val="20"/>
                <w:szCs w:val="20"/>
              </w:rPr>
            </w:pPr>
          </w:p>
        </w:tc>
        <w:tc>
          <w:tcPr>
            <w:tcW w:w="50" w:type="pct"/>
            <w:shd w:val="clear" w:color="auto" w:fill="auto"/>
            <w:vAlign w:val="center"/>
          </w:tcPr>
          <w:p w14:paraId="0BC99741" w14:textId="77777777" w:rsidR="009F0928" w:rsidRDefault="009F0928">
            <w:pPr>
              <w:rPr>
                <w:rFonts w:ascii="Times New Roman" w:hAnsi="Times New Roman"/>
                <w:sz w:val="20"/>
                <w:szCs w:val="20"/>
              </w:rPr>
            </w:pPr>
          </w:p>
        </w:tc>
        <w:tc>
          <w:tcPr>
            <w:tcW w:w="550" w:type="pct"/>
            <w:shd w:val="clear" w:color="auto" w:fill="auto"/>
            <w:vAlign w:val="center"/>
          </w:tcPr>
          <w:p w14:paraId="0BC99742" w14:textId="77777777" w:rsidR="009F0928" w:rsidRDefault="009F0928">
            <w:pPr>
              <w:rPr>
                <w:rFonts w:ascii="Times New Roman" w:hAnsi="Times New Roman"/>
                <w:sz w:val="20"/>
                <w:szCs w:val="20"/>
              </w:rPr>
            </w:pPr>
          </w:p>
        </w:tc>
        <w:tc>
          <w:tcPr>
            <w:tcW w:w="50" w:type="pct"/>
            <w:shd w:val="clear" w:color="auto" w:fill="auto"/>
            <w:vAlign w:val="center"/>
          </w:tcPr>
          <w:p w14:paraId="0BC99743" w14:textId="77777777" w:rsidR="009F0928" w:rsidRDefault="009F0928">
            <w:pPr>
              <w:rPr>
                <w:rFonts w:ascii="Times New Roman" w:hAnsi="Times New Roman"/>
                <w:sz w:val="20"/>
                <w:szCs w:val="20"/>
              </w:rPr>
            </w:pPr>
          </w:p>
        </w:tc>
      </w:tr>
      <w:tr w:rsidR="009F0928" w14:paraId="0BC99747" w14:textId="77777777">
        <w:tc>
          <w:tcPr>
            <w:tcW w:w="0" w:type="auto"/>
            <w:shd w:val="clear" w:color="auto" w:fill="auto"/>
            <w:tcMar>
              <w:top w:w="40" w:type="dxa"/>
              <w:left w:w="40" w:type="dxa"/>
              <w:bottom w:w="40" w:type="dxa"/>
              <w:right w:w="40" w:type="dxa"/>
            </w:tcMar>
            <w:vAlign w:val="bottom"/>
          </w:tcPr>
          <w:p w14:paraId="0BC99745"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0BC9974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 2019</w:t>
            </w:r>
          </w:p>
        </w:tc>
      </w:tr>
      <w:tr w:rsidR="009F0928" w14:paraId="0BC99757" w14:textId="77777777">
        <w:tc>
          <w:tcPr>
            <w:tcW w:w="0" w:type="auto"/>
            <w:shd w:val="clear" w:color="auto" w:fill="auto"/>
            <w:tcMar>
              <w:top w:w="40" w:type="dxa"/>
              <w:left w:w="40" w:type="dxa"/>
              <w:bottom w:w="40" w:type="dxa"/>
              <w:right w:w="40" w:type="dxa"/>
            </w:tcMar>
            <w:vAlign w:val="bottom"/>
          </w:tcPr>
          <w:p w14:paraId="0BC99748"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749"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Gross</w:t>
            </w:r>
          </w:p>
          <w:p w14:paraId="0BC9974A"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Amortized</w:t>
            </w:r>
          </w:p>
          <w:p w14:paraId="0BC9974B"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Cost</w:t>
            </w:r>
          </w:p>
        </w:tc>
        <w:tc>
          <w:tcPr>
            <w:tcW w:w="0" w:type="auto"/>
            <w:shd w:val="clear" w:color="auto" w:fill="auto"/>
            <w:tcMar>
              <w:top w:w="40" w:type="dxa"/>
              <w:left w:w="40" w:type="dxa"/>
              <w:bottom w:w="40" w:type="dxa"/>
              <w:right w:w="40" w:type="dxa"/>
            </w:tcMar>
            <w:vAlign w:val="bottom"/>
          </w:tcPr>
          <w:p w14:paraId="0BC9974C"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74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Gross</w:t>
            </w:r>
          </w:p>
          <w:p w14:paraId="0BC9974E"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Unrealized</w:t>
            </w:r>
          </w:p>
          <w:p w14:paraId="0BC9974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Gains</w:t>
            </w:r>
          </w:p>
        </w:tc>
        <w:tc>
          <w:tcPr>
            <w:tcW w:w="0" w:type="auto"/>
            <w:shd w:val="clear" w:color="auto" w:fill="auto"/>
            <w:tcMar>
              <w:top w:w="40" w:type="dxa"/>
              <w:left w:w="40" w:type="dxa"/>
              <w:bottom w:w="40" w:type="dxa"/>
              <w:right w:w="40" w:type="dxa"/>
            </w:tcMar>
            <w:vAlign w:val="bottom"/>
          </w:tcPr>
          <w:p w14:paraId="0BC99750"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751"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Gross</w:t>
            </w:r>
          </w:p>
          <w:p w14:paraId="0BC99752"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Unrealized</w:t>
            </w:r>
          </w:p>
          <w:p w14:paraId="0BC9975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Losses</w:t>
            </w:r>
          </w:p>
        </w:tc>
        <w:tc>
          <w:tcPr>
            <w:tcW w:w="0" w:type="auto"/>
            <w:shd w:val="clear" w:color="auto" w:fill="auto"/>
            <w:tcMar>
              <w:top w:w="40" w:type="dxa"/>
              <w:left w:w="40" w:type="dxa"/>
              <w:bottom w:w="40" w:type="dxa"/>
              <w:right w:w="40" w:type="dxa"/>
            </w:tcMar>
            <w:vAlign w:val="bottom"/>
          </w:tcPr>
          <w:p w14:paraId="0BC99754"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755"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Estimated</w:t>
            </w:r>
          </w:p>
          <w:p w14:paraId="0BC9975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Fair Value</w:t>
            </w:r>
          </w:p>
        </w:tc>
      </w:tr>
      <w:tr w:rsidR="009F0928" w14:paraId="0BC99760" w14:textId="77777777">
        <w:tc>
          <w:tcPr>
            <w:tcW w:w="0" w:type="auto"/>
            <w:shd w:val="clear" w:color="auto" w:fill="E2E2E2"/>
            <w:tcMar>
              <w:top w:w="40" w:type="dxa"/>
              <w:left w:w="40" w:type="dxa"/>
              <w:bottom w:w="40" w:type="dxa"/>
              <w:right w:w="40" w:type="dxa"/>
            </w:tcMar>
            <w:vAlign w:val="bottom"/>
          </w:tcPr>
          <w:p w14:paraId="0BC99758" w14:textId="77777777" w:rsidR="009F0928" w:rsidRDefault="002112BD">
            <w:pPr>
              <w:textAlignment w:val="bottom"/>
              <w:rPr>
                <w:rFonts w:ascii="Times New Roman" w:hAnsi="Times New Roman"/>
                <w:sz w:val="18"/>
                <w:szCs w:val="18"/>
              </w:rPr>
            </w:pPr>
            <w:r>
              <w:rPr>
                <w:rFonts w:ascii="Arial" w:eastAsia="宋体" w:hAnsi="Arial" w:cs="Arial"/>
                <w:sz w:val="18"/>
                <w:szCs w:val="18"/>
              </w:rPr>
              <w:t>Short-term investments:</w:t>
            </w:r>
          </w:p>
        </w:tc>
        <w:tc>
          <w:tcPr>
            <w:tcW w:w="0" w:type="auto"/>
            <w:gridSpan w:val="3"/>
            <w:shd w:val="clear" w:color="auto" w:fill="E2E2E2"/>
            <w:tcMar>
              <w:top w:w="40" w:type="dxa"/>
              <w:left w:w="40" w:type="dxa"/>
              <w:bottom w:w="40" w:type="dxa"/>
              <w:right w:w="40" w:type="dxa"/>
            </w:tcMar>
            <w:vAlign w:val="bottom"/>
          </w:tcPr>
          <w:p w14:paraId="0BC9975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75A"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shd w:val="clear" w:color="auto" w:fill="E2E2E2"/>
            <w:tcMar>
              <w:top w:w="40" w:type="dxa"/>
              <w:left w:w="40" w:type="dxa"/>
              <w:bottom w:w="40" w:type="dxa"/>
              <w:right w:w="40" w:type="dxa"/>
            </w:tcMar>
            <w:vAlign w:val="bottom"/>
          </w:tcPr>
          <w:p w14:paraId="0BC9975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75C"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shd w:val="clear" w:color="auto" w:fill="E2E2E2"/>
            <w:tcMar>
              <w:top w:w="40" w:type="dxa"/>
              <w:left w:w="40" w:type="dxa"/>
              <w:bottom w:w="40" w:type="dxa"/>
              <w:right w:w="40" w:type="dxa"/>
            </w:tcMar>
            <w:vAlign w:val="bottom"/>
          </w:tcPr>
          <w:p w14:paraId="0BC9975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75E"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shd w:val="clear" w:color="auto" w:fill="E2E2E2"/>
            <w:tcMar>
              <w:top w:w="40" w:type="dxa"/>
              <w:left w:w="40" w:type="dxa"/>
              <w:bottom w:w="40" w:type="dxa"/>
              <w:right w:w="40" w:type="dxa"/>
            </w:tcMar>
            <w:vAlign w:val="bottom"/>
          </w:tcPr>
          <w:p w14:paraId="0BC9975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771" w14:textId="77777777">
        <w:tc>
          <w:tcPr>
            <w:tcW w:w="0" w:type="auto"/>
            <w:shd w:val="clear" w:color="auto" w:fill="auto"/>
            <w:tcMar>
              <w:top w:w="40" w:type="dxa"/>
              <w:left w:w="400" w:type="dxa"/>
              <w:bottom w:w="40" w:type="dxa"/>
              <w:right w:w="40" w:type="dxa"/>
            </w:tcMar>
            <w:vAlign w:val="bottom"/>
          </w:tcPr>
          <w:p w14:paraId="0BC99761" w14:textId="77777777" w:rsidR="009F0928" w:rsidRDefault="002112BD">
            <w:pPr>
              <w:textAlignment w:val="bottom"/>
              <w:rPr>
                <w:rFonts w:ascii="Times New Roman" w:hAnsi="Times New Roman"/>
                <w:sz w:val="18"/>
                <w:szCs w:val="18"/>
              </w:rPr>
            </w:pPr>
            <w:r>
              <w:rPr>
                <w:rFonts w:ascii="Arial" w:eastAsia="宋体" w:hAnsi="Arial" w:cs="Arial"/>
                <w:sz w:val="18"/>
                <w:szCs w:val="18"/>
              </w:rPr>
              <w:t>Restricted cash</w:t>
            </w:r>
          </w:p>
        </w:tc>
        <w:tc>
          <w:tcPr>
            <w:tcW w:w="0" w:type="auto"/>
            <w:shd w:val="clear" w:color="auto" w:fill="auto"/>
            <w:tcMar>
              <w:top w:w="40" w:type="dxa"/>
              <w:left w:w="40" w:type="dxa"/>
              <w:bottom w:w="40" w:type="dxa"/>
            </w:tcMar>
            <w:vAlign w:val="bottom"/>
          </w:tcPr>
          <w:p w14:paraId="0BC9976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76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w:t>
            </w:r>
          </w:p>
        </w:tc>
        <w:tc>
          <w:tcPr>
            <w:tcW w:w="0" w:type="auto"/>
            <w:shd w:val="clear" w:color="auto" w:fill="auto"/>
            <w:vAlign w:val="bottom"/>
          </w:tcPr>
          <w:p w14:paraId="0BC9976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765"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tcMar>
            <w:vAlign w:val="bottom"/>
          </w:tcPr>
          <w:p w14:paraId="0BC9976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76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76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769"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tcMar>
            <w:vAlign w:val="bottom"/>
          </w:tcPr>
          <w:p w14:paraId="0BC9976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76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76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76D"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tcMar>
            <w:vAlign w:val="bottom"/>
          </w:tcPr>
          <w:p w14:paraId="0BC9976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76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w:t>
            </w:r>
          </w:p>
        </w:tc>
        <w:tc>
          <w:tcPr>
            <w:tcW w:w="0" w:type="auto"/>
            <w:shd w:val="clear" w:color="auto" w:fill="auto"/>
            <w:vAlign w:val="bottom"/>
          </w:tcPr>
          <w:p w14:paraId="0BC99770" w14:textId="77777777" w:rsidR="009F0928" w:rsidRDefault="009F0928">
            <w:pPr>
              <w:textAlignment w:val="bottom"/>
              <w:rPr>
                <w:rFonts w:ascii="Times New Roman" w:hAnsi="Times New Roman"/>
                <w:sz w:val="20"/>
                <w:szCs w:val="20"/>
              </w:rPr>
            </w:pPr>
          </w:p>
        </w:tc>
      </w:tr>
      <w:tr w:rsidR="009F0928" w14:paraId="0BC9977E" w14:textId="77777777">
        <w:tc>
          <w:tcPr>
            <w:tcW w:w="0" w:type="auto"/>
            <w:shd w:val="clear" w:color="auto" w:fill="E2E2E2"/>
            <w:tcMar>
              <w:top w:w="40" w:type="dxa"/>
              <w:left w:w="400" w:type="dxa"/>
              <w:bottom w:w="40" w:type="dxa"/>
              <w:right w:w="40" w:type="dxa"/>
            </w:tcMar>
            <w:vAlign w:val="bottom"/>
          </w:tcPr>
          <w:p w14:paraId="0BC99772" w14:textId="77777777" w:rsidR="009F0928" w:rsidRDefault="002112BD">
            <w:pPr>
              <w:textAlignment w:val="bottom"/>
              <w:rPr>
                <w:rFonts w:ascii="Times New Roman" w:hAnsi="Times New Roman"/>
                <w:sz w:val="18"/>
                <w:szCs w:val="18"/>
              </w:rPr>
            </w:pPr>
            <w:r>
              <w:rPr>
                <w:rFonts w:ascii="Arial" w:eastAsia="宋体" w:hAnsi="Arial" w:cs="Arial"/>
                <w:sz w:val="18"/>
                <w:szCs w:val="18"/>
              </w:rPr>
              <w:t>Corporate debt securities</w:t>
            </w:r>
          </w:p>
        </w:tc>
        <w:tc>
          <w:tcPr>
            <w:tcW w:w="0" w:type="auto"/>
            <w:gridSpan w:val="2"/>
            <w:shd w:val="clear" w:color="auto" w:fill="E2E2E2"/>
            <w:tcMar>
              <w:top w:w="40" w:type="dxa"/>
              <w:left w:w="40" w:type="dxa"/>
              <w:bottom w:w="40" w:type="dxa"/>
            </w:tcMar>
            <w:vAlign w:val="bottom"/>
          </w:tcPr>
          <w:p w14:paraId="0BC9977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1,653</w:t>
            </w:r>
          </w:p>
        </w:tc>
        <w:tc>
          <w:tcPr>
            <w:tcW w:w="0" w:type="auto"/>
            <w:shd w:val="clear" w:color="auto" w:fill="E2E2E2"/>
            <w:vAlign w:val="bottom"/>
          </w:tcPr>
          <w:p w14:paraId="0BC9977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775"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977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w:t>
            </w:r>
          </w:p>
        </w:tc>
        <w:tc>
          <w:tcPr>
            <w:tcW w:w="0" w:type="auto"/>
            <w:shd w:val="clear" w:color="auto" w:fill="E2E2E2"/>
            <w:vAlign w:val="bottom"/>
          </w:tcPr>
          <w:p w14:paraId="0BC9977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778"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977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977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77B"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977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1,654</w:t>
            </w:r>
          </w:p>
        </w:tc>
        <w:tc>
          <w:tcPr>
            <w:tcW w:w="0" w:type="auto"/>
            <w:shd w:val="clear" w:color="auto" w:fill="E2E2E2"/>
            <w:vAlign w:val="bottom"/>
          </w:tcPr>
          <w:p w14:paraId="0BC9977D" w14:textId="77777777" w:rsidR="009F0928" w:rsidRDefault="009F0928">
            <w:pPr>
              <w:textAlignment w:val="bottom"/>
              <w:rPr>
                <w:rFonts w:ascii="Times New Roman" w:hAnsi="Times New Roman"/>
                <w:sz w:val="20"/>
                <w:szCs w:val="20"/>
              </w:rPr>
            </w:pPr>
          </w:p>
        </w:tc>
      </w:tr>
      <w:tr w:rsidR="009F0928" w14:paraId="0BC9978B" w14:textId="77777777">
        <w:tc>
          <w:tcPr>
            <w:tcW w:w="0" w:type="auto"/>
            <w:shd w:val="clear" w:color="auto" w:fill="auto"/>
            <w:tcMar>
              <w:top w:w="40" w:type="dxa"/>
              <w:left w:w="400" w:type="dxa"/>
              <w:bottom w:w="40" w:type="dxa"/>
              <w:right w:w="40" w:type="dxa"/>
            </w:tcMar>
            <w:vAlign w:val="bottom"/>
          </w:tcPr>
          <w:p w14:paraId="0BC9977F" w14:textId="77777777" w:rsidR="009F0928" w:rsidRDefault="002112BD">
            <w:pPr>
              <w:textAlignment w:val="bottom"/>
              <w:rPr>
                <w:rFonts w:ascii="Times New Roman" w:hAnsi="Times New Roman"/>
                <w:sz w:val="18"/>
                <w:szCs w:val="18"/>
              </w:rPr>
            </w:pPr>
            <w:r>
              <w:rPr>
                <w:rFonts w:ascii="Arial" w:eastAsia="宋体" w:hAnsi="Arial" w:cs="Arial"/>
                <w:sz w:val="18"/>
                <w:szCs w:val="18"/>
              </w:rPr>
              <w:t>Government and agency securities</w:t>
            </w:r>
          </w:p>
        </w:tc>
        <w:tc>
          <w:tcPr>
            <w:tcW w:w="0" w:type="auto"/>
            <w:gridSpan w:val="2"/>
            <w:shd w:val="clear" w:color="auto" w:fill="auto"/>
            <w:tcMar>
              <w:top w:w="40" w:type="dxa"/>
              <w:left w:w="40" w:type="dxa"/>
              <w:bottom w:w="40" w:type="dxa"/>
            </w:tcMar>
            <w:vAlign w:val="bottom"/>
          </w:tcPr>
          <w:p w14:paraId="0BC9978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175</w:t>
            </w:r>
          </w:p>
        </w:tc>
        <w:tc>
          <w:tcPr>
            <w:tcW w:w="0" w:type="auto"/>
            <w:shd w:val="clear" w:color="auto" w:fill="auto"/>
            <w:vAlign w:val="bottom"/>
          </w:tcPr>
          <w:p w14:paraId="0BC9978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782"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978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78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785"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978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78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788"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978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175</w:t>
            </w:r>
          </w:p>
        </w:tc>
        <w:tc>
          <w:tcPr>
            <w:tcW w:w="0" w:type="auto"/>
            <w:shd w:val="clear" w:color="auto" w:fill="auto"/>
            <w:vAlign w:val="bottom"/>
          </w:tcPr>
          <w:p w14:paraId="0BC9978A" w14:textId="77777777" w:rsidR="009F0928" w:rsidRDefault="009F0928">
            <w:pPr>
              <w:textAlignment w:val="bottom"/>
              <w:rPr>
                <w:rFonts w:ascii="Times New Roman" w:hAnsi="Times New Roman"/>
                <w:sz w:val="20"/>
                <w:szCs w:val="20"/>
              </w:rPr>
            </w:pPr>
          </w:p>
        </w:tc>
      </w:tr>
      <w:tr w:rsidR="009F0928" w14:paraId="0BC9979C" w14:textId="77777777">
        <w:tc>
          <w:tcPr>
            <w:tcW w:w="0" w:type="auto"/>
            <w:shd w:val="clear" w:color="auto" w:fill="E2E2E2"/>
            <w:tcMar>
              <w:top w:w="40" w:type="dxa"/>
              <w:left w:w="40" w:type="dxa"/>
              <w:bottom w:w="40" w:type="dxa"/>
              <w:right w:w="40" w:type="dxa"/>
            </w:tcMar>
            <w:vAlign w:val="bottom"/>
          </w:tcPr>
          <w:p w14:paraId="0BC9978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78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78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1,849</w:t>
            </w:r>
          </w:p>
        </w:tc>
        <w:tc>
          <w:tcPr>
            <w:tcW w:w="0" w:type="auto"/>
            <w:tcBorders>
              <w:top w:val="single" w:sz="8" w:space="0" w:color="000000"/>
              <w:bottom w:val="double" w:sz="6" w:space="0" w:color="000000"/>
            </w:tcBorders>
            <w:shd w:val="clear" w:color="auto" w:fill="E2E2E2"/>
            <w:vAlign w:val="bottom"/>
          </w:tcPr>
          <w:p w14:paraId="0BC9978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790"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79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79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w:t>
            </w:r>
          </w:p>
        </w:tc>
        <w:tc>
          <w:tcPr>
            <w:tcW w:w="0" w:type="auto"/>
            <w:tcBorders>
              <w:top w:val="single" w:sz="8" w:space="0" w:color="000000"/>
              <w:bottom w:val="double" w:sz="6" w:space="0" w:color="000000"/>
            </w:tcBorders>
            <w:shd w:val="clear" w:color="auto" w:fill="E2E2E2"/>
            <w:vAlign w:val="bottom"/>
          </w:tcPr>
          <w:p w14:paraId="0BC9979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794"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79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79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vAlign w:val="bottom"/>
          </w:tcPr>
          <w:p w14:paraId="0BC9979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798"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79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79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1,850</w:t>
            </w:r>
          </w:p>
        </w:tc>
        <w:tc>
          <w:tcPr>
            <w:tcW w:w="0" w:type="auto"/>
            <w:tcBorders>
              <w:top w:val="single" w:sz="8" w:space="0" w:color="000000"/>
              <w:bottom w:val="double" w:sz="6" w:space="0" w:color="000000"/>
            </w:tcBorders>
            <w:shd w:val="clear" w:color="auto" w:fill="E2E2E2"/>
            <w:vAlign w:val="bottom"/>
          </w:tcPr>
          <w:p w14:paraId="0BC9979B" w14:textId="77777777" w:rsidR="009F0928" w:rsidRDefault="009F0928">
            <w:pPr>
              <w:textAlignment w:val="bottom"/>
              <w:rPr>
                <w:rFonts w:ascii="Times New Roman" w:hAnsi="Times New Roman"/>
                <w:sz w:val="20"/>
                <w:szCs w:val="20"/>
              </w:rPr>
            </w:pPr>
          </w:p>
        </w:tc>
      </w:tr>
      <w:tr w:rsidR="009F0928" w14:paraId="0BC997A5" w14:textId="77777777">
        <w:tc>
          <w:tcPr>
            <w:tcW w:w="0" w:type="auto"/>
            <w:shd w:val="clear" w:color="auto" w:fill="auto"/>
            <w:tcMar>
              <w:top w:w="40" w:type="dxa"/>
              <w:left w:w="40" w:type="dxa"/>
              <w:bottom w:w="40" w:type="dxa"/>
              <w:right w:w="40" w:type="dxa"/>
            </w:tcMar>
            <w:vAlign w:val="bottom"/>
          </w:tcPr>
          <w:p w14:paraId="0BC9979D" w14:textId="77777777" w:rsidR="009F0928" w:rsidRDefault="002112BD">
            <w:pPr>
              <w:textAlignment w:val="bottom"/>
              <w:rPr>
                <w:rFonts w:ascii="Times New Roman" w:hAnsi="Times New Roman"/>
                <w:sz w:val="18"/>
                <w:szCs w:val="18"/>
              </w:rPr>
            </w:pPr>
            <w:r>
              <w:rPr>
                <w:rFonts w:ascii="Arial" w:eastAsia="宋体" w:hAnsi="Arial" w:cs="Arial"/>
                <w:sz w:val="18"/>
                <w:szCs w:val="18"/>
              </w:rPr>
              <w:t>Long-term investments:</w:t>
            </w:r>
          </w:p>
        </w:tc>
        <w:tc>
          <w:tcPr>
            <w:tcW w:w="0" w:type="auto"/>
            <w:gridSpan w:val="3"/>
            <w:shd w:val="clear" w:color="auto" w:fill="auto"/>
            <w:tcMar>
              <w:top w:w="40" w:type="dxa"/>
              <w:left w:w="40" w:type="dxa"/>
              <w:bottom w:w="40" w:type="dxa"/>
              <w:right w:w="40" w:type="dxa"/>
            </w:tcMar>
            <w:vAlign w:val="bottom"/>
          </w:tcPr>
          <w:p w14:paraId="0BC9979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79F"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shd w:val="clear" w:color="auto" w:fill="auto"/>
            <w:tcMar>
              <w:top w:w="40" w:type="dxa"/>
              <w:left w:w="40" w:type="dxa"/>
              <w:bottom w:w="40" w:type="dxa"/>
              <w:right w:w="40" w:type="dxa"/>
            </w:tcMar>
            <w:vAlign w:val="bottom"/>
          </w:tcPr>
          <w:p w14:paraId="0BC997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7A1"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shd w:val="clear" w:color="auto" w:fill="auto"/>
            <w:tcMar>
              <w:top w:w="40" w:type="dxa"/>
              <w:left w:w="40" w:type="dxa"/>
              <w:bottom w:w="40" w:type="dxa"/>
              <w:right w:w="40" w:type="dxa"/>
            </w:tcMar>
            <w:vAlign w:val="bottom"/>
          </w:tcPr>
          <w:p w14:paraId="0BC997A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7A3"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shd w:val="clear" w:color="auto" w:fill="auto"/>
            <w:tcMar>
              <w:top w:w="40" w:type="dxa"/>
              <w:left w:w="40" w:type="dxa"/>
              <w:bottom w:w="40" w:type="dxa"/>
              <w:right w:w="40" w:type="dxa"/>
            </w:tcMar>
            <w:vAlign w:val="bottom"/>
          </w:tcPr>
          <w:p w14:paraId="0BC997A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7B2" w14:textId="77777777">
        <w:tc>
          <w:tcPr>
            <w:tcW w:w="0" w:type="auto"/>
            <w:shd w:val="clear" w:color="auto" w:fill="E2E2E2"/>
            <w:tcMar>
              <w:top w:w="40" w:type="dxa"/>
              <w:left w:w="400" w:type="dxa"/>
              <w:bottom w:w="40" w:type="dxa"/>
              <w:right w:w="40" w:type="dxa"/>
            </w:tcMar>
            <w:vAlign w:val="bottom"/>
          </w:tcPr>
          <w:p w14:paraId="0BC997A6" w14:textId="77777777" w:rsidR="009F0928" w:rsidRDefault="002112BD">
            <w:pPr>
              <w:textAlignment w:val="bottom"/>
              <w:rPr>
                <w:rFonts w:ascii="Times New Roman" w:hAnsi="Times New Roman"/>
                <w:sz w:val="18"/>
                <w:szCs w:val="18"/>
              </w:rPr>
            </w:pPr>
            <w:r>
              <w:rPr>
                <w:rFonts w:ascii="Arial" w:eastAsia="宋体" w:hAnsi="Arial" w:cs="Arial"/>
                <w:sz w:val="18"/>
                <w:szCs w:val="18"/>
              </w:rPr>
              <w:t>Corporate debt securities</w:t>
            </w:r>
          </w:p>
        </w:tc>
        <w:tc>
          <w:tcPr>
            <w:tcW w:w="0" w:type="auto"/>
            <w:gridSpan w:val="2"/>
            <w:shd w:val="clear" w:color="auto" w:fill="E2E2E2"/>
            <w:tcMar>
              <w:top w:w="40" w:type="dxa"/>
              <w:left w:w="40" w:type="dxa"/>
              <w:bottom w:w="40" w:type="dxa"/>
            </w:tcMar>
            <w:vAlign w:val="bottom"/>
          </w:tcPr>
          <w:p w14:paraId="0BC997A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957</w:t>
            </w:r>
          </w:p>
        </w:tc>
        <w:tc>
          <w:tcPr>
            <w:tcW w:w="0" w:type="auto"/>
            <w:shd w:val="clear" w:color="auto" w:fill="E2E2E2"/>
            <w:vAlign w:val="bottom"/>
          </w:tcPr>
          <w:p w14:paraId="0BC997A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7A9"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97A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w:t>
            </w:r>
          </w:p>
        </w:tc>
        <w:tc>
          <w:tcPr>
            <w:tcW w:w="0" w:type="auto"/>
            <w:shd w:val="clear" w:color="auto" w:fill="E2E2E2"/>
            <w:vAlign w:val="bottom"/>
          </w:tcPr>
          <w:p w14:paraId="0BC997A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7AC"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97A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97A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7AF"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97B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961</w:t>
            </w:r>
          </w:p>
        </w:tc>
        <w:tc>
          <w:tcPr>
            <w:tcW w:w="0" w:type="auto"/>
            <w:shd w:val="clear" w:color="auto" w:fill="E2E2E2"/>
            <w:vAlign w:val="bottom"/>
          </w:tcPr>
          <w:p w14:paraId="0BC997B1" w14:textId="77777777" w:rsidR="009F0928" w:rsidRDefault="009F0928">
            <w:pPr>
              <w:textAlignment w:val="bottom"/>
              <w:rPr>
                <w:rFonts w:ascii="Times New Roman" w:hAnsi="Times New Roman"/>
                <w:sz w:val="20"/>
                <w:szCs w:val="20"/>
              </w:rPr>
            </w:pPr>
          </w:p>
        </w:tc>
      </w:tr>
      <w:tr w:rsidR="009F0928" w14:paraId="0BC997C3" w14:textId="77777777">
        <w:tc>
          <w:tcPr>
            <w:tcW w:w="0" w:type="auto"/>
            <w:shd w:val="clear" w:color="auto" w:fill="auto"/>
            <w:tcMar>
              <w:top w:w="40" w:type="dxa"/>
              <w:left w:w="40" w:type="dxa"/>
              <w:bottom w:w="40" w:type="dxa"/>
              <w:right w:w="40" w:type="dxa"/>
            </w:tcMar>
            <w:vAlign w:val="bottom"/>
          </w:tcPr>
          <w:p w14:paraId="0BC997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7B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7B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957</w:t>
            </w:r>
          </w:p>
        </w:tc>
        <w:tc>
          <w:tcPr>
            <w:tcW w:w="0" w:type="auto"/>
            <w:tcBorders>
              <w:top w:val="single" w:sz="8" w:space="0" w:color="000000"/>
              <w:bottom w:val="double" w:sz="6" w:space="0" w:color="000000"/>
            </w:tcBorders>
            <w:shd w:val="clear" w:color="auto" w:fill="auto"/>
            <w:vAlign w:val="bottom"/>
          </w:tcPr>
          <w:p w14:paraId="0BC997B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7B7"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7B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7B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w:t>
            </w:r>
          </w:p>
        </w:tc>
        <w:tc>
          <w:tcPr>
            <w:tcW w:w="0" w:type="auto"/>
            <w:tcBorders>
              <w:top w:val="single" w:sz="8" w:space="0" w:color="000000"/>
              <w:bottom w:val="double" w:sz="6" w:space="0" w:color="000000"/>
            </w:tcBorders>
            <w:shd w:val="clear" w:color="auto" w:fill="auto"/>
            <w:vAlign w:val="bottom"/>
          </w:tcPr>
          <w:p w14:paraId="0BC997B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7BB"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7B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7B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vAlign w:val="bottom"/>
          </w:tcPr>
          <w:p w14:paraId="0BC997B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7BF"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7C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7C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961</w:t>
            </w:r>
          </w:p>
        </w:tc>
        <w:tc>
          <w:tcPr>
            <w:tcW w:w="0" w:type="auto"/>
            <w:tcBorders>
              <w:top w:val="single" w:sz="8" w:space="0" w:color="000000"/>
              <w:bottom w:val="double" w:sz="6" w:space="0" w:color="000000"/>
            </w:tcBorders>
            <w:shd w:val="clear" w:color="auto" w:fill="auto"/>
            <w:vAlign w:val="bottom"/>
          </w:tcPr>
          <w:p w14:paraId="0BC997C2" w14:textId="77777777" w:rsidR="009F0928" w:rsidRDefault="009F0928">
            <w:pPr>
              <w:textAlignment w:val="bottom"/>
              <w:rPr>
                <w:rFonts w:ascii="Times New Roman" w:hAnsi="Times New Roman"/>
                <w:sz w:val="20"/>
                <w:szCs w:val="20"/>
              </w:rPr>
            </w:pPr>
          </w:p>
        </w:tc>
      </w:tr>
    </w:tbl>
    <w:p w14:paraId="0BC997C4" w14:textId="77777777" w:rsidR="009F0928" w:rsidRDefault="002112BD">
      <w:pPr>
        <w:spacing w:line="288" w:lineRule="auto"/>
        <w:jc w:val="both"/>
        <w:rPr>
          <w:rFonts w:ascii="Times New Roman" w:hAnsi="Times New Roman"/>
          <w:sz w:val="14"/>
          <w:szCs w:val="14"/>
        </w:rPr>
      </w:pPr>
      <w:r>
        <w:rPr>
          <w:rFonts w:ascii="Arial" w:eastAsia="宋体" w:hAnsi="Arial" w:cs="Arial"/>
          <w:sz w:val="14"/>
          <w:szCs w:val="14"/>
        </w:rPr>
        <w:t> </w:t>
      </w:r>
    </w:p>
    <w:p w14:paraId="0BC997C5" w14:textId="77777777" w:rsidR="009F0928" w:rsidRDefault="009F0928">
      <w:pPr>
        <w:rPr>
          <w:rFonts w:ascii="Times New Roman" w:hAnsi="Times New Roman"/>
          <w:sz w:val="20"/>
          <w:szCs w:val="20"/>
        </w:rPr>
      </w:pPr>
    </w:p>
    <w:p w14:paraId="0BC997C6"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F-21</w:t>
      </w:r>
    </w:p>
    <w:p w14:paraId="0BC997C7" w14:textId="77777777" w:rsidR="009F0928" w:rsidRDefault="002112BD">
      <w:r>
        <w:rPr>
          <w:rFonts w:ascii="Times New Roman" w:hAnsi="Times New Roman"/>
          <w:sz w:val="18"/>
          <w:szCs w:val="18"/>
        </w:rPr>
        <w:pict w14:anchorId="0BC9B50F">
          <v:rect id="_x0000_i1107" style="width:415.3pt;height:1.5pt" o:hralign="center" o:hrstd="t" o:hr="t" fillcolor="#a0a0a0" stroked="f"/>
        </w:pict>
      </w:r>
    </w:p>
    <w:p w14:paraId="0BC997C8"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7C9"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97CA" w14:textId="77777777" w:rsidR="009F0928" w:rsidRDefault="009F0928">
      <w:pPr>
        <w:spacing w:line="288" w:lineRule="auto"/>
        <w:jc w:val="center"/>
        <w:rPr>
          <w:rFonts w:ascii="Times New Roman" w:hAnsi="Times New Roman"/>
          <w:sz w:val="20"/>
          <w:szCs w:val="20"/>
        </w:rPr>
      </w:pPr>
    </w:p>
    <w:p w14:paraId="0BC997CB" w14:textId="77777777" w:rsidR="009F0928" w:rsidRDefault="009F0928">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3666"/>
        <w:gridCol w:w="142"/>
        <w:gridCol w:w="843"/>
        <w:gridCol w:w="66"/>
        <w:gridCol w:w="181"/>
        <w:gridCol w:w="142"/>
        <w:gridCol w:w="798"/>
        <w:gridCol w:w="68"/>
        <w:gridCol w:w="181"/>
        <w:gridCol w:w="142"/>
        <w:gridCol w:w="796"/>
        <w:gridCol w:w="100"/>
        <w:gridCol w:w="131"/>
        <w:gridCol w:w="141"/>
        <w:gridCol w:w="844"/>
        <w:gridCol w:w="65"/>
      </w:tblGrid>
      <w:tr w:rsidR="009F0928" w14:paraId="0BC997CD" w14:textId="77777777">
        <w:tc>
          <w:tcPr>
            <w:tcW w:w="0" w:type="auto"/>
            <w:gridSpan w:val="16"/>
            <w:shd w:val="clear" w:color="auto" w:fill="auto"/>
            <w:vAlign w:val="center"/>
          </w:tcPr>
          <w:p w14:paraId="0BC997CC" w14:textId="77777777" w:rsidR="009F0928" w:rsidRDefault="009F0928">
            <w:pPr>
              <w:rPr>
                <w:rFonts w:ascii="Times New Roman" w:hAnsi="Times New Roman"/>
                <w:sz w:val="20"/>
                <w:szCs w:val="20"/>
              </w:rPr>
            </w:pPr>
          </w:p>
        </w:tc>
      </w:tr>
      <w:tr w:rsidR="009F0928" w14:paraId="0BC997DE" w14:textId="77777777">
        <w:tc>
          <w:tcPr>
            <w:tcW w:w="2250" w:type="pct"/>
            <w:shd w:val="clear" w:color="auto" w:fill="auto"/>
            <w:vAlign w:val="center"/>
          </w:tcPr>
          <w:p w14:paraId="0BC997CE" w14:textId="77777777" w:rsidR="009F0928" w:rsidRDefault="009F0928">
            <w:pPr>
              <w:rPr>
                <w:rFonts w:ascii="Times New Roman" w:hAnsi="Times New Roman"/>
                <w:sz w:val="20"/>
                <w:szCs w:val="20"/>
              </w:rPr>
            </w:pPr>
          </w:p>
        </w:tc>
        <w:tc>
          <w:tcPr>
            <w:tcW w:w="50" w:type="pct"/>
            <w:shd w:val="clear" w:color="auto" w:fill="auto"/>
            <w:vAlign w:val="center"/>
          </w:tcPr>
          <w:p w14:paraId="0BC997CF" w14:textId="77777777" w:rsidR="009F0928" w:rsidRDefault="009F0928">
            <w:pPr>
              <w:rPr>
                <w:rFonts w:ascii="Times New Roman" w:hAnsi="Times New Roman"/>
                <w:sz w:val="20"/>
                <w:szCs w:val="20"/>
              </w:rPr>
            </w:pPr>
          </w:p>
        </w:tc>
        <w:tc>
          <w:tcPr>
            <w:tcW w:w="550" w:type="pct"/>
            <w:shd w:val="clear" w:color="auto" w:fill="auto"/>
            <w:vAlign w:val="center"/>
          </w:tcPr>
          <w:p w14:paraId="0BC997D0" w14:textId="77777777" w:rsidR="009F0928" w:rsidRDefault="009F0928">
            <w:pPr>
              <w:rPr>
                <w:rFonts w:ascii="Times New Roman" w:hAnsi="Times New Roman"/>
                <w:sz w:val="20"/>
                <w:szCs w:val="20"/>
              </w:rPr>
            </w:pPr>
          </w:p>
        </w:tc>
        <w:tc>
          <w:tcPr>
            <w:tcW w:w="50" w:type="pct"/>
            <w:shd w:val="clear" w:color="auto" w:fill="auto"/>
            <w:vAlign w:val="center"/>
          </w:tcPr>
          <w:p w14:paraId="0BC997D1" w14:textId="77777777" w:rsidR="009F0928" w:rsidRDefault="009F0928">
            <w:pPr>
              <w:rPr>
                <w:rFonts w:ascii="Times New Roman" w:hAnsi="Times New Roman"/>
                <w:sz w:val="20"/>
                <w:szCs w:val="20"/>
              </w:rPr>
            </w:pPr>
          </w:p>
        </w:tc>
        <w:tc>
          <w:tcPr>
            <w:tcW w:w="50" w:type="pct"/>
            <w:shd w:val="clear" w:color="auto" w:fill="auto"/>
            <w:vAlign w:val="center"/>
          </w:tcPr>
          <w:p w14:paraId="0BC997D2" w14:textId="77777777" w:rsidR="009F0928" w:rsidRDefault="009F0928">
            <w:pPr>
              <w:rPr>
                <w:rFonts w:ascii="Times New Roman" w:hAnsi="Times New Roman"/>
                <w:sz w:val="20"/>
                <w:szCs w:val="20"/>
              </w:rPr>
            </w:pPr>
          </w:p>
        </w:tc>
        <w:tc>
          <w:tcPr>
            <w:tcW w:w="50" w:type="pct"/>
            <w:shd w:val="clear" w:color="auto" w:fill="auto"/>
            <w:vAlign w:val="center"/>
          </w:tcPr>
          <w:p w14:paraId="0BC997D3" w14:textId="77777777" w:rsidR="009F0928" w:rsidRDefault="009F0928">
            <w:pPr>
              <w:rPr>
                <w:rFonts w:ascii="Times New Roman" w:hAnsi="Times New Roman"/>
                <w:sz w:val="20"/>
                <w:szCs w:val="20"/>
              </w:rPr>
            </w:pPr>
          </w:p>
        </w:tc>
        <w:tc>
          <w:tcPr>
            <w:tcW w:w="550" w:type="pct"/>
            <w:shd w:val="clear" w:color="auto" w:fill="auto"/>
            <w:vAlign w:val="center"/>
          </w:tcPr>
          <w:p w14:paraId="0BC997D4" w14:textId="77777777" w:rsidR="009F0928" w:rsidRDefault="009F0928">
            <w:pPr>
              <w:rPr>
                <w:rFonts w:ascii="Times New Roman" w:hAnsi="Times New Roman"/>
                <w:sz w:val="20"/>
                <w:szCs w:val="20"/>
              </w:rPr>
            </w:pPr>
          </w:p>
        </w:tc>
        <w:tc>
          <w:tcPr>
            <w:tcW w:w="50" w:type="pct"/>
            <w:shd w:val="clear" w:color="auto" w:fill="auto"/>
            <w:vAlign w:val="center"/>
          </w:tcPr>
          <w:p w14:paraId="0BC997D5" w14:textId="77777777" w:rsidR="009F0928" w:rsidRDefault="009F0928">
            <w:pPr>
              <w:rPr>
                <w:rFonts w:ascii="Times New Roman" w:hAnsi="Times New Roman"/>
                <w:sz w:val="20"/>
                <w:szCs w:val="20"/>
              </w:rPr>
            </w:pPr>
          </w:p>
        </w:tc>
        <w:tc>
          <w:tcPr>
            <w:tcW w:w="50" w:type="pct"/>
            <w:shd w:val="clear" w:color="auto" w:fill="auto"/>
            <w:vAlign w:val="center"/>
          </w:tcPr>
          <w:p w14:paraId="0BC997D6" w14:textId="77777777" w:rsidR="009F0928" w:rsidRDefault="009F0928">
            <w:pPr>
              <w:rPr>
                <w:rFonts w:ascii="Times New Roman" w:hAnsi="Times New Roman"/>
                <w:sz w:val="20"/>
                <w:szCs w:val="20"/>
              </w:rPr>
            </w:pPr>
          </w:p>
        </w:tc>
        <w:tc>
          <w:tcPr>
            <w:tcW w:w="50" w:type="pct"/>
            <w:shd w:val="clear" w:color="auto" w:fill="auto"/>
            <w:vAlign w:val="center"/>
          </w:tcPr>
          <w:p w14:paraId="0BC997D7" w14:textId="77777777" w:rsidR="009F0928" w:rsidRDefault="009F0928">
            <w:pPr>
              <w:rPr>
                <w:rFonts w:ascii="Times New Roman" w:hAnsi="Times New Roman"/>
                <w:sz w:val="20"/>
                <w:szCs w:val="20"/>
              </w:rPr>
            </w:pPr>
          </w:p>
        </w:tc>
        <w:tc>
          <w:tcPr>
            <w:tcW w:w="550" w:type="pct"/>
            <w:shd w:val="clear" w:color="auto" w:fill="auto"/>
            <w:vAlign w:val="center"/>
          </w:tcPr>
          <w:p w14:paraId="0BC997D8" w14:textId="77777777" w:rsidR="009F0928" w:rsidRDefault="009F0928">
            <w:pPr>
              <w:rPr>
                <w:rFonts w:ascii="Times New Roman" w:hAnsi="Times New Roman"/>
                <w:sz w:val="20"/>
                <w:szCs w:val="20"/>
              </w:rPr>
            </w:pPr>
          </w:p>
        </w:tc>
        <w:tc>
          <w:tcPr>
            <w:tcW w:w="50" w:type="pct"/>
            <w:shd w:val="clear" w:color="auto" w:fill="auto"/>
            <w:vAlign w:val="center"/>
          </w:tcPr>
          <w:p w14:paraId="0BC997D9" w14:textId="77777777" w:rsidR="009F0928" w:rsidRDefault="009F0928">
            <w:pPr>
              <w:rPr>
                <w:rFonts w:ascii="Times New Roman" w:hAnsi="Times New Roman"/>
                <w:sz w:val="20"/>
                <w:szCs w:val="20"/>
              </w:rPr>
            </w:pPr>
          </w:p>
        </w:tc>
        <w:tc>
          <w:tcPr>
            <w:tcW w:w="50" w:type="pct"/>
            <w:shd w:val="clear" w:color="auto" w:fill="auto"/>
            <w:vAlign w:val="center"/>
          </w:tcPr>
          <w:p w14:paraId="0BC997DA" w14:textId="77777777" w:rsidR="009F0928" w:rsidRDefault="009F0928">
            <w:pPr>
              <w:rPr>
                <w:rFonts w:ascii="Times New Roman" w:hAnsi="Times New Roman"/>
                <w:sz w:val="20"/>
                <w:szCs w:val="20"/>
              </w:rPr>
            </w:pPr>
          </w:p>
        </w:tc>
        <w:tc>
          <w:tcPr>
            <w:tcW w:w="50" w:type="pct"/>
            <w:shd w:val="clear" w:color="auto" w:fill="auto"/>
            <w:vAlign w:val="center"/>
          </w:tcPr>
          <w:p w14:paraId="0BC997DB" w14:textId="77777777" w:rsidR="009F0928" w:rsidRDefault="009F0928">
            <w:pPr>
              <w:rPr>
                <w:rFonts w:ascii="Times New Roman" w:hAnsi="Times New Roman"/>
                <w:sz w:val="20"/>
                <w:szCs w:val="20"/>
              </w:rPr>
            </w:pPr>
          </w:p>
        </w:tc>
        <w:tc>
          <w:tcPr>
            <w:tcW w:w="550" w:type="pct"/>
            <w:shd w:val="clear" w:color="auto" w:fill="auto"/>
            <w:vAlign w:val="center"/>
          </w:tcPr>
          <w:p w14:paraId="0BC997DC" w14:textId="77777777" w:rsidR="009F0928" w:rsidRDefault="009F0928">
            <w:pPr>
              <w:rPr>
                <w:rFonts w:ascii="Times New Roman" w:hAnsi="Times New Roman"/>
                <w:sz w:val="20"/>
                <w:szCs w:val="20"/>
              </w:rPr>
            </w:pPr>
          </w:p>
        </w:tc>
        <w:tc>
          <w:tcPr>
            <w:tcW w:w="50" w:type="pct"/>
            <w:shd w:val="clear" w:color="auto" w:fill="auto"/>
            <w:vAlign w:val="center"/>
          </w:tcPr>
          <w:p w14:paraId="0BC997DD" w14:textId="77777777" w:rsidR="009F0928" w:rsidRDefault="009F0928">
            <w:pPr>
              <w:rPr>
                <w:rFonts w:ascii="Times New Roman" w:hAnsi="Times New Roman"/>
                <w:sz w:val="20"/>
                <w:szCs w:val="20"/>
              </w:rPr>
            </w:pPr>
          </w:p>
        </w:tc>
      </w:tr>
      <w:tr w:rsidR="009F0928" w14:paraId="0BC997E1" w14:textId="77777777">
        <w:tc>
          <w:tcPr>
            <w:tcW w:w="0" w:type="auto"/>
            <w:shd w:val="clear" w:color="auto" w:fill="auto"/>
            <w:tcMar>
              <w:top w:w="40" w:type="dxa"/>
              <w:left w:w="40" w:type="dxa"/>
              <w:bottom w:w="40" w:type="dxa"/>
              <w:right w:w="40" w:type="dxa"/>
            </w:tcMar>
            <w:vAlign w:val="bottom"/>
          </w:tcPr>
          <w:p w14:paraId="0BC997DF"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0BC997E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 2018</w:t>
            </w:r>
          </w:p>
        </w:tc>
      </w:tr>
      <w:tr w:rsidR="009F0928" w14:paraId="0BC997F1" w14:textId="77777777">
        <w:tc>
          <w:tcPr>
            <w:tcW w:w="0" w:type="auto"/>
            <w:shd w:val="clear" w:color="auto" w:fill="auto"/>
            <w:tcMar>
              <w:top w:w="40" w:type="dxa"/>
              <w:left w:w="40" w:type="dxa"/>
              <w:bottom w:w="40" w:type="dxa"/>
              <w:right w:w="40" w:type="dxa"/>
            </w:tcMar>
            <w:vAlign w:val="bottom"/>
          </w:tcPr>
          <w:p w14:paraId="0BC997E2"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7E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Gross</w:t>
            </w:r>
          </w:p>
          <w:p w14:paraId="0BC997E4"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Amortized</w:t>
            </w:r>
          </w:p>
          <w:p w14:paraId="0BC997E5"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Cost</w:t>
            </w:r>
          </w:p>
        </w:tc>
        <w:tc>
          <w:tcPr>
            <w:tcW w:w="0" w:type="auto"/>
            <w:shd w:val="clear" w:color="auto" w:fill="auto"/>
            <w:tcMar>
              <w:top w:w="40" w:type="dxa"/>
              <w:left w:w="40" w:type="dxa"/>
              <w:bottom w:w="40" w:type="dxa"/>
              <w:right w:w="40" w:type="dxa"/>
            </w:tcMar>
            <w:vAlign w:val="bottom"/>
          </w:tcPr>
          <w:p w14:paraId="0BC997E6"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7E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Gross</w:t>
            </w:r>
          </w:p>
          <w:p w14:paraId="0BC997E8"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Unrealized</w:t>
            </w:r>
          </w:p>
          <w:p w14:paraId="0BC997E9"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Gains</w:t>
            </w:r>
          </w:p>
        </w:tc>
        <w:tc>
          <w:tcPr>
            <w:tcW w:w="0" w:type="auto"/>
            <w:shd w:val="clear" w:color="auto" w:fill="auto"/>
            <w:tcMar>
              <w:top w:w="40" w:type="dxa"/>
              <w:left w:w="40" w:type="dxa"/>
              <w:bottom w:w="40" w:type="dxa"/>
              <w:right w:w="40" w:type="dxa"/>
            </w:tcMar>
            <w:vAlign w:val="bottom"/>
          </w:tcPr>
          <w:p w14:paraId="0BC997EA"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7EB"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Gross</w:t>
            </w:r>
          </w:p>
          <w:p w14:paraId="0BC997E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Unrealized</w:t>
            </w:r>
          </w:p>
          <w:p w14:paraId="0BC997E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Losses</w:t>
            </w:r>
          </w:p>
        </w:tc>
        <w:tc>
          <w:tcPr>
            <w:tcW w:w="0" w:type="auto"/>
            <w:shd w:val="clear" w:color="auto" w:fill="auto"/>
            <w:tcMar>
              <w:top w:w="40" w:type="dxa"/>
              <w:left w:w="40" w:type="dxa"/>
              <w:bottom w:w="40" w:type="dxa"/>
              <w:right w:w="40" w:type="dxa"/>
            </w:tcMar>
            <w:vAlign w:val="bottom"/>
          </w:tcPr>
          <w:p w14:paraId="0BC997EE"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7E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Estimated</w:t>
            </w:r>
          </w:p>
          <w:p w14:paraId="0BC997F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Fair Value</w:t>
            </w:r>
          </w:p>
        </w:tc>
      </w:tr>
      <w:tr w:rsidR="009F0928" w14:paraId="0BC997FA" w14:textId="77777777">
        <w:tc>
          <w:tcPr>
            <w:tcW w:w="0" w:type="auto"/>
            <w:shd w:val="clear" w:color="auto" w:fill="E2E2E2"/>
            <w:tcMar>
              <w:top w:w="40" w:type="dxa"/>
              <w:left w:w="40" w:type="dxa"/>
              <w:bottom w:w="40" w:type="dxa"/>
              <w:right w:w="40" w:type="dxa"/>
            </w:tcMar>
            <w:vAlign w:val="bottom"/>
          </w:tcPr>
          <w:p w14:paraId="0BC997F2"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Short-term </w:t>
            </w:r>
            <w:r>
              <w:rPr>
                <w:rFonts w:ascii="Arial" w:eastAsia="宋体" w:hAnsi="Arial" w:cs="Arial"/>
                <w:sz w:val="18"/>
                <w:szCs w:val="18"/>
              </w:rPr>
              <w:t>investments:</w:t>
            </w:r>
          </w:p>
        </w:tc>
        <w:tc>
          <w:tcPr>
            <w:tcW w:w="0" w:type="auto"/>
            <w:gridSpan w:val="3"/>
            <w:shd w:val="clear" w:color="auto" w:fill="E2E2E2"/>
            <w:tcMar>
              <w:top w:w="40" w:type="dxa"/>
              <w:left w:w="40" w:type="dxa"/>
              <w:bottom w:w="40" w:type="dxa"/>
              <w:right w:w="40" w:type="dxa"/>
            </w:tcMar>
            <w:vAlign w:val="bottom"/>
          </w:tcPr>
          <w:p w14:paraId="0BC997F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7F4"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shd w:val="clear" w:color="auto" w:fill="E2E2E2"/>
            <w:tcMar>
              <w:top w:w="40" w:type="dxa"/>
              <w:left w:w="40" w:type="dxa"/>
              <w:bottom w:w="40" w:type="dxa"/>
              <w:right w:w="40" w:type="dxa"/>
            </w:tcMar>
            <w:vAlign w:val="bottom"/>
          </w:tcPr>
          <w:p w14:paraId="0BC997F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7F6"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shd w:val="clear" w:color="auto" w:fill="E2E2E2"/>
            <w:tcMar>
              <w:top w:w="40" w:type="dxa"/>
              <w:left w:w="40" w:type="dxa"/>
              <w:bottom w:w="40" w:type="dxa"/>
              <w:right w:w="40" w:type="dxa"/>
            </w:tcMar>
            <w:vAlign w:val="bottom"/>
          </w:tcPr>
          <w:p w14:paraId="0BC997F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7F8"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shd w:val="clear" w:color="auto" w:fill="E2E2E2"/>
            <w:tcMar>
              <w:top w:w="40" w:type="dxa"/>
              <w:left w:w="40" w:type="dxa"/>
              <w:bottom w:w="40" w:type="dxa"/>
              <w:right w:w="40" w:type="dxa"/>
            </w:tcMar>
            <w:vAlign w:val="bottom"/>
          </w:tcPr>
          <w:p w14:paraId="0BC997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80B" w14:textId="77777777">
        <w:tc>
          <w:tcPr>
            <w:tcW w:w="0" w:type="auto"/>
            <w:shd w:val="clear" w:color="auto" w:fill="auto"/>
            <w:tcMar>
              <w:top w:w="40" w:type="dxa"/>
              <w:left w:w="400" w:type="dxa"/>
              <w:bottom w:w="40" w:type="dxa"/>
              <w:right w:w="40" w:type="dxa"/>
            </w:tcMar>
            <w:vAlign w:val="bottom"/>
          </w:tcPr>
          <w:p w14:paraId="0BC997FB" w14:textId="77777777" w:rsidR="009F0928" w:rsidRDefault="002112BD">
            <w:pPr>
              <w:textAlignment w:val="bottom"/>
              <w:rPr>
                <w:rFonts w:ascii="Times New Roman" w:hAnsi="Times New Roman"/>
                <w:sz w:val="18"/>
                <w:szCs w:val="18"/>
              </w:rPr>
            </w:pPr>
            <w:r>
              <w:rPr>
                <w:rFonts w:ascii="Arial" w:eastAsia="宋体" w:hAnsi="Arial" w:cs="Arial"/>
                <w:sz w:val="18"/>
                <w:szCs w:val="18"/>
              </w:rPr>
              <w:t>Restricted cash</w:t>
            </w:r>
          </w:p>
        </w:tc>
        <w:tc>
          <w:tcPr>
            <w:tcW w:w="0" w:type="auto"/>
            <w:shd w:val="clear" w:color="auto" w:fill="auto"/>
            <w:tcMar>
              <w:top w:w="40" w:type="dxa"/>
              <w:left w:w="40" w:type="dxa"/>
              <w:bottom w:w="40" w:type="dxa"/>
            </w:tcMar>
            <w:vAlign w:val="bottom"/>
          </w:tcPr>
          <w:p w14:paraId="0BC997F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7F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w:t>
            </w:r>
          </w:p>
        </w:tc>
        <w:tc>
          <w:tcPr>
            <w:tcW w:w="0" w:type="auto"/>
            <w:shd w:val="clear" w:color="auto" w:fill="auto"/>
            <w:vAlign w:val="bottom"/>
          </w:tcPr>
          <w:p w14:paraId="0BC997F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7FF"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tcMar>
            <w:vAlign w:val="bottom"/>
          </w:tcPr>
          <w:p w14:paraId="0BC9980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80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80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803"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tcMar>
            <w:vAlign w:val="bottom"/>
          </w:tcPr>
          <w:p w14:paraId="0BC9980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80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80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807"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tcMar>
            <w:vAlign w:val="bottom"/>
          </w:tcPr>
          <w:p w14:paraId="0BC9980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80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w:t>
            </w:r>
          </w:p>
        </w:tc>
        <w:tc>
          <w:tcPr>
            <w:tcW w:w="0" w:type="auto"/>
            <w:shd w:val="clear" w:color="auto" w:fill="auto"/>
            <w:vAlign w:val="bottom"/>
          </w:tcPr>
          <w:p w14:paraId="0BC9980A" w14:textId="77777777" w:rsidR="009F0928" w:rsidRDefault="009F0928">
            <w:pPr>
              <w:textAlignment w:val="bottom"/>
              <w:rPr>
                <w:rFonts w:ascii="Times New Roman" w:hAnsi="Times New Roman"/>
                <w:sz w:val="20"/>
                <w:szCs w:val="20"/>
              </w:rPr>
            </w:pPr>
          </w:p>
        </w:tc>
      </w:tr>
      <w:tr w:rsidR="009F0928" w14:paraId="0BC99818" w14:textId="77777777">
        <w:tc>
          <w:tcPr>
            <w:tcW w:w="0" w:type="auto"/>
            <w:shd w:val="clear" w:color="auto" w:fill="E2E2E2"/>
            <w:tcMar>
              <w:top w:w="40" w:type="dxa"/>
              <w:left w:w="400" w:type="dxa"/>
              <w:bottom w:w="40" w:type="dxa"/>
              <w:right w:w="40" w:type="dxa"/>
            </w:tcMar>
            <w:vAlign w:val="bottom"/>
          </w:tcPr>
          <w:p w14:paraId="0BC9980C" w14:textId="77777777" w:rsidR="009F0928" w:rsidRDefault="002112BD">
            <w:pPr>
              <w:textAlignment w:val="bottom"/>
              <w:rPr>
                <w:rFonts w:ascii="Times New Roman" w:hAnsi="Times New Roman"/>
                <w:sz w:val="18"/>
                <w:szCs w:val="18"/>
              </w:rPr>
            </w:pPr>
            <w:r>
              <w:rPr>
                <w:rFonts w:ascii="Arial" w:eastAsia="宋体" w:hAnsi="Arial" w:cs="Arial"/>
                <w:sz w:val="18"/>
                <w:szCs w:val="18"/>
              </w:rPr>
              <w:t>Corporate debt securities</w:t>
            </w:r>
          </w:p>
        </w:tc>
        <w:tc>
          <w:tcPr>
            <w:tcW w:w="0" w:type="auto"/>
            <w:gridSpan w:val="2"/>
            <w:shd w:val="clear" w:color="auto" w:fill="E2E2E2"/>
            <w:tcMar>
              <w:top w:w="40" w:type="dxa"/>
              <w:left w:w="40" w:type="dxa"/>
              <w:bottom w:w="40" w:type="dxa"/>
            </w:tcMar>
            <w:vAlign w:val="bottom"/>
          </w:tcPr>
          <w:p w14:paraId="0BC9980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2,615</w:t>
            </w:r>
          </w:p>
        </w:tc>
        <w:tc>
          <w:tcPr>
            <w:tcW w:w="0" w:type="auto"/>
            <w:shd w:val="clear" w:color="auto" w:fill="E2E2E2"/>
            <w:vAlign w:val="bottom"/>
          </w:tcPr>
          <w:p w14:paraId="0BC9980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80F"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981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981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812"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981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w:t>
            </w:r>
          </w:p>
        </w:tc>
        <w:tc>
          <w:tcPr>
            <w:tcW w:w="0" w:type="auto"/>
            <w:shd w:val="clear" w:color="auto" w:fill="E2E2E2"/>
            <w:tcMar>
              <w:top w:w="40" w:type="dxa"/>
              <w:bottom w:w="40" w:type="dxa"/>
              <w:right w:w="40" w:type="dxa"/>
            </w:tcMar>
            <w:vAlign w:val="bottom"/>
          </w:tcPr>
          <w:p w14:paraId="0BC9981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9815"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981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2,606</w:t>
            </w:r>
          </w:p>
        </w:tc>
        <w:tc>
          <w:tcPr>
            <w:tcW w:w="0" w:type="auto"/>
            <w:shd w:val="clear" w:color="auto" w:fill="E2E2E2"/>
            <w:vAlign w:val="bottom"/>
          </w:tcPr>
          <w:p w14:paraId="0BC99817" w14:textId="77777777" w:rsidR="009F0928" w:rsidRDefault="009F0928">
            <w:pPr>
              <w:textAlignment w:val="bottom"/>
              <w:rPr>
                <w:rFonts w:ascii="Times New Roman" w:hAnsi="Times New Roman"/>
                <w:sz w:val="20"/>
                <w:szCs w:val="20"/>
              </w:rPr>
            </w:pPr>
          </w:p>
        </w:tc>
      </w:tr>
      <w:tr w:rsidR="009F0928" w14:paraId="0BC99825" w14:textId="77777777">
        <w:tc>
          <w:tcPr>
            <w:tcW w:w="0" w:type="auto"/>
            <w:shd w:val="clear" w:color="auto" w:fill="auto"/>
            <w:tcMar>
              <w:top w:w="40" w:type="dxa"/>
              <w:left w:w="400" w:type="dxa"/>
              <w:bottom w:w="40" w:type="dxa"/>
              <w:right w:w="40" w:type="dxa"/>
            </w:tcMar>
            <w:vAlign w:val="bottom"/>
          </w:tcPr>
          <w:p w14:paraId="0BC99819" w14:textId="77777777" w:rsidR="009F0928" w:rsidRDefault="002112BD">
            <w:pPr>
              <w:textAlignment w:val="bottom"/>
              <w:rPr>
                <w:rFonts w:ascii="Times New Roman" w:hAnsi="Times New Roman"/>
                <w:sz w:val="18"/>
                <w:szCs w:val="18"/>
              </w:rPr>
            </w:pPr>
            <w:r>
              <w:rPr>
                <w:rFonts w:ascii="Arial" w:eastAsia="宋体" w:hAnsi="Arial" w:cs="Arial"/>
                <w:sz w:val="18"/>
                <w:szCs w:val="18"/>
              </w:rPr>
              <w:t>Government and agency securities</w:t>
            </w:r>
          </w:p>
        </w:tc>
        <w:tc>
          <w:tcPr>
            <w:tcW w:w="0" w:type="auto"/>
            <w:gridSpan w:val="2"/>
            <w:shd w:val="clear" w:color="auto" w:fill="auto"/>
            <w:tcMar>
              <w:top w:w="40" w:type="dxa"/>
              <w:left w:w="40" w:type="dxa"/>
              <w:bottom w:w="40" w:type="dxa"/>
            </w:tcMar>
            <w:vAlign w:val="bottom"/>
          </w:tcPr>
          <w:p w14:paraId="0BC9981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90</w:t>
            </w:r>
          </w:p>
        </w:tc>
        <w:tc>
          <w:tcPr>
            <w:tcW w:w="0" w:type="auto"/>
            <w:shd w:val="clear" w:color="auto" w:fill="auto"/>
            <w:vAlign w:val="bottom"/>
          </w:tcPr>
          <w:p w14:paraId="0BC9981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81C"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981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81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81F"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982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82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822"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982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90</w:t>
            </w:r>
          </w:p>
        </w:tc>
        <w:tc>
          <w:tcPr>
            <w:tcW w:w="0" w:type="auto"/>
            <w:shd w:val="clear" w:color="auto" w:fill="auto"/>
            <w:vAlign w:val="bottom"/>
          </w:tcPr>
          <w:p w14:paraId="0BC99824" w14:textId="77777777" w:rsidR="009F0928" w:rsidRDefault="009F0928">
            <w:pPr>
              <w:textAlignment w:val="bottom"/>
              <w:rPr>
                <w:rFonts w:ascii="Times New Roman" w:hAnsi="Times New Roman"/>
                <w:sz w:val="20"/>
                <w:szCs w:val="20"/>
              </w:rPr>
            </w:pPr>
          </w:p>
        </w:tc>
      </w:tr>
      <w:tr w:rsidR="009F0928" w14:paraId="0BC99836" w14:textId="77777777">
        <w:tc>
          <w:tcPr>
            <w:tcW w:w="0" w:type="auto"/>
            <w:shd w:val="clear" w:color="auto" w:fill="E2E2E2"/>
            <w:tcMar>
              <w:top w:w="40" w:type="dxa"/>
              <w:left w:w="40" w:type="dxa"/>
              <w:bottom w:w="40" w:type="dxa"/>
              <w:right w:w="40" w:type="dxa"/>
            </w:tcMar>
            <w:vAlign w:val="bottom"/>
          </w:tcPr>
          <w:p w14:paraId="0BC9982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82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82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2,722</w:t>
            </w:r>
          </w:p>
        </w:tc>
        <w:tc>
          <w:tcPr>
            <w:tcW w:w="0" w:type="auto"/>
            <w:tcBorders>
              <w:top w:val="single" w:sz="8" w:space="0" w:color="000000"/>
              <w:bottom w:val="double" w:sz="6" w:space="0" w:color="000000"/>
            </w:tcBorders>
            <w:shd w:val="clear" w:color="auto" w:fill="E2E2E2"/>
            <w:vAlign w:val="bottom"/>
          </w:tcPr>
          <w:p w14:paraId="0BC9982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82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82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82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vAlign w:val="bottom"/>
          </w:tcPr>
          <w:p w14:paraId="0BC9982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82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82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83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w:t>
            </w:r>
          </w:p>
        </w:tc>
        <w:tc>
          <w:tcPr>
            <w:tcW w:w="0" w:type="auto"/>
            <w:tcBorders>
              <w:top w:val="single" w:sz="8" w:space="0" w:color="000000"/>
              <w:bottom w:val="double" w:sz="6" w:space="0" w:color="000000"/>
            </w:tcBorders>
            <w:shd w:val="clear" w:color="auto" w:fill="E2E2E2"/>
            <w:tcMar>
              <w:top w:w="40" w:type="dxa"/>
              <w:bottom w:w="40" w:type="dxa"/>
              <w:right w:w="40" w:type="dxa"/>
            </w:tcMar>
            <w:vAlign w:val="bottom"/>
          </w:tcPr>
          <w:p w14:paraId="0BC9983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983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83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83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2,713</w:t>
            </w:r>
          </w:p>
        </w:tc>
        <w:tc>
          <w:tcPr>
            <w:tcW w:w="0" w:type="auto"/>
            <w:tcBorders>
              <w:top w:val="single" w:sz="8" w:space="0" w:color="000000"/>
              <w:bottom w:val="double" w:sz="6" w:space="0" w:color="000000"/>
            </w:tcBorders>
            <w:shd w:val="clear" w:color="auto" w:fill="E2E2E2"/>
            <w:vAlign w:val="bottom"/>
          </w:tcPr>
          <w:p w14:paraId="0BC99835" w14:textId="77777777" w:rsidR="009F0928" w:rsidRDefault="009F0928">
            <w:pPr>
              <w:textAlignment w:val="bottom"/>
              <w:rPr>
                <w:rFonts w:ascii="Times New Roman" w:hAnsi="Times New Roman"/>
                <w:sz w:val="20"/>
                <w:szCs w:val="20"/>
              </w:rPr>
            </w:pPr>
          </w:p>
        </w:tc>
      </w:tr>
      <w:tr w:rsidR="009F0928" w14:paraId="0BC9983F" w14:textId="77777777">
        <w:tc>
          <w:tcPr>
            <w:tcW w:w="0" w:type="auto"/>
            <w:shd w:val="clear" w:color="auto" w:fill="auto"/>
            <w:tcMar>
              <w:top w:w="40" w:type="dxa"/>
              <w:left w:w="40" w:type="dxa"/>
              <w:bottom w:w="40" w:type="dxa"/>
              <w:right w:w="40" w:type="dxa"/>
            </w:tcMar>
            <w:vAlign w:val="bottom"/>
          </w:tcPr>
          <w:p w14:paraId="0BC99837" w14:textId="77777777" w:rsidR="009F0928" w:rsidRDefault="002112BD">
            <w:pPr>
              <w:textAlignment w:val="bottom"/>
              <w:rPr>
                <w:rFonts w:ascii="Times New Roman" w:hAnsi="Times New Roman"/>
                <w:sz w:val="18"/>
                <w:szCs w:val="18"/>
              </w:rPr>
            </w:pPr>
            <w:r>
              <w:rPr>
                <w:rFonts w:ascii="Arial" w:eastAsia="宋体" w:hAnsi="Arial" w:cs="Arial"/>
                <w:sz w:val="18"/>
                <w:szCs w:val="18"/>
              </w:rPr>
              <w:t>Long-term investments:</w:t>
            </w:r>
          </w:p>
        </w:tc>
        <w:tc>
          <w:tcPr>
            <w:tcW w:w="0" w:type="auto"/>
            <w:gridSpan w:val="3"/>
            <w:shd w:val="clear" w:color="auto" w:fill="auto"/>
            <w:tcMar>
              <w:top w:w="40" w:type="dxa"/>
              <w:left w:w="40" w:type="dxa"/>
              <w:bottom w:w="40" w:type="dxa"/>
              <w:right w:w="40" w:type="dxa"/>
            </w:tcMar>
            <w:vAlign w:val="bottom"/>
          </w:tcPr>
          <w:p w14:paraId="0BC9983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839"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shd w:val="clear" w:color="auto" w:fill="auto"/>
            <w:tcMar>
              <w:top w:w="40" w:type="dxa"/>
              <w:left w:w="40" w:type="dxa"/>
              <w:bottom w:w="40" w:type="dxa"/>
              <w:right w:w="40" w:type="dxa"/>
            </w:tcMar>
            <w:vAlign w:val="bottom"/>
          </w:tcPr>
          <w:p w14:paraId="0BC998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83B"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shd w:val="clear" w:color="auto" w:fill="auto"/>
            <w:tcMar>
              <w:top w:w="40" w:type="dxa"/>
              <w:left w:w="40" w:type="dxa"/>
              <w:bottom w:w="40" w:type="dxa"/>
              <w:right w:w="40" w:type="dxa"/>
            </w:tcMar>
            <w:vAlign w:val="bottom"/>
          </w:tcPr>
          <w:p w14:paraId="0BC9983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83D"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shd w:val="clear" w:color="auto" w:fill="auto"/>
            <w:tcMar>
              <w:top w:w="40" w:type="dxa"/>
              <w:left w:w="40" w:type="dxa"/>
              <w:bottom w:w="40" w:type="dxa"/>
              <w:right w:w="40" w:type="dxa"/>
            </w:tcMar>
            <w:vAlign w:val="bottom"/>
          </w:tcPr>
          <w:p w14:paraId="0BC9983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84C" w14:textId="77777777">
        <w:tc>
          <w:tcPr>
            <w:tcW w:w="0" w:type="auto"/>
            <w:shd w:val="clear" w:color="auto" w:fill="E2E2E2"/>
            <w:tcMar>
              <w:top w:w="40" w:type="dxa"/>
              <w:left w:w="400" w:type="dxa"/>
              <w:bottom w:w="40" w:type="dxa"/>
              <w:right w:w="40" w:type="dxa"/>
            </w:tcMar>
            <w:vAlign w:val="bottom"/>
          </w:tcPr>
          <w:p w14:paraId="0BC99840" w14:textId="77777777" w:rsidR="009F0928" w:rsidRDefault="002112BD">
            <w:pPr>
              <w:textAlignment w:val="bottom"/>
              <w:rPr>
                <w:rFonts w:ascii="Times New Roman" w:hAnsi="Times New Roman"/>
                <w:sz w:val="18"/>
                <w:szCs w:val="18"/>
              </w:rPr>
            </w:pPr>
            <w:r>
              <w:rPr>
                <w:rFonts w:ascii="Arial" w:eastAsia="宋体" w:hAnsi="Arial" w:cs="Arial"/>
                <w:sz w:val="18"/>
                <w:szCs w:val="18"/>
              </w:rPr>
              <w:t>Corporate debt securities</w:t>
            </w:r>
          </w:p>
        </w:tc>
        <w:tc>
          <w:tcPr>
            <w:tcW w:w="0" w:type="auto"/>
            <w:gridSpan w:val="2"/>
            <w:shd w:val="clear" w:color="auto" w:fill="E2E2E2"/>
            <w:tcMar>
              <w:top w:w="40" w:type="dxa"/>
              <w:left w:w="40" w:type="dxa"/>
              <w:bottom w:w="40" w:type="dxa"/>
            </w:tcMar>
            <w:vAlign w:val="bottom"/>
          </w:tcPr>
          <w:p w14:paraId="0BC9984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3,682</w:t>
            </w:r>
          </w:p>
        </w:tc>
        <w:tc>
          <w:tcPr>
            <w:tcW w:w="0" w:type="auto"/>
            <w:shd w:val="clear" w:color="auto" w:fill="E2E2E2"/>
            <w:vAlign w:val="bottom"/>
          </w:tcPr>
          <w:p w14:paraId="0BC9984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843"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984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w:t>
            </w:r>
          </w:p>
        </w:tc>
        <w:tc>
          <w:tcPr>
            <w:tcW w:w="0" w:type="auto"/>
            <w:shd w:val="clear" w:color="auto" w:fill="E2E2E2"/>
            <w:vAlign w:val="bottom"/>
          </w:tcPr>
          <w:p w14:paraId="0BC9984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846"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984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(48</w:t>
            </w:r>
          </w:p>
        </w:tc>
        <w:tc>
          <w:tcPr>
            <w:tcW w:w="0" w:type="auto"/>
            <w:shd w:val="clear" w:color="auto" w:fill="E2E2E2"/>
            <w:tcMar>
              <w:top w:w="40" w:type="dxa"/>
              <w:bottom w:w="40" w:type="dxa"/>
              <w:right w:w="40" w:type="dxa"/>
            </w:tcMar>
            <w:vAlign w:val="bottom"/>
          </w:tcPr>
          <w:p w14:paraId="0BC9984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9849"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984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3,635</w:t>
            </w:r>
          </w:p>
        </w:tc>
        <w:tc>
          <w:tcPr>
            <w:tcW w:w="0" w:type="auto"/>
            <w:shd w:val="clear" w:color="auto" w:fill="E2E2E2"/>
            <w:vAlign w:val="bottom"/>
          </w:tcPr>
          <w:p w14:paraId="0BC9984B" w14:textId="77777777" w:rsidR="009F0928" w:rsidRDefault="009F0928">
            <w:pPr>
              <w:textAlignment w:val="bottom"/>
              <w:rPr>
                <w:rFonts w:ascii="Times New Roman" w:hAnsi="Times New Roman"/>
                <w:sz w:val="20"/>
                <w:szCs w:val="20"/>
              </w:rPr>
            </w:pPr>
          </w:p>
        </w:tc>
      </w:tr>
      <w:tr w:rsidR="009F0928" w14:paraId="0BC9985D" w14:textId="77777777">
        <w:tc>
          <w:tcPr>
            <w:tcW w:w="0" w:type="auto"/>
            <w:shd w:val="clear" w:color="auto" w:fill="auto"/>
            <w:tcMar>
              <w:top w:w="40" w:type="dxa"/>
              <w:left w:w="40" w:type="dxa"/>
              <w:bottom w:w="40" w:type="dxa"/>
              <w:right w:w="40" w:type="dxa"/>
            </w:tcMar>
            <w:vAlign w:val="bottom"/>
          </w:tcPr>
          <w:p w14:paraId="0BC9984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84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84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3,682</w:t>
            </w:r>
          </w:p>
        </w:tc>
        <w:tc>
          <w:tcPr>
            <w:tcW w:w="0" w:type="auto"/>
            <w:tcBorders>
              <w:top w:val="single" w:sz="8" w:space="0" w:color="000000"/>
              <w:bottom w:val="double" w:sz="6" w:space="0" w:color="000000"/>
            </w:tcBorders>
            <w:shd w:val="clear" w:color="auto" w:fill="auto"/>
            <w:vAlign w:val="bottom"/>
          </w:tcPr>
          <w:p w14:paraId="0BC9985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851"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85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85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w:t>
            </w:r>
          </w:p>
        </w:tc>
        <w:tc>
          <w:tcPr>
            <w:tcW w:w="0" w:type="auto"/>
            <w:tcBorders>
              <w:top w:val="single" w:sz="8" w:space="0" w:color="000000"/>
              <w:bottom w:val="double" w:sz="6" w:space="0" w:color="000000"/>
            </w:tcBorders>
            <w:shd w:val="clear" w:color="auto" w:fill="auto"/>
            <w:vAlign w:val="bottom"/>
          </w:tcPr>
          <w:p w14:paraId="0BC9985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855"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85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85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0BC9985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9859"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85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85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3,635</w:t>
            </w:r>
          </w:p>
        </w:tc>
        <w:tc>
          <w:tcPr>
            <w:tcW w:w="0" w:type="auto"/>
            <w:tcBorders>
              <w:top w:val="single" w:sz="8" w:space="0" w:color="000000"/>
              <w:bottom w:val="double" w:sz="6" w:space="0" w:color="000000"/>
            </w:tcBorders>
            <w:shd w:val="clear" w:color="auto" w:fill="auto"/>
            <w:vAlign w:val="bottom"/>
          </w:tcPr>
          <w:p w14:paraId="0BC9985C" w14:textId="77777777" w:rsidR="009F0928" w:rsidRDefault="009F0928">
            <w:pPr>
              <w:textAlignment w:val="bottom"/>
              <w:rPr>
                <w:rFonts w:ascii="Times New Roman" w:hAnsi="Times New Roman"/>
                <w:sz w:val="20"/>
                <w:szCs w:val="20"/>
              </w:rPr>
            </w:pPr>
          </w:p>
        </w:tc>
      </w:tr>
    </w:tbl>
    <w:p w14:paraId="0BC9985E" w14:textId="77777777" w:rsidR="009F0928" w:rsidRDefault="009F0928">
      <w:pPr>
        <w:spacing w:line="288" w:lineRule="auto"/>
        <w:jc w:val="both"/>
        <w:rPr>
          <w:rFonts w:ascii="Times New Roman" w:hAnsi="Times New Roman"/>
          <w:sz w:val="20"/>
          <w:szCs w:val="20"/>
        </w:rPr>
      </w:pPr>
    </w:p>
    <w:p w14:paraId="0BC9985F" w14:textId="77777777" w:rsidR="009F0928" w:rsidRDefault="009F0928">
      <w:pPr>
        <w:spacing w:line="288" w:lineRule="auto"/>
        <w:ind w:firstLine="720"/>
        <w:jc w:val="both"/>
        <w:rPr>
          <w:rFonts w:ascii="Times New Roman" w:hAnsi="Times New Roman"/>
          <w:sz w:val="20"/>
          <w:szCs w:val="20"/>
        </w:rPr>
      </w:pPr>
    </w:p>
    <w:p w14:paraId="0BC9986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Restricted cash is held primarily in interest bearing accounts for letters of credit primarily related to our global sabbatical program and various lease arrangements. Our fixed-income investments consist of predominantly investment g</w:t>
      </w:r>
      <w:r>
        <w:rPr>
          <w:rFonts w:ascii="Arial" w:eastAsia="宋体" w:hAnsi="Arial" w:cs="Arial"/>
          <w:sz w:val="20"/>
          <w:szCs w:val="20"/>
        </w:rPr>
        <w:t xml:space="preserve">rade corporate debt securities and government and agency securities. The corporate debt and government and agency securities that we invest in are generally deemed to be low risk based on their credit ratings from the major rating agencies. </w:t>
      </w:r>
    </w:p>
    <w:p w14:paraId="0BC99861" w14:textId="77777777" w:rsidR="009F0928" w:rsidRDefault="009F0928">
      <w:pPr>
        <w:spacing w:line="288" w:lineRule="auto"/>
        <w:ind w:firstLine="720"/>
        <w:jc w:val="both"/>
        <w:rPr>
          <w:rFonts w:ascii="Times New Roman" w:hAnsi="Times New Roman"/>
          <w:sz w:val="20"/>
          <w:szCs w:val="20"/>
        </w:rPr>
      </w:pPr>
    </w:p>
    <w:p w14:paraId="0BC9986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longer the duration of these securities, the more susceptible they are to changes in market interest rates and bond yields. As interest rates increase, those securities purchased at a lower yield show a mark-to-market unrealized loss. The unrealized lo</w:t>
      </w:r>
      <w:r>
        <w:rPr>
          <w:rFonts w:ascii="Arial" w:eastAsia="宋体" w:hAnsi="Arial" w:cs="Arial"/>
          <w:sz w:val="20"/>
          <w:szCs w:val="20"/>
        </w:rPr>
        <w:t>sses are due primarily to changes in credit spreads and interest rates. We regularly review investment securities for other-than-temporary impairment using both qualitative and quantitative criteria. We presently do not intend to sell any of the securities</w:t>
      </w:r>
      <w:r>
        <w:rPr>
          <w:rFonts w:ascii="Arial" w:eastAsia="宋体" w:hAnsi="Arial" w:cs="Arial"/>
          <w:sz w:val="20"/>
          <w:szCs w:val="20"/>
        </w:rPr>
        <w:t xml:space="preserve"> in an unrealized loss position and expect to realize the full value of all these investments upon maturity or sale. </w:t>
      </w:r>
    </w:p>
    <w:p w14:paraId="0BC99863" w14:textId="77777777" w:rsidR="009F0928" w:rsidRDefault="009F0928">
      <w:pPr>
        <w:spacing w:line="288" w:lineRule="auto"/>
        <w:ind w:firstLine="720"/>
        <w:jc w:val="both"/>
        <w:rPr>
          <w:rFonts w:ascii="Times New Roman" w:hAnsi="Times New Roman"/>
          <w:sz w:val="20"/>
          <w:szCs w:val="20"/>
        </w:rPr>
      </w:pPr>
    </w:p>
    <w:p w14:paraId="0BC99864" w14:textId="77777777" w:rsidR="009F0928" w:rsidRDefault="002112BD">
      <w:pPr>
        <w:spacing w:line="288" w:lineRule="auto"/>
        <w:ind w:firstLine="720"/>
        <w:rPr>
          <w:rFonts w:ascii="Times New Roman" w:hAnsi="Times New Roman"/>
          <w:sz w:val="20"/>
          <w:szCs w:val="20"/>
        </w:rPr>
      </w:pPr>
      <w:r>
        <w:rPr>
          <w:rFonts w:ascii="Arial" w:eastAsia="宋体" w:hAnsi="Arial" w:cs="Arial"/>
          <w:sz w:val="20"/>
          <w:szCs w:val="20"/>
        </w:rPr>
        <w:t>Investment securities in a continuous loss position for less than 12 months had an estimated fair value of $774 million and an immaterial</w:t>
      </w:r>
      <w:r>
        <w:rPr>
          <w:rFonts w:ascii="Arial" w:eastAsia="宋体" w:hAnsi="Arial" w:cs="Arial"/>
          <w:sz w:val="20"/>
          <w:szCs w:val="20"/>
        </w:rPr>
        <w:t xml:space="preserve"> amount of unrealized losses as of December 31, 2019, and an estimated fair value of $2.9 billion and an immaterial amount of unrealized losses as of December 31, 2018. Investment securities in a continuous loss position for greater than 12 months had an e</w:t>
      </w:r>
      <w:r>
        <w:rPr>
          <w:rFonts w:ascii="Arial" w:eastAsia="宋体" w:hAnsi="Arial" w:cs="Arial"/>
          <w:sz w:val="20"/>
          <w:szCs w:val="20"/>
        </w:rPr>
        <w:t>stimated fair value of $92 million and an immaterial amount of unrealized losses as of December 31, 2019 and an estimated fair value of $2.7 billion and unrealized losses of $41 million December 31, 2018. As of December 31, 2019, these securities had a wei</w:t>
      </w:r>
      <w:r>
        <w:rPr>
          <w:rFonts w:ascii="Arial" w:eastAsia="宋体" w:hAnsi="Arial" w:cs="Arial"/>
          <w:sz w:val="20"/>
          <w:szCs w:val="20"/>
        </w:rPr>
        <w:t xml:space="preserve">ghted average remaining maturity of approximately 2 months. Refer to “Note 17 </w:t>
      </w:r>
      <w:r>
        <w:rPr>
          <w:rFonts w:ascii="Times New Roman" w:eastAsia="宋体" w:hAnsi="Times New Roman"/>
          <w:sz w:val="20"/>
          <w:szCs w:val="20"/>
        </w:rPr>
        <w:t>–</w:t>
      </w:r>
      <w:r>
        <w:rPr>
          <w:rFonts w:ascii="Arial" w:eastAsia="宋体" w:hAnsi="Arial" w:cs="Arial"/>
          <w:sz w:val="20"/>
          <w:szCs w:val="20"/>
        </w:rPr>
        <w:t xml:space="preserve"> Accumulated Other Comprehensive Income” for amounts reclassified to earnings from unrealized gains and losses. </w:t>
      </w:r>
    </w:p>
    <w:p w14:paraId="0BC99865" w14:textId="77777777" w:rsidR="009F0928" w:rsidRDefault="002112BD">
      <w:pPr>
        <w:spacing w:line="288" w:lineRule="auto"/>
        <w:ind w:firstLine="720"/>
        <w:jc w:val="both"/>
        <w:rPr>
          <w:rFonts w:ascii="Times New Roman" w:hAnsi="Times New Roman"/>
          <w:sz w:val="14"/>
          <w:szCs w:val="14"/>
        </w:rPr>
      </w:pPr>
      <w:r>
        <w:rPr>
          <w:rFonts w:ascii="Arial" w:eastAsia="宋体" w:hAnsi="Arial" w:cs="Arial"/>
          <w:sz w:val="14"/>
          <w:szCs w:val="14"/>
        </w:rPr>
        <w:t> </w:t>
      </w:r>
    </w:p>
    <w:p w14:paraId="0BC9986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estimated fair values of our short-term and long-term inve</w:t>
      </w:r>
      <w:r>
        <w:rPr>
          <w:rFonts w:ascii="Arial" w:eastAsia="宋体" w:hAnsi="Arial" w:cs="Arial"/>
          <w:sz w:val="20"/>
          <w:szCs w:val="20"/>
        </w:rPr>
        <w:t xml:space="preserve">stments classified as available-for-sale by date of contractual maturity as of December 31, 2019 are as follows (in millions): </w:t>
      </w:r>
      <w:r>
        <w:rPr>
          <w:rFonts w:ascii="Arial" w:eastAsia="宋体" w:hAnsi="Arial" w:cs="Arial"/>
          <w:sz w:val="14"/>
          <w:szCs w:val="14"/>
        </w:rPr>
        <w:t> </w:t>
      </w:r>
    </w:p>
    <w:tbl>
      <w:tblPr>
        <w:tblW w:w="5000" w:type="pct"/>
        <w:tblCellMar>
          <w:left w:w="0" w:type="dxa"/>
          <w:right w:w="0" w:type="dxa"/>
        </w:tblCellMar>
        <w:tblLook w:val="04A0" w:firstRow="1" w:lastRow="0" w:firstColumn="1" w:lastColumn="0" w:noHBand="0" w:noVBand="1"/>
      </w:tblPr>
      <w:tblGrid>
        <w:gridCol w:w="6873"/>
        <w:gridCol w:w="142"/>
        <w:gridCol w:w="1226"/>
        <w:gridCol w:w="65"/>
      </w:tblGrid>
      <w:tr w:rsidR="009F0928" w14:paraId="0BC99868" w14:textId="77777777">
        <w:tc>
          <w:tcPr>
            <w:tcW w:w="0" w:type="auto"/>
            <w:gridSpan w:val="4"/>
            <w:shd w:val="clear" w:color="auto" w:fill="auto"/>
            <w:vAlign w:val="center"/>
          </w:tcPr>
          <w:p w14:paraId="0BC99867" w14:textId="77777777" w:rsidR="009F0928" w:rsidRDefault="009F0928">
            <w:pPr>
              <w:rPr>
                <w:rFonts w:ascii="Times New Roman" w:hAnsi="Times New Roman"/>
                <w:sz w:val="20"/>
                <w:szCs w:val="20"/>
              </w:rPr>
            </w:pPr>
          </w:p>
        </w:tc>
      </w:tr>
      <w:tr w:rsidR="009F0928" w14:paraId="0BC9986D" w14:textId="77777777">
        <w:tc>
          <w:tcPr>
            <w:tcW w:w="4150" w:type="pct"/>
            <w:shd w:val="clear" w:color="auto" w:fill="auto"/>
            <w:vAlign w:val="center"/>
          </w:tcPr>
          <w:p w14:paraId="0BC99869" w14:textId="77777777" w:rsidR="009F0928" w:rsidRDefault="009F0928">
            <w:pPr>
              <w:rPr>
                <w:rFonts w:ascii="Times New Roman" w:hAnsi="Times New Roman"/>
                <w:sz w:val="20"/>
                <w:szCs w:val="20"/>
              </w:rPr>
            </w:pPr>
          </w:p>
        </w:tc>
        <w:tc>
          <w:tcPr>
            <w:tcW w:w="50" w:type="pct"/>
            <w:shd w:val="clear" w:color="auto" w:fill="auto"/>
            <w:vAlign w:val="center"/>
          </w:tcPr>
          <w:p w14:paraId="0BC9986A" w14:textId="77777777" w:rsidR="009F0928" w:rsidRDefault="009F0928">
            <w:pPr>
              <w:rPr>
                <w:rFonts w:ascii="Times New Roman" w:hAnsi="Times New Roman"/>
                <w:sz w:val="20"/>
                <w:szCs w:val="20"/>
              </w:rPr>
            </w:pPr>
          </w:p>
        </w:tc>
        <w:tc>
          <w:tcPr>
            <w:tcW w:w="750" w:type="pct"/>
            <w:shd w:val="clear" w:color="auto" w:fill="auto"/>
            <w:vAlign w:val="center"/>
          </w:tcPr>
          <w:p w14:paraId="0BC9986B" w14:textId="77777777" w:rsidR="009F0928" w:rsidRDefault="009F0928">
            <w:pPr>
              <w:rPr>
                <w:rFonts w:ascii="Times New Roman" w:hAnsi="Times New Roman"/>
                <w:sz w:val="20"/>
                <w:szCs w:val="20"/>
              </w:rPr>
            </w:pPr>
          </w:p>
        </w:tc>
        <w:tc>
          <w:tcPr>
            <w:tcW w:w="50" w:type="pct"/>
            <w:shd w:val="clear" w:color="auto" w:fill="auto"/>
            <w:vAlign w:val="center"/>
          </w:tcPr>
          <w:p w14:paraId="0BC9986C" w14:textId="77777777" w:rsidR="009F0928" w:rsidRDefault="009F0928">
            <w:pPr>
              <w:rPr>
                <w:rFonts w:ascii="Times New Roman" w:hAnsi="Times New Roman"/>
                <w:sz w:val="20"/>
                <w:szCs w:val="20"/>
              </w:rPr>
            </w:pPr>
          </w:p>
        </w:tc>
      </w:tr>
      <w:tr w:rsidR="009F0928" w14:paraId="0BC99870" w14:textId="77777777">
        <w:tc>
          <w:tcPr>
            <w:tcW w:w="0" w:type="auto"/>
            <w:shd w:val="clear" w:color="auto" w:fill="auto"/>
            <w:tcMar>
              <w:top w:w="40" w:type="dxa"/>
              <w:left w:w="40" w:type="dxa"/>
              <w:bottom w:w="40" w:type="dxa"/>
              <w:right w:w="40" w:type="dxa"/>
            </w:tcMar>
            <w:vAlign w:val="bottom"/>
          </w:tcPr>
          <w:p w14:paraId="0BC9986E"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86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 2019</w:t>
            </w:r>
          </w:p>
        </w:tc>
      </w:tr>
      <w:tr w:rsidR="009F0928" w14:paraId="0BC99875" w14:textId="77777777">
        <w:tc>
          <w:tcPr>
            <w:tcW w:w="0" w:type="auto"/>
            <w:shd w:val="clear" w:color="auto" w:fill="E2E2E2"/>
            <w:tcMar>
              <w:top w:w="40" w:type="dxa"/>
              <w:left w:w="40" w:type="dxa"/>
              <w:bottom w:w="40" w:type="dxa"/>
              <w:right w:w="40" w:type="dxa"/>
            </w:tcMar>
            <w:vAlign w:val="bottom"/>
          </w:tcPr>
          <w:p w14:paraId="0BC99871" w14:textId="77777777" w:rsidR="009F0928" w:rsidRDefault="002112BD">
            <w:pPr>
              <w:textAlignment w:val="bottom"/>
              <w:rPr>
                <w:rFonts w:ascii="Times New Roman" w:hAnsi="Times New Roman"/>
                <w:sz w:val="18"/>
                <w:szCs w:val="18"/>
              </w:rPr>
            </w:pPr>
            <w:r>
              <w:rPr>
                <w:rFonts w:ascii="Arial" w:eastAsia="宋体" w:hAnsi="Arial" w:cs="Arial"/>
                <w:sz w:val="18"/>
                <w:szCs w:val="18"/>
              </w:rPr>
              <w:t>One year or less (including restricted cash of $21)</w:t>
            </w:r>
          </w:p>
        </w:tc>
        <w:tc>
          <w:tcPr>
            <w:tcW w:w="0" w:type="auto"/>
            <w:shd w:val="clear" w:color="auto" w:fill="E2E2E2"/>
            <w:tcMar>
              <w:top w:w="40" w:type="dxa"/>
              <w:left w:w="40" w:type="dxa"/>
              <w:bottom w:w="40" w:type="dxa"/>
            </w:tcMar>
            <w:vAlign w:val="bottom"/>
          </w:tcPr>
          <w:p w14:paraId="0BC9987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87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1,850</w:t>
            </w:r>
          </w:p>
        </w:tc>
        <w:tc>
          <w:tcPr>
            <w:tcW w:w="0" w:type="auto"/>
            <w:shd w:val="clear" w:color="auto" w:fill="E2E2E2"/>
            <w:vAlign w:val="bottom"/>
          </w:tcPr>
          <w:p w14:paraId="0BC99874" w14:textId="77777777" w:rsidR="009F0928" w:rsidRDefault="009F0928">
            <w:pPr>
              <w:textAlignment w:val="bottom"/>
              <w:rPr>
                <w:rFonts w:ascii="Times New Roman" w:hAnsi="Times New Roman"/>
                <w:sz w:val="20"/>
                <w:szCs w:val="20"/>
              </w:rPr>
            </w:pPr>
          </w:p>
        </w:tc>
      </w:tr>
      <w:tr w:rsidR="009F0928" w14:paraId="0BC99879" w14:textId="77777777">
        <w:tc>
          <w:tcPr>
            <w:tcW w:w="0" w:type="auto"/>
            <w:shd w:val="clear" w:color="auto" w:fill="auto"/>
            <w:tcMar>
              <w:top w:w="40" w:type="dxa"/>
              <w:left w:w="40" w:type="dxa"/>
              <w:bottom w:w="40" w:type="dxa"/>
              <w:right w:w="40" w:type="dxa"/>
            </w:tcMar>
            <w:vAlign w:val="bottom"/>
          </w:tcPr>
          <w:p w14:paraId="0BC99876" w14:textId="77777777" w:rsidR="009F0928" w:rsidRDefault="002112BD">
            <w:pPr>
              <w:textAlignment w:val="bottom"/>
              <w:rPr>
                <w:rFonts w:ascii="Times New Roman" w:hAnsi="Times New Roman"/>
                <w:sz w:val="18"/>
                <w:szCs w:val="18"/>
              </w:rPr>
            </w:pPr>
            <w:r>
              <w:rPr>
                <w:rFonts w:ascii="Arial" w:eastAsia="宋体" w:hAnsi="Arial" w:cs="Arial"/>
                <w:sz w:val="18"/>
                <w:szCs w:val="18"/>
              </w:rPr>
              <w:t>One year through two years</w:t>
            </w:r>
          </w:p>
        </w:tc>
        <w:tc>
          <w:tcPr>
            <w:tcW w:w="0" w:type="auto"/>
            <w:gridSpan w:val="2"/>
            <w:shd w:val="clear" w:color="auto" w:fill="auto"/>
            <w:tcMar>
              <w:top w:w="40" w:type="dxa"/>
              <w:left w:w="40" w:type="dxa"/>
              <w:bottom w:w="40" w:type="dxa"/>
            </w:tcMar>
            <w:vAlign w:val="bottom"/>
          </w:tcPr>
          <w:p w14:paraId="0BC9987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676</w:t>
            </w:r>
          </w:p>
        </w:tc>
        <w:tc>
          <w:tcPr>
            <w:tcW w:w="0" w:type="auto"/>
            <w:shd w:val="clear" w:color="auto" w:fill="auto"/>
            <w:vAlign w:val="bottom"/>
          </w:tcPr>
          <w:p w14:paraId="0BC99878" w14:textId="77777777" w:rsidR="009F0928" w:rsidRDefault="009F0928">
            <w:pPr>
              <w:textAlignment w:val="bottom"/>
              <w:rPr>
                <w:rFonts w:ascii="Times New Roman" w:hAnsi="Times New Roman"/>
                <w:sz w:val="20"/>
                <w:szCs w:val="20"/>
              </w:rPr>
            </w:pPr>
          </w:p>
        </w:tc>
      </w:tr>
      <w:tr w:rsidR="009F0928" w14:paraId="0BC9987D" w14:textId="77777777">
        <w:tc>
          <w:tcPr>
            <w:tcW w:w="0" w:type="auto"/>
            <w:shd w:val="clear" w:color="auto" w:fill="E2E2E2"/>
            <w:tcMar>
              <w:top w:w="40" w:type="dxa"/>
              <w:bottom w:w="40" w:type="dxa"/>
            </w:tcMar>
            <w:vAlign w:val="bottom"/>
          </w:tcPr>
          <w:p w14:paraId="0BC9987A" w14:textId="77777777" w:rsidR="009F0928" w:rsidRDefault="002112BD">
            <w:pPr>
              <w:textAlignment w:val="bottom"/>
              <w:rPr>
                <w:rFonts w:ascii="Times New Roman" w:hAnsi="Times New Roman"/>
                <w:sz w:val="18"/>
                <w:szCs w:val="18"/>
              </w:rPr>
            </w:pPr>
            <w:r>
              <w:rPr>
                <w:rFonts w:ascii="Arial" w:eastAsia="宋体" w:hAnsi="Arial" w:cs="Arial"/>
                <w:sz w:val="18"/>
                <w:szCs w:val="18"/>
              </w:rPr>
              <w:t>Two years through three years</w:t>
            </w:r>
          </w:p>
        </w:tc>
        <w:tc>
          <w:tcPr>
            <w:tcW w:w="0" w:type="auto"/>
            <w:gridSpan w:val="2"/>
            <w:shd w:val="clear" w:color="auto" w:fill="E2E2E2"/>
            <w:tcMar>
              <w:top w:w="40" w:type="dxa"/>
              <w:left w:w="40" w:type="dxa"/>
              <w:bottom w:w="40" w:type="dxa"/>
            </w:tcMar>
            <w:vAlign w:val="bottom"/>
          </w:tcPr>
          <w:p w14:paraId="0BC9987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198</w:t>
            </w:r>
          </w:p>
        </w:tc>
        <w:tc>
          <w:tcPr>
            <w:tcW w:w="0" w:type="auto"/>
            <w:shd w:val="clear" w:color="auto" w:fill="E2E2E2"/>
            <w:vAlign w:val="bottom"/>
          </w:tcPr>
          <w:p w14:paraId="0BC9987C" w14:textId="77777777" w:rsidR="009F0928" w:rsidRDefault="009F0928">
            <w:pPr>
              <w:textAlignment w:val="bottom"/>
              <w:rPr>
                <w:rFonts w:ascii="Times New Roman" w:hAnsi="Times New Roman"/>
                <w:sz w:val="20"/>
                <w:szCs w:val="20"/>
              </w:rPr>
            </w:pPr>
          </w:p>
        </w:tc>
      </w:tr>
      <w:tr w:rsidR="009F0928" w14:paraId="0BC99881" w14:textId="77777777">
        <w:tc>
          <w:tcPr>
            <w:tcW w:w="0" w:type="auto"/>
            <w:shd w:val="clear" w:color="auto" w:fill="auto"/>
            <w:tcMar>
              <w:top w:w="40" w:type="dxa"/>
              <w:left w:w="40" w:type="dxa"/>
              <w:bottom w:w="40" w:type="dxa"/>
              <w:right w:w="40" w:type="dxa"/>
            </w:tcMar>
            <w:vAlign w:val="bottom"/>
          </w:tcPr>
          <w:p w14:paraId="0BC9987E" w14:textId="77777777" w:rsidR="009F0928" w:rsidRDefault="002112BD">
            <w:pPr>
              <w:textAlignment w:val="bottom"/>
              <w:rPr>
                <w:rFonts w:ascii="Times New Roman" w:hAnsi="Times New Roman"/>
                <w:sz w:val="18"/>
                <w:szCs w:val="18"/>
              </w:rPr>
            </w:pPr>
            <w:r>
              <w:rPr>
                <w:rFonts w:ascii="Arial" w:eastAsia="宋体" w:hAnsi="Arial" w:cs="Arial"/>
                <w:sz w:val="18"/>
                <w:szCs w:val="18"/>
              </w:rPr>
              <w:t>Three years through four years</w:t>
            </w:r>
          </w:p>
        </w:tc>
        <w:tc>
          <w:tcPr>
            <w:tcW w:w="0" w:type="auto"/>
            <w:gridSpan w:val="2"/>
            <w:shd w:val="clear" w:color="auto" w:fill="auto"/>
            <w:tcMar>
              <w:top w:w="40" w:type="dxa"/>
              <w:left w:w="40" w:type="dxa"/>
              <w:bottom w:w="40" w:type="dxa"/>
            </w:tcMar>
            <w:vAlign w:val="bottom"/>
          </w:tcPr>
          <w:p w14:paraId="0BC9987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87</w:t>
            </w:r>
          </w:p>
        </w:tc>
        <w:tc>
          <w:tcPr>
            <w:tcW w:w="0" w:type="auto"/>
            <w:shd w:val="clear" w:color="auto" w:fill="auto"/>
            <w:vAlign w:val="bottom"/>
          </w:tcPr>
          <w:p w14:paraId="0BC99880" w14:textId="77777777" w:rsidR="009F0928" w:rsidRDefault="009F0928">
            <w:pPr>
              <w:textAlignment w:val="bottom"/>
              <w:rPr>
                <w:rFonts w:ascii="Times New Roman" w:hAnsi="Times New Roman"/>
                <w:sz w:val="20"/>
                <w:szCs w:val="20"/>
              </w:rPr>
            </w:pPr>
          </w:p>
        </w:tc>
      </w:tr>
      <w:tr w:rsidR="009F0928" w14:paraId="0BC99886" w14:textId="77777777">
        <w:tc>
          <w:tcPr>
            <w:tcW w:w="0" w:type="auto"/>
            <w:shd w:val="clear" w:color="auto" w:fill="E2E2E2"/>
            <w:tcMar>
              <w:top w:w="40" w:type="dxa"/>
              <w:left w:w="400" w:type="dxa"/>
              <w:bottom w:w="40" w:type="dxa"/>
              <w:right w:w="40" w:type="dxa"/>
            </w:tcMar>
            <w:vAlign w:val="bottom"/>
          </w:tcPr>
          <w:p w14:paraId="0BC99882" w14:textId="77777777" w:rsidR="009F0928" w:rsidRDefault="002112BD">
            <w:pPr>
              <w:textAlignment w:val="bottom"/>
              <w:rPr>
                <w:rFonts w:ascii="Times New Roman" w:hAnsi="Times New Roman"/>
                <w:sz w:val="18"/>
                <w:szCs w:val="18"/>
              </w:rPr>
            </w:pPr>
            <w:r>
              <w:rPr>
                <w:rFonts w:ascii="Arial" w:eastAsia="宋体" w:hAnsi="Arial" w:cs="Arial"/>
                <w:sz w:val="18"/>
                <w:szCs w:val="18"/>
              </w:rPr>
              <w:t>Total</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88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88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2,811</w:t>
            </w:r>
          </w:p>
        </w:tc>
        <w:tc>
          <w:tcPr>
            <w:tcW w:w="0" w:type="auto"/>
            <w:tcBorders>
              <w:top w:val="single" w:sz="8" w:space="0" w:color="000000"/>
              <w:bottom w:val="double" w:sz="6" w:space="0" w:color="000000"/>
            </w:tcBorders>
            <w:shd w:val="clear" w:color="auto" w:fill="E2E2E2"/>
            <w:vAlign w:val="bottom"/>
          </w:tcPr>
          <w:p w14:paraId="0BC99885" w14:textId="77777777" w:rsidR="009F0928" w:rsidRDefault="009F0928">
            <w:pPr>
              <w:textAlignment w:val="bottom"/>
              <w:rPr>
                <w:rFonts w:ascii="Times New Roman" w:hAnsi="Times New Roman"/>
                <w:sz w:val="20"/>
                <w:szCs w:val="20"/>
              </w:rPr>
            </w:pPr>
          </w:p>
        </w:tc>
      </w:tr>
    </w:tbl>
    <w:p w14:paraId="0BC99887" w14:textId="77777777" w:rsidR="009F0928" w:rsidRDefault="009F0928">
      <w:pPr>
        <w:spacing w:line="288" w:lineRule="auto"/>
        <w:jc w:val="both"/>
        <w:rPr>
          <w:rFonts w:ascii="Times New Roman" w:hAnsi="Times New Roman"/>
          <w:sz w:val="20"/>
          <w:szCs w:val="20"/>
        </w:rPr>
      </w:pPr>
    </w:p>
    <w:p w14:paraId="0BC99888" w14:textId="77777777" w:rsidR="009F0928" w:rsidRDefault="009F0928">
      <w:pPr>
        <w:spacing w:line="288" w:lineRule="auto"/>
        <w:rPr>
          <w:rFonts w:ascii="Times New Roman" w:hAnsi="Times New Roman"/>
          <w:sz w:val="20"/>
          <w:szCs w:val="20"/>
        </w:rPr>
      </w:pPr>
    </w:p>
    <w:p w14:paraId="0BC99889" w14:textId="77777777" w:rsidR="009F0928" w:rsidRDefault="002112BD">
      <w:pPr>
        <w:spacing w:line="288" w:lineRule="auto"/>
        <w:rPr>
          <w:rFonts w:ascii="Times New Roman" w:hAnsi="Times New Roman"/>
          <w:sz w:val="20"/>
          <w:szCs w:val="20"/>
        </w:rPr>
      </w:pPr>
      <w:r>
        <w:rPr>
          <w:rFonts w:ascii="Arial" w:eastAsia="宋体" w:hAnsi="Arial" w:cs="Arial"/>
          <w:b/>
          <w:bCs/>
          <w:i/>
          <w:iCs/>
          <w:sz w:val="20"/>
          <w:szCs w:val="20"/>
        </w:rPr>
        <w:t xml:space="preserve">Equity Investments </w:t>
      </w:r>
    </w:p>
    <w:p w14:paraId="0BC9988A" w14:textId="77777777" w:rsidR="009F0928" w:rsidRDefault="009F0928">
      <w:pPr>
        <w:spacing w:line="288" w:lineRule="auto"/>
        <w:ind w:firstLine="640"/>
        <w:rPr>
          <w:rFonts w:ascii="Times New Roman" w:hAnsi="Times New Roman"/>
          <w:sz w:val="20"/>
          <w:szCs w:val="20"/>
        </w:rPr>
      </w:pPr>
    </w:p>
    <w:p w14:paraId="0BC9988B" w14:textId="77777777" w:rsidR="009F0928" w:rsidRDefault="002112BD">
      <w:pPr>
        <w:spacing w:line="288" w:lineRule="auto"/>
        <w:ind w:firstLine="640"/>
        <w:jc w:val="both"/>
        <w:rPr>
          <w:rFonts w:ascii="Times New Roman" w:hAnsi="Times New Roman"/>
          <w:sz w:val="20"/>
          <w:szCs w:val="20"/>
        </w:rPr>
      </w:pPr>
      <w:r>
        <w:rPr>
          <w:rFonts w:ascii="Arial" w:eastAsia="宋体" w:hAnsi="Arial" w:cs="Arial"/>
          <w:sz w:val="20"/>
          <w:szCs w:val="20"/>
        </w:rPr>
        <w:t xml:space="preserve">Our equity investments are reported in long-term investments on our consolidated balance sheet. The following table provides a summary of our </w:t>
      </w:r>
      <w:r>
        <w:rPr>
          <w:rFonts w:ascii="Arial" w:eastAsia="宋体" w:hAnsi="Arial" w:cs="Arial"/>
          <w:sz w:val="20"/>
          <w:szCs w:val="20"/>
        </w:rPr>
        <w:t>equity investments as of December 31, 2019 and December 31, 2018 (in millions):</w:t>
      </w:r>
    </w:p>
    <w:tbl>
      <w:tblPr>
        <w:tblW w:w="5000" w:type="pct"/>
        <w:tblCellMar>
          <w:left w:w="0" w:type="dxa"/>
          <w:right w:w="0" w:type="dxa"/>
        </w:tblCellMar>
        <w:tblLook w:val="04A0" w:firstRow="1" w:lastRow="0" w:firstColumn="1" w:lastColumn="0" w:noHBand="0" w:noVBand="1"/>
      </w:tblPr>
      <w:tblGrid>
        <w:gridCol w:w="5361"/>
        <w:gridCol w:w="142"/>
        <w:gridCol w:w="1208"/>
        <w:gridCol w:w="65"/>
        <w:gridCol w:w="130"/>
        <w:gridCol w:w="142"/>
        <w:gridCol w:w="1193"/>
        <w:gridCol w:w="65"/>
      </w:tblGrid>
      <w:tr w:rsidR="009F0928" w14:paraId="0BC9988D" w14:textId="77777777">
        <w:tc>
          <w:tcPr>
            <w:tcW w:w="0" w:type="auto"/>
            <w:gridSpan w:val="8"/>
            <w:shd w:val="clear" w:color="auto" w:fill="auto"/>
            <w:vAlign w:val="center"/>
          </w:tcPr>
          <w:p w14:paraId="0BC9988C" w14:textId="77777777" w:rsidR="009F0928" w:rsidRDefault="009F0928">
            <w:pPr>
              <w:rPr>
                <w:rFonts w:ascii="Times New Roman" w:hAnsi="Times New Roman"/>
                <w:sz w:val="20"/>
                <w:szCs w:val="20"/>
              </w:rPr>
            </w:pPr>
          </w:p>
        </w:tc>
      </w:tr>
      <w:tr w:rsidR="009F0928" w14:paraId="0BC99896" w14:textId="77777777">
        <w:tc>
          <w:tcPr>
            <w:tcW w:w="3250" w:type="pct"/>
            <w:shd w:val="clear" w:color="auto" w:fill="auto"/>
            <w:vAlign w:val="center"/>
          </w:tcPr>
          <w:p w14:paraId="0BC9988E" w14:textId="77777777" w:rsidR="009F0928" w:rsidRDefault="009F0928">
            <w:pPr>
              <w:rPr>
                <w:rFonts w:ascii="Times New Roman" w:hAnsi="Times New Roman"/>
                <w:sz w:val="20"/>
                <w:szCs w:val="20"/>
              </w:rPr>
            </w:pPr>
          </w:p>
        </w:tc>
        <w:tc>
          <w:tcPr>
            <w:tcW w:w="50" w:type="pct"/>
            <w:shd w:val="clear" w:color="auto" w:fill="auto"/>
            <w:vAlign w:val="center"/>
          </w:tcPr>
          <w:p w14:paraId="0BC9988F" w14:textId="77777777" w:rsidR="009F0928" w:rsidRDefault="009F0928">
            <w:pPr>
              <w:rPr>
                <w:rFonts w:ascii="Times New Roman" w:hAnsi="Times New Roman"/>
                <w:sz w:val="20"/>
                <w:szCs w:val="20"/>
              </w:rPr>
            </w:pPr>
          </w:p>
        </w:tc>
        <w:tc>
          <w:tcPr>
            <w:tcW w:w="750" w:type="pct"/>
            <w:shd w:val="clear" w:color="auto" w:fill="auto"/>
            <w:vAlign w:val="center"/>
          </w:tcPr>
          <w:p w14:paraId="0BC99890" w14:textId="77777777" w:rsidR="009F0928" w:rsidRDefault="009F0928">
            <w:pPr>
              <w:rPr>
                <w:rFonts w:ascii="Times New Roman" w:hAnsi="Times New Roman"/>
                <w:sz w:val="20"/>
                <w:szCs w:val="20"/>
              </w:rPr>
            </w:pPr>
          </w:p>
        </w:tc>
        <w:tc>
          <w:tcPr>
            <w:tcW w:w="50" w:type="pct"/>
            <w:shd w:val="clear" w:color="auto" w:fill="auto"/>
            <w:vAlign w:val="center"/>
          </w:tcPr>
          <w:p w14:paraId="0BC99891" w14:textId="77777777" w:rsidR="009F0928" w:rsidRDefault="009F0928">
            <w:pPr>
              <w:rPr>
                <w:rFonts w:ascii="Times New Roman" w:hAnsi="Times New Roman"/>
                <w:sz w:val="20"/>
                <w:szCs w:val="20"/>
              </w:rPr>
            </w:pPr>
          </w:p>
        </w:tc>
        <w:tc>
          <w:tcPr>
            <w:tcW w:w="50" w:type="pct"/>
            <w:shd w:val="clear" w:color="auto" w:fill="auto"/>
            <w:vAlign w:val="center"/>
          </w:tcPr>
          <w:p w14:paraId="0BC99892" w14:textId="77777777" w:rsidR="009F0928" w:rsidRDefault="009F0928">
            <w:pPr>
              <w:rPr>
                <w:rFonts w:ascii="Times New Roman" w:hAnsi="Times New Roman"/>
                <w:sz w:val="20"/>
                <w:szCs w:val="20"/>
              </w:rPr>
            </w:pPr>
          </w:p>
        </w:tc>
        <w:tc>
          <w:tcPr>
            <w:tcW w:w="50" w:type="pct"/>
            <w:shd w:val="clear" w:color="auto" w:fill="auto"/>
            <w:vAlign w:val="center"/>
          </w:tcPr>
          <w:p w14:paraId="0BC99893" w14:textId="77777777" w:rsidR="009F0928" w:rsidRDefault="009F0928">
            <w:pPr>
              <w:rPr>
                <w:rFonts w:ascii="Times New Roman" w:hAnsi="Times New Roman"/>
                <w:sz w:val="20"/>
                <w:szCs w:val="20"/>
              </w:rPr>
            </w:pPr>
          </w:p>
        </w:tc>
        <w:tc>
          <w:tcPr>
            <w:tcW w:w="750" w:type="pct"/>
            <w:shd w:val="clear" w:color="auto" w:fill="auto"/>
            <w:vAlign w:val="center"/>
          </w:tcPr>
          <w:p w14:paraId="0BC99894" w14:textId="77777777" w:rsidR="009F0928" w:rsidRDefault="009F0928">
            <w:pPr>
              <w:rPr>
                <w:rFonts w:ascii="Times New Roman" w:hAnsi="Times New Roman"/>
                <w:sz w:val="20"/>
                <w:szCs w:val="20"/>
              </w:rPr>
            </w:pPr>
          </w:p>
        </w:tc>
        <w:tc>
          <w:tcPr>
            <w:tcW w:w="50" w:type="pct"/>
            <w:shd w:val="clear" w:color="auto" w:fill="auto"/>
            <w:vAlign w:val="center"/>
          </w:tcPr>
          <w:p w14:paraId="0BC99895" w14:textId="77777777" w:rsidR="009F0928" w:rsidRDefault="009F0928">
            <w:pPr>
              <w:rPr>
                <w:rFonts w:ascii="Times New Roman" w:hAnsi="Times New Roman"/>
                <w:sz w:val="20"/>
                <w:szCs w:val="20"/>
              </w:rPr>
            </w:pPr>
          </w:p>
        </w:tc>
      </w:tr>
      <w:tr w:rsidR="009F0928" w14:paraId="0BC9989B" w14:textId="77777777">
        <w:tc>
          <w:tcPr>
            <w:tcW w:w="0" w:type="auto"/>
            <w:shd w:val="clear" w:color="auto" w:fill="auto"/>
            <w:tcMar>
              <w:top w:w="40" w:type="dxa"/>
              <w:left w:w="40" w:type="dxa"/>
              <w:bottom w:w="40" w:type="dxa"/>
              <w:right w:w="40" w:type="dxa"/>
            </w:tcMar>
            <w:vAlign w:val="bottom"/>
          </w:tcPr>
          <w:p w14:paraId="0BC99897"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898"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 2019</w:t>
            </w:r>
          </w:p>
        </w:tc>
        <w:tc>
          <w:tcPr>
            <w:tcW w:w="0" w:type="auto"/>
            <w:shd w:val="clear" w:color="auto" w:fill="auto"/>
            <w:tcMar>
              <w:top w:w="40" w:type="dxa"/>
              <w:left w:w="40" w:type="dxa"/>
              <w:bottom w:w="40" w:type="dxa"/>
              <w:right w:w="40" w:type="dxa"/>
            </w:tcMar>
            <w:vAlign w:val="bottom"/>
          </w:tcPr>
          <w:p w14:paraId="0BC9989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89A"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 2018</w:t>
            </w:r>
          </w:p>
        </w:tc>
      </w:tr>
      <w:tr w:rsidR="009F0928" w14:paraId="0BC998A4" w14:textId="77777777">
        <w:tc>
          <w:tcPr>
            <w:tcW w:w="0" w:type="auto"/>
            <w:shd w:val="clear" w:color="auto" w:fill="E2E2E2"/>
            <w:tcMar>
              <w:top w:w="40" w:type="dxa"/>
              <w:left w:w="40" w:type="dxa"/>
              <w:bottom w:w="40" w:type="dxa"/>
              <w:right w:w="40" w:type="dxa"/>
            </w:tcMar>
            <w:vAlign w:val="bottom"/>
          </w:tcPr>
          <w:p w14:paraId="0BC9989C" w14:textId="77777777" w:rsidR="009F0928" w:rsidRDefault="002112BD">
            <w:pPr>
              <w:textAlignment w:val="bottom"/>
              <w:rPr>
                <w:rFonts w:ascii="Times New Roman" w:hAnsi="Times New Roman"/>
                <w:sz w:val="18"/>
                <w:szCs w:val="18"/>
              </w:rPr>
            </w:pPr>
            <w:r>
              <w:rPr>
                <w:rFonts w:ascii="Arial" w:eastAsia="宋体" w:hAnsi="Arial" w:cs="Arial"/>
                <w:sz w:val="18"/>
                <w:szCs w:val="18"/>
              </w:rPr>
              <w:t>Equity investments without readily determinable fair values</w:t>
            </w:r>
          </w:p>
        </w:tc>
        <w:tc>
          <w:tcPr>
            <w:tcW w:w="0" w:type="auto"/>
            <w:tcBorders>
              <w:top w:val="single" w:sz="8" w:space="0" w:color="000000"/>
            </w:tcBorders>
            <w:shd w:val="clear" w:color="auto" w:fill="E2E2E2"/>
            <w:tcMar>
              <w:top w:w="40" w:type="dxa"/>
              <w:left w:w="40" w:type="dxa"/>
              <w:bottom w:w="40" w:type="dxa"/>
            </w:tcMar>
            <w:vAlign w:val="bottom"/>
          </w:tcPr>
          <w:p w14:paraId="0BC9989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tcMar>
              <w:top w:w="40" w:type="dxa"/>
              <w:bottom w:w="40" w:type="dxa"/>
            </w:tcMar>
            <w:vAlign w:val="bottom"/>
          </w:tcPr>
          <w:p w14:paraId="0BC9989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337</w:t>
            </w:r>
          </w:p>
        </w:tc>
        <w:tc>
          <w:tcPr>
            <w:tcW w:w="0" w:type="auto"/>
            <w:tcBorders>
              <w:top w:val="single" w:sz="8" w:space="0" w:color="000000"/>
            </w:tcBorders>
            <w:shd w:val="clear" w:color="auto" w:fill="E2E2E2"/>
            <w:vAlign w:val="bottom"/>
          </w:tcPr>
          <w:p w14:paraId="0BC9989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8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98A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tcMar>
              <w:top w:w="40" w:type="dxa"/>
              <w:bottom w:w="40" w:type="dxa"/>
            </w:tcMar>
            <w:vAlign w:val="bottom"/>
          </w:tcPr>
          <w:p w14:paraId="0BC998A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137</w:t>
            </w:r>
          </w:p>
        </w:tc>
        <w:tc>
          <w:tcPr>
            <w:tcW w:w="0" w:type="auto"/>
            <w:tcBorders>
              <w:top w:val="single" w:sz="8" w:space="0" w:color="000000"/>
            </w:tcBorders>
            <w:shd w:val="clear" w:color="auto" w:fill="E2E2E2"/>
            <w:vAlign w:val="bottom"/>
          </w:tcPr>
          <w:p w14:paraId="0BC998A3" w14:textId="77777777" w:rsidR="009F0928" w:rsidRDefault="009F0928">
            <w:pPr>
              <w:textAlignment w:val="bottom"/>
              <w:rPr>
                <w:rFonts w:ascii="Times New Roman" w:hAnsi="Times New Roman"/>
                <w:sz w:val="20"/>
                <w:szCs w:val="20"/>
              </w:rPr>
            </w:pPr>
          </w:p>
        </w:tc>
      </w:tr>
      <w:tr w:rsidR="009F0928" w14:paraId="0BC998AB" w14:textId="77777777">
        <w:tc>
          <w:tcPr>
            <w:tcW w:w="0" w:type="auto"/>
            <w:shd w:val="clear" w:color="auto" w:fill="auto"/>
            <w:tcMar>
              <w:top w:w="40" w:type="dxa"/>
              <w:left w:w="40" w:type="dxa"/>
              <w:bottom w:w="40" w:type="dxa"/>
              <w:right w:w="40" w:type="dxa"/>
            </w:tcMar>
            <w:vAlign w:val="bottom"/>
          </w:tcPr>
          <w:p w14:paraId="0BC998A5"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Equity investments under the equity </w:t>
            </w:r>
            <w:r>
              <w:rPr>
                <w:rFonts w:ascii="Arial" w:eastAsia="宋体" w:hAnsi="Arial" w:cs="Arial"/>
                <w:sz w:val="18"/>
                <w:szCs w:val="18"/>
              </w:rPr>
              <w:t>method of accounting</w:t>
            </w:r>
          </w:p>
        </w:tc>
        <w:tc>
          <w:tcPr>
            <w:tcW w:w="0" w:type="auto"/>
            <w:gridSpan w:val="2"/>
            <w:tcBorders>
              <w:bottom w:val="single" w:sz="8" w:space="0" w:color="000000"/>
            </w:tcBorders>
            <w:shd w:val="clear" w:color="auto" w:fill="auto"/>
            <w:tcMar>
              <w:top w:w="40" w:type="dxa"/>
              <w:left w:w="40" w:type="dxa"/>
              <w:bottom w:w="40" w:type="dxa"/>
            </w:tcMar>
            <w:vAlign w:val="bottom"/>
          </w:tcPr>
          <w:p w14:paraId="0BC998A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w:t>
            </w:r>
          </w:p>
        </w:tc>
        <w:tc>
          <w:tcPr>
            <w:tcW w:w="0" w:type="auto"/>
            <w:tcBorders>
              <w:bottom w:val="single" w:sz="8" w:space="0" w:color="000000"/>
            </w:tcBorders>
            <w:shd w:val="clear" w:color="auto" w:fill="auto"/>
            <w:vAlign w:val="bottom"/>
          </w:tcPr>
          <w:p w14:paraId="0BC998A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8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8A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w:t>
            </w:r>
          </w:p>
        </w:tc>
        <w:tc>
          <w:tcPr>
            <w:tcW w:w="0" w:type="auto"/>
            <w:tcBorders>
              <w:bottom w:val="single" w:sz="8" w:space="0" w:color="000000"/>
            </w:tcBorders>
            <w:shd w:val="clear" w:color="auto" w:fill="auto"/>
            <w:vAlign w:val="bottom"/>
          </w:tcPr>
          <w:p w14:paraId="0BC998AA" w14:textId="77777777" w:rsidR="009F0928" w:rsidRDefault="009F0928">
            <w:pPr>
              <w:textAlignment w:val="bottom"/>
              <w:rPr>
                <w:rFonts w:ascii="Times New Roman" w:hAnsi="Times New Roman"/>
                <w:sz w:val="20"/>
                <w:szCs w:val="20"/>
              </w:rPr>
            </w:pPr>
          </w:p>
        </w:tc>
      </w:tr>
      <w:tr w:rsidR="009F0928" w14:paraId="0BC998B4" w14:textId="77777777">
        <w:tc>
          <w:tcPr>
            <w:tcW w:w="0" w:type="auto"/>
            <w:shd w:val="clear" w:color="auto" w:fill="E2E2E2"/>
            <w:tcMar>
              <w:top w:w="40" w:type="dxa"/>
              <w:left w:w="400" w:type="dxa"/>
              <w:bottom w:w="40" w:type="dxa"/>
              <w:right w:w="40" w:type="dxa"/>
            </w:tcMar>
            <w:vAlign w:val="bottom"/>
          </w:tcPr>
          <w:p w14:paraId="0BC998AC"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equity investments</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8A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8A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355</w:t>
            </w:r>
          </w:p>
        </w:tc>
        <w:tc>
          <w:tcPr>
            <w:tcW w:w="0" w:type="auto"/>
            <w:tcBorders>
              <w:top w:val="single" w:sz="8" w:space="0" w:color="000000"/>
              <w:bottom w:val="double" w:sz="6" w:space="0" w:color="000000"/>
            </w:tcBorders>
            <w:shd w:val="clear" w:color="auto" w:fill="E2E2E2"/>
            <w:vAlign w:val="bottom"/>
          </w:tcPr>
          <w:p w14:paraId="0BC998A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8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8B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8B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143</w:t>
            </w:r>
          </w:p>
        </w:tc>
        <w:tc>
          <w:tcPr>
            <w:tcW w:w="0" w:type="auto"/>
            <w:tcBorders>
              <w:top w:val="single" w:sz="8" w:space="0" w:color="000000"/>
              <w:bottom w:val="double" w:sz="6" w:space="0" w:color="000000"/>
            </w:tcBorders>
            <w:shd w:val="clear" w:color="auto" w:fill="E2E2E2"/>
            <w:vAlign w:val="bottom"/>
          </w:tcPr>
          <w:p w14:paraId="0BC998B3" w14:textId="77777777" w:rsidR="009F0928" w:rsidRDefault="009F0928">
            <w:pPr>
              <w:textAlignment w:val="bottom"/>
              <w:rPr>
                <w:rFonts w:ascii="Times New Roman" w:hAnsi="Times New Roman"/>
                <w:sz w:val="20"/>
                <w:szCs w:val="20"/>
              </w:rPr>
            </w:pPr>
          </w:p>
        </w:tc>
      </w:tr>
    </w:tbl>
    <w:p w14:paraId="0BC998B5" w14:textId="77777777" w:rsidR="009F0928" w:rsidRDefault="009F0928">
      <w:pPr>
        <w:spacing w:line="288" w:lineRule="auto"/>
        <w:rPr>
          <w:rFonts w:ascii="Times New Roman" w:hAnsi="Times New Roman"/>
          <w:sz w:val="20"/>
          <w:szCs w:val="20"/>
        </w:rPr>
      </w:pPr>
    </w:p>
    <w:p w14:paraId="0BC998B6" w14:textId="77777777" w:rsidR="009F0928" w:rsidRDefault="009F0928">
      <w:pPr>
        <w:spacing w:line="288" w:lineRule="auto"/>
        <w:ind w:firstLine="720"/>
        <w:jc w:val="both"/>
        <w:rPr>
          <w:rFonts w:ascii="Times New Roman" w:hAnsi="Times New Roman"/>
          <w:sz w:val="20"/>
          <w:szCs w:val="20"/>
        </w:rPr>
      </w:pPr>
    </w:p>
    <w:p w14:paraId="0BC998B7" w14:textId="77777777" w:rsidR="009F0928" w:rsidRDefault="009F0928">
      <w:pPr>
        <w:rPr>
          <w:rFonts w:ascii="Times New Roman" w:hAnsi="Times New Roman"/>
          <w:sz w:val="20"/>
          <w:szCs w:val="20"/>
        </w:rPr>
      </w:pPr>
    </w:p>
    <w:p w14:paraId="0BC998B8"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F-22</w:t>
      </w:r>
    </w:p>
    <w:p w14:paraId="0BC998B9" w14:textId="77777777" w:rsidR="009F0928" w:rsidRDefault="002112BD">
      <w:r>
        <w:rPr>
          <w:rFonts w:ascii="Times New Roman" w:hAnsi="Times New Roman"/>
          <w:sz w:val="18"/>
          <w:szCs w:val="18"/>
        </w:rPr>
        <w:pict w14:anchorId="0BC9B510">
          <v:rect id="_x0000_i1108" style="width:415.3pt;height:1.5pt" o:hralign="center" o:hrstd="t" o:hr="t" fillcolor="#a0a0a0" stroked="f"/>
        </w:pict>
      </w:r>
    </w:p>
    <w:p w14:paraId="0BC998BA"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8BB"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98BC" w14:textId="77777777" w:rsidR="009F0928" w:rsidRDefault="009F0928">
      <w:pPr>
        <w:spacing w:line="288" w:lineRule="auto"/>
        <w:jc w:val="center"/>
        <w:rPr>
          <w:rFonts w:ascii="Times New Roman" w:hAnsi="Times New Roman"/>
          <w:sz w:val="20"/>
          <w:szCs w:val="20"/>
        </w:rPr>
      </w:pPr>
    </w:p>
    <w:p w14:paraId="0BC998BD" w14:textId="77777777" w:rsidR="009F0928" w:rsidRDefault="009F0928">
      <w:pPr>
        <w:rPr>
          <w:rFonts w:ascii="Times New Roman" w:hAnsi="Times New Roman"/>
          <w:sz w:val="20"/>
          <w:szCs w:val="20"/>
        </w:rPr>
      </w:pPr>
    </w:p>
    <w:p w14:paraId="0BC998BE" w14:textId="77777777" w:rsidR="009F0928" w:rsidRDefault="002112BD">
      <w:pPr>
        <w:spacing w:line="288" w:lineRule="auto"/>
        <w:ind w:firstLine="720"/>
        <w:rPr>
          <w:rFonts w:ascii="Times New Roman" w:hAnsi="Times New Roman"/>
          <w:sz w:val="20"/>
          <w:szCs w:val="20"/>
        </w:rPr>
      </w:pPr>
      <w:r>
        <w:rPr>
          <w:rFonts w:ascii="Arial" w:eastAsia="宋体" w:hAnsi="Arial" w:cs="Arial"/>
          <w:sz w:val="20"/>
          <w:szCs w:val="20"/>
        </w:rPr>
        <w:t xml:space="preserve">In 2019, we invested $160 million in cash in exchange for an equity interest in Paytm Mall and $40 </w:t>
      </w:r>
      <w:r>
        <w:rPr>
          <w:rFonts w:ascii="Arial" w:eastAsia="宋体" w:hAnsi="Arial" w:cs="Arial"/>
          <w:sz w:val="20"/>
          <w:szCs w:val="20"/>
        </w:rPr>
        <w:t>million in other investments. These investments are accounted for as equity investments without readily determinable fair value.</w:t>
      </w:r>
    </w:p>
    <w:p w14:paraId="0BC998BF" w14:textId="77777777" w:rsidR="009F0928" w:rsidRDefault="009F0928">
      <w:pPr>
        <w:spacing w:line="288" w:lineRule="auto"/>
        <w:ind w:firstLine="720"/>
        <w:rPr>
          <w:rFonts w:ascii="Times New Roman" w:hAnsi="Times New Roman"/>
          <w:sz w:val="20"/>
          <w:szCs w:val="20"/>
        </w:rPr>
      </w:pPr>
    </w:p>
    <w:p w14:paraId="0BC998C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2018, we sold our investment in Flipkart and relinquished our existing equity method investment in Giosis as part of the ex</w:t>
      </w:r>
      <w:r>
        <w:rPr>
          <w:rFonts w:ascii="Arial" w:eastAsia="宋体" w:hAnsi="Arial" w:cs="Arial"/>
          <w:sz w:val="20"/>
          <w:szCs w:val="20"/>
        </w:rPr>
        <w:t>change for the acquisition of Giosis’ Japan business. The $313 million gain upon sale of our investment in Flipkart and the $266 million gain upon relinquishment of our equity method investment in Giosis were recorded in interest and other, net on our cons</w:t>
      </w:r>
      <w:r>
        <w:rPr>
          <w:rFonts w:ascii="Arial" w:eastAsia="宋体" w:hAnsi="Arial" w:cs="Arial"/>
          <w:sz w:val="20"/>
          <w:szCs w:val="20"/>
        </w:rPr>
        <w:t xml:space="preserve">olidated statement of income. Refer to “Note 3 </w:t>
      </w:r>
      <w:r>
        <w:rPr>
          <w:rFonts w:ascii="Times New Roman" w:eastAsia="宋体" w:hAnsi="Times New Roman"/>
          <w:sz w:val="20"/>
          <w:szCs w:val="20"/>
        </w:rPr>
        <w:t>–</w:t>
      </w:r>
      <w:r>
        <w:rPr>
          <w:rFonts w:ascii="Arial" w:eastAsia="宋体" w:hAnsi="Arial" w:cs="Arial"/>
          <w:sz w:val="20"/>
          <w:szCs w:val="20"/>
        </w:rPr>
        <w:t xml:space="preserve"> Business Combinations” for further details on the Giosis acquisition. </w:t>
      </w:r>
    </w:p>
    <w:p w14:paraId="0BC998C1" w14:textId="77777777" w:rsidR="009F0928" w:rsidRDefault="009F0928">
      <w:pPr>
        <w:spacing w:line="288" w:lineRule="auto"/>
        <w:ind w:firstLine="720"/>
        <w:jc w:val="both"/>
        <w:rPr>
          <w:rFonts w:ascii="Times New Roman" w:hAnsi="Times New Roman"/>
          <w:sz w:val="20"/>
          <w:szCs w:val="20"/>
        </w:rPr>
      </w:pPr>
    </w:p>
    <w:p w14:paraId="0BC998C2" w14:textId="77777777" w:rsidR="009F0928" w:rsidRDefault="002112BD">
      <w:pPr>
        <w:spacing w:line="288" w:lineRule="auto"/>
        <w:ind w:firstLine="720"/>
        <w:rPr>
          <w:rFonts w:ascii="Times New Roman" w:hAnsi="Times New Roman"/>
          <w:sz w:val="20"/>
          <w:szCs w:val="20"/>
        </w:rPr>
      </w:pPr>
      <w:r>
        <w:rPr>
          <w:rFonts w:ascii="Arial" w:eastAsia="宋体" w:hAnsi="Arial" w:cs="Arial"/>
          <w:sz w:val="20"/>
          <w:szCs w:val="20"/>
        </w:rPr>
        <w:t>In 2017, we made a cost method investment of $50 million. In addition, we received a 5.44% ownership interest in Flipkart in exchange f</w:t>
      </w:r>
      <w:r>
        <w:rPr>
          <w:rFonts w:ascii="Arial" w:eastAsia="宋体" w:hAnsi="Arial" w:cs="Arial"/>
          <w:sz w:val="20"/>
          <w:szCs w:val="20"/>
        </w:rPr>
        <w:t>or our eBay India business and a $500 million cash investment, resulting in an investment of $725 million accounted for as an equity investment without readily determinable fair value. The gain on disposal of our eBay India business of $167 million was rec</w:t>
      </w:r>
      <w:r>
        <w:rPr>
          <w:rFonts w:ascii="Arial" w:eastAsia="宋体" w:hAnsi="Arial" w:cs="Arial"/>
          <w:sz w:val="20"/>
          <w:szCs w:val="20"/>
        </w:rPr>
        <w:t>orded in interest and other, net on our consolidated statement of income. In addition, we recorded a $61 million impairment charge to write-down our cost method investment in Jasper Infotech Private Limited (“Snapdeal”). The investment was measured at fair</w:t>
      </w:r>
      <w:r>
        <w:rPr>
          <w:rFonts w:ascii="Arial" w:eastAsia="宋体" w:hAnsi="Arial" w:cs="Arial"/>
          <w:sz w:val="20"/>
          <w:szCs w:val="20"/>
        </w:rPr>
        <w:t xml:space="preserve"> value due to events and circumstances that we identified as having significant impact on its fair value. The fair value measurement of the impaired investment was measured using significant unobservable inputs. The impairment charge, representing the diff</w:t>
      </w:r>
      <w:r>
        <w:rPr>
          <w:rFonts w:ascii="Arial" w:eastAsia="宋体" w:hAnsi="Arial" w:cs="Arial"/>
          <w:sz w:val="20"/>
          <w:szCs w:val="20"/>
        </w:rPr>
        <w:t xml:space="preserve">erence between the net book value and the fair value, was recorded to interest and other, net. </w:t>
      </w:r>
    </w:p>
    <w:p w14:paraId="0BC998C3" w14:textId="77777777" w:rsidR="009F0928" w:rsidRDefault="009F0928">
      <w:pPr>
        <w:spacing w:line="288" w:lineRule="auto"/>
        <w:ind w:firstLine="720"/>
        <w:jc w:val="both"/>
        <w:rPr>
          <w:rFonts w:ascii="Times New Roman" w:hAnsi="Times New Roman"/>
          <w:sz w:val="20"/>
          <w:szCs w:val="20"/>
        </w:rPr>
      </w:pPr>
    </w:p>
    <w:p w14:paraId="0BC998C4"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table summarizes the total carrying value of equity investments without readily determinable fair values during the twelve months ended December </w:t>
      </w:r>
      <w:r>
        <w:rPr>
          <w:rFonts w:ascii="Arial" w:eastAsia="宋体" w:hAnsi="Arial" w:cs="Arial"/>
          <w:sz w:val="20"/>
          <w:szCs w:val="20"/>
        </w:rPr>
        <w:t>31, 2019 and December 31, 2018 (in millions):</w:t>
      </w:r>
    </w:p>
    <w:p w14:paraId="0BC998C5" w14:textId="77777777" w:rsidR="009F0928" w:rsidRDefault="009F0928">
      <w:pPr>
        <w:spacing w:line="288" w:lineRule="auto"/>
        <w:jc w:val="both"/>
        <w:rPr>
          <w:rFonts w:ascii="Times New Roman" w:hAnsi="Times New Roman"/>
          <w:sz w:val="20"/>
          <w:szCs w:val="20"/>
        </w:rPr>
      </w:pPr>
    </w:p>
    <w:tbl>
      <w:tblPr>
        <w:tblW w:w="4961" w:type="pct"/>
        <w:jc w:val="center"/>
        <w:tblCellMar>
          <w:left w:w="0" w:type="dxa"/>
          <w:right w:w="0" w:type="dxa"/>
        </w:tblCellMar>
        <w:tblLook w:val="04A0" w:firstRow="1" w:lastRow="0" w:firstColumn="1" w:lastColumn="0" w:noHBand="0" w:noVBand="1"/>
      </w:tblPr>
      <w:tblGrid>
        <w:gridCol w:w="5381"/>
        <w:gridCol w:w="130"/>
        <w:gridCol w:w="142"/>
        <w:gridCol w:w="1096"/>
        <w:gridCol w:w="53"/>
        <w:gridCol w:w="130"/>
        <w:gridCol w:w="142"/>
        <w:gridCol w:w="1067"/>
        <w:gridCol w:w="100"/>
      </w:tblGrid>
      <w:tr w:rsidR="009F0928" w14:paraId="0BC998C7" w14:textId="77777777">
        <w:trPr>
          <w:jc w:val="center"/>
        </w:trPr>
        <w:tc>
          <w:tcPr>
            <w:tcW w:w="0" w:type="auto"/>
            <w:gridSpan w:val="9"/>
            <w:shd w:val="clear" w:color="auto" w:fill="auto"/>
            <w:vAlign w:val="center"/>
          </w:tcPr>
          <w:p w14:paraId="0BC998C6" w14:textId="77777777" w:rsidR="009F0928" w:rsidRDefault="009F0928">
            <w:pPr>
              <w:rPr>
                <w:rFonts w:ascii="Times New Roman" w:hAnsi="Times New Roman"/>
                <w:sz w:val="20"/>
                <w:szCs w:val="20"/>
              </w:rPr>
            </w:pPr>
          </w:p>
        </w:tc>
      </w:tr>
      <w:tr w:rsidR="009F0928" w14:paraId="0BC998D1" w14:textId="77777777">
        <w:trPr>
          <w:jc w:val="center"/>
        </w:trPr>
        <w:tc>
          <w:tcPr>
            <w:tcW w:w="3300" w:type="pct"/>
            <w:shd w:val="clear" w:color="auto" w:fill="auto"/>
            <w:vAlign w:val="center"/>
          </w:tcPr>
          <w:p w14:paraId="0BC998C8" w14:textId="77777777" w:rsidR="009F0928" w:rsidRDefault="009F0928">
            <w:pPr>
              <w:rPr>
                <w:rFonts w:ascii="Times New Roman" w:hAnsi="Times New Roman"/>
                <w:sz w:val="20"/>
                <w:szCs w:val="20"/>
              </w:rPr>
            </w:pPr>
          </w:p>
        </w:tc>
        <w:tc>
          <w:tcPr>
            <w:tcW w:w="50" w:type="pct"/>
            <w:shd w:val="clear" w:color="auto" w:fill="auto"/>
            <w:vAlign w:val="center"/>
          </w:tcPr>
          <w:p w14:paraId="0BC998C9" w14:textId="77777777" w:rsidR="009F0928" w:rsidRDefault="009F0928">
            <w:pPr>
              <w:rPr>
                <w:rFonts w:ascii="Times New Roman" w:hAnsi="Times New Roman"/>
                <w:sz w:val="20"/>
                <w:szCs w:val="20"/>
              </w:rPr>
            </w:pPr>
          </w:p>
        </w:tc>
        <w:tc>
          <w:tcPr>
            <w:tcW w:w="50" w:type="pct"/>
            <w:shd w:val="clear" w:color="auto" w:fill="auto"/>
            <w:vAlign w:val="center"/>
          </w:tcPr>
          <w:p w14:paraId="0BC998CA" w14:textId="77777777" w:rsidR="009F0928" w:rsidRDefault="009F0928">
            <w:pPr>
              <w:rPr>
                <w:rFonts w:ascii="Times New Roman" w:hAnsi="Times New Roman"/>
                <w:sz w:val="20"/>
                <w:szCs w:val="20"/>
              </w:rPr>
            </w:pPr>
          </w:p>
        </w:tc>
        <w:tc>
          <w:tcPr>
            <w:tcW w:w="700" w:type="pct"/>
            <w:shd w:val="clear" w:color="auto" w:fill="auto"/>
            <w:vAlign w:val="center"/>
          </w:tcPr>
          <w:p w14:paraId="0BC998CB" w14:textId="77777777" w:rsidR="009F0928" w:rsidRDefault="009F0928">
            <w:pPr>
              <w:rPr>
                <w:rFonts w:ascii="Times New Roman" w:hAnsi="Times New Roman"/>
                <w:sz w:val="20"/>
                <w:szCs w:val="20"/>
              </w:rPr>
            </w:pPr>
          </w:p>
        </w:tc>
        <w:tc>
          <w:tcPr>
            <w:tcW w:w="50" w:type="pct"/>
            <w:shd w:val="clear" w:color="auto" w:fill="auto"/>
            <w:vAlign w:val="center"/>
          </w:tcPr>
          <w:p w14:paraId="0BC998CC" w14:textId="77777777" w:rsidR="009F0928" w:rsidRDefault="009F0928">
            <w:pPr>
              <w:rPr>
                <w:rFonts w:ascii="Times New Roman" w:hAnsi="Times New Roman"/>
                <w:sz w:val="20"/>
                <w:szCs w:val="20"/>
              </w:rPr>
            </w:pPr>
          </w:p>
        </w:tc>
        <w:tc>
          <w:tcPr>
            <w:tcW w:w="50" w:type="pct"/>
            <w:shd w:val="clear" w:color="auto" w:fill="auto"/>
            <w:vAlign w:val="center"/>
          </w:tcPr>
          <w:p w14:paraId="0BC998CD" w14:textId="77777777" w:rsidR="009F0928" w:rsidRDefault="009F0928">
            <w:pPr>
              <w:rPr>
                <w:rFonts w:ascii="Times New Roman" w:hAnsi="Times New Roman"/>
                <w:sz w:val="20"/>
                <w:szCs w:val="20"/>
              </w:rPr>
            </w:pPr>
          </w:p>
        </w:tc>
        <w:tc>
          <w:tcPr>
            <w:tcW w:w="50" w:type="pct"/>
            <w:shd w:val="clear" w:color="auto" w:fill="auto"/>
            <w:vAlign w:val="center"/>
          </w:tcPr>
          <w:p w14:paraId="0BC998CE" w14:textId="77777777" w:rsidR="009F0928" w:rsidRDefault="009F0928">
            <w:pPr>
              <w:rPr>
                <w:rFonts w:ascii="Times New Roman" w:hAnsi="Times New Roman"/>
                <w:sz w:val="20"/>
                <w:szCs w:val="20"/>
              </w:rPr>
            </w:pPr>
          </w:p>
        </w:tc>
        <w:tc>
          <w:tcPr>
            <w:tcW w:w="700" w:type="pct"/>
            <w:shd w:val="clear" w:color="auto" w:fill="auto"/>
            <w:vAlign w:val="center"/>
          </w:tcPr>
          <w:p w14:paraId="0BC998CF" w14:textId="77777777" w:rsidR="009F0928" w:rsidRDefault="009F0928">
            <w:pPr>
              <w:rPr>
                <w:rFonts w:ascii="Times New Roman" w:hAnsi="Times New Roman"/>
                <w:sz w:val="20"/>
                <w:szCs w:val="20"/>
              </w:rPr>
            </w:pPr>
          </w:p>
        </w:tc>
        <w:tc>
          <w:tcPr>
            <w:tcW w:w="50" w:type="pct"/>
            <w:shd w:val="clear" w:color="auto" w:fill="auto"/>
            <w:vAlign w:val="center"/>
          </w:tcPr>
          <w:p w14:paraId="0BC998D0" w14:textId="77777777" w:rsidR="009F0928" w:rsidRDefault="009F0928">
            <w:pPr>
              <w:rPr>
                <w:rFonts w:ascii="Times New Roman" w:hAnsi="Times New Roman"/>
                <w:sz w:val="20"/>
                <w:szCs w:val="20"/>
              </w:rPr>
            </w:pPr>
          </w:p>
        </w:tc>
      </w:tr>
      <w:tr w:rsidR="009F0928" w14:paraId="0BC998D7" w14:textId="77777777">
        <w:trPr>
          <w:jc w:val="center"/>
        </w:trPr>
        <w:tc>
          <w:tcPr>
            <w:tcW w:w="0" w:type="auto"/>
            <w:shd w:val="clear" w:color="auto" w:fill="auto"/>
            <w:tcMar>
              <w:top w:w="40" w:type="dxa"/>
              <w:left w:w="40" w:type="dxa"/>
              <w:bottom w:w="40" w:type="dxa"/>
              <w:right w:w="40" w:type="dxa"/>
            </w:tcMar>
            <w:vAlign w:val="bottom"/>
          </w:tcPr>
          <w:p w14:paraId="0BC998D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8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8D4"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w:t>
            </w:r>
            <w:r>
              <w:rPr>
                <w:rFonts w:ascii="Arial" w:eastAsia="宋体" w:hAnsi="Arial" w:cs="Arial"/>
                <w:b/>
                <w:bCs/>
                <w:sz w:val="16"/>
                <w:szCs w:val="16"/>
              </w:rPr>
              <w:br/>
              <w:t>December 31, 2019</w:t>
            </w:r>
          </w:p>
        </w:tc>
        <w:tc>
          <w:tcPr>
            <w:tcW w:w="0" w:type="auto"/>
            <w:shd w:val="clear" w:color="auto" w:fill="auto"/>
            <w:tcMar>
              <w:top w:w="40" w:type="dxa"/>
              <w:left w:w="40" w:type="dxa"/>
              <w:bottom w:w="40" w:type="dxa"/>
              <w:right w:w="40" w:type="dxa"/>
            </w:tcMar>
            <w:vAlign w:val="bottom"/>
          </w:tcPr>
          <w:p w14:paraId="0BC998D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8D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 2018</w:t>
            </w:r>
          </w:p>
        </w:tc>
      </w:tr>
      <w:tr w:rsidR="009F0928" w14:paraId="0BC998E1" w14:textId="77777777">
        <w:trPr>
          <w:jc w:val="center"/>
        </w:trPr>
        <w:tc>
          <w:tcPr>
            <w:tcW w:w="0" w:type="auto"/>
            <w:shd w:val="clear" w:color="auto" w:fill="E2E2E2"/>
            <w:tcMar>
              <w:top w:w="40" w:type="dxa"/>
              <w:left w:w="40" w:type="dxa"/>
              <w:bottom w:w="40" w:type="dxa"/>
              <w:right w:w="40" w:type="dxa"/>
            </w:tcMar>
            <w:vAlign w:val="bottom"/>
          </w:tcPr>
          <w:p w14:paraId="0BC998D8" w14:textId="77777777" w:rsidR="009F0928" w:rsidRDefault="002112BD">
            <w:pPr>
              <w:textAlignment w:val="bottom"/>
              <w:rPr>
                <w:rFonts w:ascii="Times New Roman" w:hAnsi="Times New Roman"/>
                <w:sz w:val="18"/>
                <w:szCs w:val="18"/>
              </w:rPr>
            </w:pPr>
            <w:r>
              <w:rPr>
                <w:rFonts w:ascii="Arial" w:eastAsia="宋体" w:hAnsi="Arial" w:cs="Arial"/>
                <w:sz w:val="18"/>
                <w:szCs w:val="18"/>
              </w:rPr>
              <w:t>Carrying value, beginning of period</w:t>
            </w:r>
          </w:p>
        </w:tc>
        <w:tc>
          <w:tcPr>
            <w:tcW w:w="0" w:type="auto"/>
            <w:shd w:val="clear" w:color="auto" w:fill="E2E2E2"/>
            <w:tcMar>
              <w:top w:w="40" w:type="dxa"/>
              <w:left w:w="40" w:type="dxa"/>
              <w:bottom w:w="40" w:type="dxa"/>
              <w:right w:w="40" w:type="dxa"/>
            </w:tcMar>
            <w:vAlign w:val="bottom"/>
          </w:tcPr>
          <w:p w14:paraId="0BC998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98D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tcMar>
              <w:top w:w="40" w:type="dxa"/>
              <w:bottom w:w="40" w:type="dxa"/>
            </w:tcMar>
            <w:vAlign w:val="bottom"/>
          </w:tcPr>
          <w:p w14:paraId="0BC998D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137</w:t>
            </w:r>
          </w:p>
        </w:tc>
        <w:tc>
          <w:tcPr>
            <w:tcW w:w="0" w:type="auto"/>
            <w:tcBorders>
              <w:top w:val="single" w:sz="8" w:space="0" w:color="000000"/>
            </w:tcBorders>
            <w:shd w:val="clear" w:color="auto" w:fill="E2E2E2"/>
            <w:vAlign w:val="bottom"/>
          </w:tcPr>
          <w:p w14:paraId="0BC998D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8D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98D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tcMar>
              <w:top w:w="40" w:type="dxa"/>
              <w:bottom w:w="40" w:type="dxa"/>
            </w:tcMar>
            <w:vAlign w:val="bottom"/>
          </w:tcPr>
          <w:p w14:paraId="0BC998D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872</w:t>
            </w:r>
          </w:p>
        </w:tc>
        <w:tc>
          <w:tcPr>
            <w:tcW w:w="0" w:type="auto"/>
            <w:tcBorders>
              <w:top w:val="single" w:sz="8" w:space="0" w:color="000000"/>
            </w:tcBorders>
            <w:shd w:val="clear" w:color="auto" w:fill="E2E2E2"/>
            <w:vAlign w:val="bottom"/>
          </w:tcPr>
          <w:p w14:paraId="0BC998E0" w14:textId="77777777" w:rsidR="009F0928" w:rsidRDefault="009F0928">
            <w:pPr>
              <w:textAlignment w:val="bottom"/>
              <w:rPr>
                <w:rFonts w:ascii="Times New Roman" w:hAnsi="Times New Roman"/>
                <w:sz w:val="20"/>
                <w:szCs w:val="20"/>
              </w:rPr>
            </w:pPr>
          </w:p>
        </w:tc>
      </w:tr>
      <w:tr w:rsidR="009F0928" w14:paraId="0BC998E9" w14:textId="77777777">
        <w:trPr>
          <w:jc w:val="center"/>
        </w:trPr>
        <w:tc>
          <w:tcPr>
            <w:tcW w:w="0" w:type="auto"/>
            <w:shd w:val="clear" w:color="auto" w:fill="auto"/>
            <w:tcMar>
              <w:top w:w="40" w:type="dxa"/>
              <w:left w:w="240" w:type="dxa"/>
              <w:bottom w:w="40" w:type="dxa"/>
              <w:right w:w="40" w:type="dxa"/>
            </w:tcMar>
            <w:vAlign w:val="bottom"/>
          </w:tcPr>
          <w:p w14:paraId="0BC998E2" w14:textId="77777777" w:rsidR="009F0928" w:rsidRDefault="002112BD">
            <w:pPr>
              <w:textAlignment w:val="bottom"/>
              <w:rPr>
                <w:rFonts w:ascii="Times New Roman" w:hAnsi="Times New Roman"/>
                <w:sz w:val="18"/>
                <w:szCs w:val="18"/>
              </w:rPr>
            </w:pPr>
            <w:r>
              <w:rPr>
                <w:rFonts w:ascii="Arial" w:eastAsia="宋体" w:hAnsi="Arial" w:cs="Arial"/>
                <w:sz w:val="18"/>
                <w:szCs w:val="18"/>
              </w:rPr>
              <w:t>Additions</w:t>
            </w:r>
          </w:p>
        </w:tc>
        <w:tc>
          <w:tcPr>
            <w:tcW w:w="0" w:type="auto"/>
            <w:shd w:val="clear" w:color="auto" w:fill="auto"/>
            <w:tcMar>
              <w:top w:w="40" w:type="dxa"/>
              <w:left w:w="40" w:type="dxa"/>
              <w:bottom w:w="40" w:type="dxa"/>
              <w:right w:w="40" w:type="dxa"/>
            </w:tcMar>
            <w:vAlign w:val="bottom"/>
          </w:tcPr>
          <w:p w14:paraId="0BC998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8E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200</w:t>
            </w:r>
          </w:p>
        </w:tc>
        <w:tc>
          <w:tcPr>
            <w:tcW w:w="0" w:type="auto"/>
            <w:shd w:val="clear" w:color="auto" w:fill="auto"/>
            <w:vAlign w:val="bottom"/>
          </w:tcPr>
          <w:p w14:paraId="0BC998E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8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8E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23</w:t>
            </w:r>
          </w:p>
        </w:tc>
        <w:tc>
          <w:tcPr>
            <w:tcW w:w="0" w:type="auto"/>
            <w:shd w:val="clear" w:color="auto" w:fill="auto"/>
            <w:vAlign w:val="bottom"/>
          </w:tcPr>
          <w:p w14:paraId="0BC998E8" w14:textId="77777777" w:rsidR="009F0928" w:rsidRDefault="009F0928">
            <w:pPr>
              <w:textAlignment w:val="bottom"/>
              <w:rPr>
                <w:rFonts w:ascii="Times New Roman" w:hAnsi="Times New Roman"/>
                <w:sz w:val="20"/>
                <w:szCs w:val="20"/>
              </w:rPr>
            </w:pPr>
          </w:p>
        </w:tc>
      </w:tr>
      <w:tr w:rsidR="009F0928" w14:paraId="0BC998F1" w14:textId="77777777">
        <w:trPr>
          <w:jc w:val="center"/>
        </w:trPr>
        <w:tc>
          <w:tcPr>
            <w:tcW w:w="0" w:type="auto"/>
            <w:shd w:val="clear" w:color="auto" w:fill="E2E2E2"/>
            <w:tcMar>
              <w:top w:w="40" w:type="dxa"/>
              <w:left w:w="240" w:type="dxa"/>
              <w:bottom w:w="40" w:type="dxa"/>
              <w:right w:w="40" w:type="dxa"/>
            </w:tcMar>
            <w:vAlign w:val="bottom"/>
          </w:tcPr>
          <w:p w14:paraId="0BC998EA" w14:textId="77777777" w:rsidR="009F0928" w:rsidRDefault="002112BD">
            <w:pPr>
              <w:textAlignment w:val="bottom"/>
              <w:rPr>
                <w:rFonts w:ascii="Times New Roman" w:hAnsi="Times New Roman"/>
                <w:sz w:val="18"/>
                <w:szCs w:val="18"/>
              </w:rPr>
            </w:pPr>
            <w:r>
              <w:rPr>
                <w:rFonts w:ascii="Arial" w:eastAsia="宋体" w:hAnsi="Arial" w:cs="Arial"/>
                <w:sz w:val="18"/>
                <w:szCs w:val="18"/>
              </w:rPr>
              <w:t>Sales</w:t>
            </w:r>
          </w:p>
        </w:tc>
        <w:tc>
          <w:tcPr>
            <w:tcW w:w="0" w:type="auto"/>
            <w:shd w:val="clear" w:color="auto" w:fill="E2E2E2"/>
            <w:tcMar>
              <w:top w:w="40" w:type="dxa"/>
              <w:left w:w="40" w:type="dxa"/>
              <w:bottom w:w="40" w:type="dxa"/>
              <w:right w:w="40" w:type="dxa"/>
            </w:tcMar>
            <w:vAlign w:val="bottom"/>
          </w:tcPr>
          <w:p w14:paraId="0BC998E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8E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98E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8E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8E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(718</w:t>
            </w:r>
          </w:p>
        </w:tc>
        <w:tc>
          <w:tcPr>
            <w:tcW w:w="0" w:type="auto"/>
            <w:shd w:val="clear" w:color="auto" w:fill="E2E2E2"/>
            <w:tcMar>
              <w:top w:w="40" w:type="dxa"/>
              <w:bottom w:w="40" w:type="dxa"/>
              <w:right w:w="40" w:type="dxa"/>
            </w:tcMar>
            <w:vAlign w:val="bottom"/>
          </w:tcPr>
          <w:p w14:paraId="0BC998F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98F9" w14:textId="77777777">
        <w:trPr>
          <w:jc w:val="center"/>
        </w:trPr>
        <w:tc>
          <w:tcPr>
            <w:tcW w:w="0" w:type="auto"/>
            <w:shd w:val="clear" w:color="auto" w:fill="auto"/>
            <w:tcMar>
              <w:top w:w="40" w:type="dxa"/>
              <w:left w:w="240" w:type="dxa"/>
              <w:bottom w:w="40" w:type="dxa"/>
              <w:right w:w="40" w:type="dxa"/>
            </w:tcMar>
            <w:vAlign w:val="bottom"/>
          </w:tcPr>
          <w:p w14:paraId="0BC998F2"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Downward adjustments for </w:t>
            </w:r>
            <w:r>
              <w:rPr>
                <w:rFonts w:ascii="Arial" w:eastAsia="宋体" w:hAnsi="Arial" w:cs="Arial"/>
                <w:sz w:val="18"/>
                <w:szCs w:val="18"/>
              </w:rPr>
              <w:t>observable price changes and impairment</w:t>
            </w:r>
          </w:p>
        </w:tc>
        <w:tc>
          <w:tcPr>
            <w:tcW w:w="0" w:type="auto"/>
            <w:shd w:val="clear" w:color="auto" w:fill="auto"/>
            <w:tcMar>
              <w:top w:w="40" w:type="dxa"/>
              <w:left w:w="40" w:type="dxa"/>
              <w:bottom w:w="40" w:type="dxa"/>
              <w:right w:w="40" w:type="dxa"/>
            </w:tcMar>
            <w:vAlign w:val="bottom"/>
          </w:tcPr>
          <w:p w14:paraId="0BC998F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8F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8F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8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8F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(20</w:t>
            </w:r>
          </w:p>
        </w:tc>
        <w:tc>
          <w:tcPr>
            <w:tcW w:w="0" w:type="auto"/>
            <w:shd w:val="clear" w:color="auto" w:fill="auto"/>
            <w:tcMar>
              <w:top w:w="40" w:type="dxa"/>
              <w:bottom w:w="40" w:type="dxa"/>
              <w:right w:w="40" w:type="dxa"/>
            </w:tcMar>
            <w:vAlign w:val="bottom"/>
          </w:tcPr>
          <w:p w14:paraId="0BC998F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9901" w14:textId="77777777">
        <w:trPr>
          <w:jc w:val="center"/>
        </w:trPr>
        <w:tc>
          <w:tcPr>
            <w:tcW w:w="0" w:type="auto"/>
            <w:shd w:val="clear" w:color="auto" w:fill="E2E2E2"/>
            <w:tcMar>
              <w:top w:w="40" w:type="dxa"/>
              <w:left w:w="240" w:type="dxa"/>
              <w:bottom w:w="40" w:type="dxa"/>
              <w:right w:w="40" w:type="dxa"/>
            </w:tcMar>
            <w:vAlign w:val="bottom"/>
          </w:tcPr>
          <w:p w14:paraId="0BC998FA" w14:textId="77777777" w:rsidR="009F0928" w:rsidRDefault="002112BD">
            <w:pPr>
              <w:textAlignment w:val="bottom"/>
              <w:rPr>
                <w:rFonts w:ascii="Times New Roman" w:hAnsi="Times New Roman"/>
                <w:sz w:val="18"/>
                <w:szCs w:val="18"/>
              </w:rPr>
            </w:pPr>
            <w:r>
              <w:rPr>
                <w:rFonts w:ascii="Arial" w:eastAsia="宋体" w:hAnsi="Arial" w:cs="Arial"/>
                <w:sz w:val="18"/>
                <w:szCs w:val="18"/>
              </w:rPr>
              <w:t>Foreign currency translation and other</w:t>
            </w:r>
          </w:p>
        </w:tc>
        <w:tc>
          <w:tcPr>
            <w:tcW w:w="0" w:type="auto"/>
            <w:shd w:val="clear" w:color="auto" w:fill="E2E2E2"/>
            <w:tcMar>
              <w:top w:w="40" w:type="dxa"/>
              <w:left w:w="40" w:type="dxa"/>
              <w:bottom w:w="40" w:type="dxa"/>
              <w:right w:w="40" w:type="dxa"/>
            </w:tcMar>
            <w:vAlign w:val="bottom"/>
          </w:tcPr>
          <w:p w14:paraId="0BC998F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8F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E2E2E2"/>
            <w:vAlign w:val="bottom"/>
          </w:tcPr>
          <w:p w14:paraId="0BC998F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8F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8F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(20</w:t>
            </w:r>
          </w:p>
        </w:tc>
        <w:tc>
          <w:tcPr>
            <w:tcW w:w="0" w:type="auto"/>
            <w:tcBorders>
              <w:bottom w:val="single" w:sz="8" w:space="0" w:color="000000"/>
            </w:tcBorders>
            <w:shd w:val="clear" w:color="auto" w:fill="E2E2E2"/>
            <w:tcMar>
              <w:top w:w="40" w:type="dxa"/>
              <w:bottom w:w="40" w:type="dxa"/>
              <w:right w:w="40" w:type="dxa"/>
            </w:tcMar>
            <w:vAlign w:val="bottom"/>
          </w:tcPr>
          <w:p w14:paraId="0BC9990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990B" w14:textId="77777777">
        <w:trPr>
          <w:jc w:val="center"/>
        </w:trPr>
        <w:tc>
          <w:tcPr>
            <w:tcW w:w="0" w:type="auto"/>
            <w:shd w:val="clear" w:color="auto" w:fill="auto"/>
            <w:tcMar>
              <w:top w:w="40" w:type="dxa"/>
              <w:left w:w="40" w:type="dxa"/>
              <w:bottom w:w="40" w:type="dxa"/>
              <w:right w:w="40" w:type="dxa"/>
            </w:tcMar>
            <w:vAlign w:val="bottom"/>
          </w:tcPr>
          <w:p w14:paraId="0BC99902" w14:textId="77777777" w:rsidR="009F0928" w:rsidRDefault="002112BD">
            <w:pPr>
              <w:textAlignment w:val="bottom"/>
              <w:rPr>
                <w:rFonts w:ascii="Times New Roman" w:hAnsi="Times New Roman"/>
                <w:sz w:val="18"/>
                <w:szCs w:val="18"/>
              </w:rPr>
            </w:pPr>
            <w:r>
              <w:rPr>
                <w:rFonts w:ascii="Arial" w:eastAsia="宋体" w:hAnsi="Arial" w:cs="Arial"/>
                <w:sz w:val="18"/>
                <w:szCs w:val="18"/>
              </w:rPr>
              <w:t>Carrying value, end of period</w:t>
            </w:r>
          </w:p>
        </w:tc>
        <w:tc>
          <w:tcPr>
            <w:tcW w:w="0" w:type="auto"/>
            <w:shd w:val="clear" w:color="auto" w:fill="auto"/>
            <w:tcMar>
              <w:top w:w="40" w:type="dxa"/>
              <w:left w:w="40" w:type="dxa"/>
              <w:bottom w:w="40" w:type="dxa"/>
              <w:right w:w="40" w:type="dxa"/>
            </w:tcMar>
            <w:vAlign w:val="bottom"/>
          </w:tcPr>
          <w:p w14:paraId="0BC9990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90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90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337</w:t>
            </w:r>
          </w:p>
        </w:tc>
        <w:tc>
          <w:tcPr>
            <w:tcW w:w="0" w:type="auto"/>
            <w:tcBorders>
              <w:top w:val="single" w:sz="8" w:space="0" w:color="000000"/>
              <w:bottom w:val="double" w:sz="6" w:space="0" w:color="000000"/>
            </w:tcBorders>
            <w:shd w:val="clear" w:color="auto" w:fill="auto"/>
            <w:vAlign w:val="bottom"/>
          </w:tcPr>
          <w:p w14:paraId="0BC9990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90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90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90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137</w:t>
            </w:r>
          </w:p>
        </w:tc>
        <w:tc>
          <w:tcPr>
            <w:tcW w:w="0" w:type="auto"/>
            <w:tcBorders>
              <w:top w:val="single" w:sz="8" w:space="0" w:color="000000"/>
              <w:bottom w:val="double" w:sz="6" w:space="0" w:color="000000"/>
            </w:tcBorders>
            <w:shd w:val="clear" w:color="auto" w:fill="auto"/>
            <w:vAlign w:val="bottom"/>
          </w:tcPr>
          <w:p w14:paraId="0BC9990A" w14:textId="77777777" w:rsidR="009F0928" w:rsidRDefault="009F0928">
            <w:pPr>
              <w:textAlignment w:val="bottom"/>
              <w:rPr>
                <w:rFonts w:ascii="Times New Roman" w:hAnsi="Times New Roman"/>
                <w:sz w:val="20"/>
                <w:szCs w:val="20"/>
              </w:rPr>
            </w:pPr>
          </w:p>
        </w:tc>
      </w:tr>
    </w:tbl>
    <w:p w14:paraId="0BC9990C" w14:textId="77777777" w:rsidR="009F0928" w:rsidRDefault="009F0928">
      <w:pPr>
        <w:spacing w:line="288" w:lineRule="auto"/>
        <w:jc w:val="center"/>
        <w:rPr>
          <w:rFonts w:ascii="Times New Roman" w:hAnsi="Times New Roman"/>
          <w:sz w:val="20"/>
          <w:szCs w:val="20"/>
        </w:rPr>
      </w:pPr>
    </w:p>
    <w:p w14:paraId="0BC9990D" w14:textId="77777777" w:rsidR="009F0928" w:rsidRDefault="009F0928">
      <w:pPr>
        <w:spacing w:line="288" w:lineRule="auto"/>
        <w:jc w:val="both"/>
        <w:rPr>
          <w:rFonts w:ascii="Times New Roman" w:hAnsi="Times New Roman"/>
          <w:sz w:val="20"/>
          <w:szCs w:val="20"/>
        </w:rPr>
      </w:pPr>
    </w:p>
    <w:p w14:paraId="0BC9990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For such equity investments without readily determinable fair values still held at </w:t>
      </w:r>
      <w:r>
        <w:rPr>
          <w:rFonts w:ascii="Arial" w:eastAsia="宋体" w:hAnsi="Arial" w:cs="Arial"/>
          <w:sz w:val="20"/>
          <w:szCs w:val="20"/>
        </w:rPr>
        <w:t>December 31, 2019, cumulative downward adjustments for price changes and impairment was $81 million. As of December 31, 2019, there have been no upward adjustments for price changes to our equity investments without readily determinable fair values.</w:t>
      </w:r>
    </w:p>
    <w:p w14:paraId="0BC9990F" w14:textId="77777777" w:rsidR="009F0928" w:rsidRDefault="009F0928">
      <w:pPr>
        <w:spacing w:line="288" w:lineRule="auto"/>
        <w:jc w:val="both"/>
        <w:rPr>
          <w:rFonts w:ascii="Times New Roman" w:hAnsi="Times New Roman"/>
          <w:sz w:val="20"/>
          <w:szCs w:val="20"/>
        </w:rPr>
      </w:pPr>
    </w:p>
    <w:p w14:paraId="0BC99910"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Note </w:t>
      </w:r>
      <w:r>
        <w:rPr>
          <w:rFonts w:ascii="Arial" w:eastAsia="宋体" w:hAnsi="Arial" w:cs="Arial"/>
          <w:b/>
          <w:bCs/>
          <w:sz w:val="20"/>
          <w:szCs w:val="20"/>
        </w:rPr>
        <w:t xml:space="preserve">7 – Derivative Instruments </w:t>
      </w:r>
    </w:p>
    <w:p w14:paraId="0BC99911" w14:textId="77777777" w:rsidR="009F0928" w:rsidRDefault="009F0928">
      <w:pPr>
        <w:spacing w:line="288" w:lineRule="auto"/>
        <w:jc w:val="both"/>
        <w:rPr>
          <w:rFonts w:ascii="Times New Roman" w:hAnsi="Times New Roman"/>
          <w:sz w:val="20"/>
          <w:szCs w:val="20"/>
        </w:rPr>
      </w:pPr>
    </w:p>
    <w:p w14:paraId="0BC9991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Our primary objective in holding derivatives is to reduce the volatility of earnings and cash flows associated with changes in foreign currency exchange rates and interest rates. These hedging contracts reduce, but do not </w:t>
      </w:r>
      <w:r>
        <w:rPr>
          <w:rFonts w:ascii="Arial" w:eastAsia="宋体" w:hAnsi="Arial" w:cs="Arial"/>
          <w:sz w:val="20"/>
          <w:szCs w:val="20"/>
        </w:rPr>
        <w:t>entirely eliminate, the impact of adverse foreign exchange rate and interest rate movements. We do not use any of our derivative instruments for trading purposes.</w:t>
      </w:r>
    </w:p>
    <w:p w14:paraId="0BC99913" w14:textId="77777777" w:rsidR="009F0928" w:rsidRDefault="009F0928">
      <w:pPr>
        <w:spacing w:line="288" w:lineRule="auto"/>
        <w:ind w:firstLine="720"/>
        <w:jc w:val="both"/>
        <w:rPr>
          <w:rFonts w:ascii="Times New Roman" w:hAnsi="Times New Roman"/>
          <w:sz w:val="20"/>
          <w:szCs w:val="20"/>
        </w:rPr>
      </w:pPr>
    </w:p>
    <w:p w14:paraId="0BC99914"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use foreign currency exchange contracts to reduce the volatility of cash flows related to</w:t>
      </w:r>
      <w:r>
        <w:rPr>
          <w:rFonts w:ascii="Arial" w:eastAsia="宋体" w:hAnsi="Arial" w:cs="Arial"/>
          <w:sz w:val="20"/>
          <w:szCs w:val="20"/>
        </w:rPr>
        <w:t xml:space="preserve"> forecasted revenues, expenses, assets and liabilities, including intercompany balances denominated in foreign currencies. These contracts are generally one month to one year in duration, but with maturities up to 24 months. The objective of the foreign ex</w:t>
      </w:r>
      <w:r>
        <w:rPr>
          <w:rFonts w:ascii="Arial" w:eastAsia="宋体" w:hAnsi="Arial" w:cs="Arial"/>
          <w:sz w:val="20"/>
          <w:szCs w:val="20"/>
        </w:rPr>
        <w:t>change contracts is to better ensure that ultimately the U.S. dollar-equivalent cash flows are not adversely affected by changes in the applicable U.S. dollar/foreign currency exchange rate. We evaluate the effectiveness of our foreign exchange contracts d</w:t>
      </w:r>
      <w:r>
        <w:rPr>
          <w:rFonts w:ascii="Arial" w:eastAsia="宋体" w:hAnsi="Arial" w:cs="Arial"/>
          <w:sz w:val="20"/>
          <w:szCs w:val="20"/>
        </w:rPr>
        <w:t xml:space="preserve">esignated as cash flow or net investment hedges on a quarterly basis. </w:t>
      </w:r>
    </w:p>
    <w:p w14:paraId="0BC99915" w14:textId="77777777" w:rsidR="009F0928" w:rsidRDefault="009F0928">
      <w:pPr>
        <w:spacing w:line="288" w:lineRule="auto"/>
        <w:ind w:firstLine="720"/>
        <w:jc w:val="both"/>
        <w:rPr>
          <w:rFonts w:ascii="Times New Roman" w:hAnsi="Times New Roman"/>
          <w:sz w:val="20"/>
          <w:szCs w:val="20"/>
        </w:rPr>
      </w:pPr>
    </w:p>
    <w:p w14:paraId="0BC9991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used interest rate swaps to manage interest rate risk on our fixed rate notes issued in July 2014 and maturing in 2019, 2021 and 2024. These interest rate swaps had the economic eff</w:t>
      </w:r>
      <w:r>
        <w:rPr>
          <w:rFonts w:ascii="Arial" w:eastAsia="宋体" w:hAnsi="Arial" w:cs="Arial"/>
          <w:sz w:val="20"/>
          <w:szCs w:val="20"/>
        </w:rPr>
        <w:t>ect of modifying the fixed interest obligations associated with $2.4 billion of these notes so that the interest payable on these senior notes effectively became variable based on LIBOR plus a spread. There were no interest rate swaps outstanding as of Dec</w:t>
      </w:r>
      <w:r>
        <w:rPr>
          <w:rFonts w:ascii="Arial" w:eastAsia="宋体" w:hAnsi="Arial" w:cs="Arial"/>
          <w:sz w:val="20"/>
          <w:szCs w:val="20"/>
        </w:rPr>
        <w:t>ember 31, 2019.</w:t>
      </w:r>
    </w:p>
    <w:p w14:paraId="0BC99917" w14:textId="77777777" w:rsidR="009F0928" w:rsidRDefault="009F0928">
      <w:pPr>
        <w:spacing w:line="288" w:lineRule="auto"/>
        <w:ind w:firstLine="720"/>
        <w:jc w:val="both"/>
        <w:rPr>
          <w:rFonts w:ascii="Times New Roman" w:hAnsi="Times New Roman"/>
          <w:sz w:val="20"/>
          <w:szCs w:val="20"/>
        </w:rPr>
      </w:pPr>
    </w:p>
    <w:p w14:paraId="0BC99918" w14:textId="77777777" w:rsidR="009F0928" w:rsidRDefault="009F0928">
      <w:pPr>
        <w:rPr>
          <w:rFonts w:ascii="Times New Roman" w:hAnsi="Times New Roman"/>
          <w:sz w:val="20"/>
          <w:szCs w:val="20"/>
        </w:rPr>
      </w:pPr>
    </w:p>
    <w:p w14:paraId="0BC99919"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F-23</w:t>
      </w:r>
    </w:p>
    <w:p w14:paraId="0BC9991A" w14:textId="77777777" w:rsidR="009F0928" w:rsidRDefault="002112BD">
      <w:r>
        <w:rPr>
          <w:rFonts w:ascii="Times New Roman" w:hAnsi="Times New Roman"/>
          <w:sz w:val="18"/>
          <w:szCs w:val="18"/>
        </w:rPr>
        <w:pict w14:anchorId="0BC9B511">
          <v:rect id="_x0000_i1109" style="width:415.3pt;height:1.5pt" o:hralign="center" o:hrstd="t" o:hr="t" fillcolor="#a0a0a0" stroked="f"/>
        </w:pict>
      </w:r>
    </w:p>
    <w:p w14:paraId="0BC9991B"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91C"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991D" w14:textId="77777777" w:rsidR="009F0928" w:rsidRDefault="009F0928">
      <w:pPr>
        <w:spacing w:line="288" w:lineRule="auto"/>
        <w:jc w:val="center"/>
        <w:rPr>
          <w:rFonts w:ascii="Times New Roman" w:hAnsi="Times New Roman"/>
          <w:sz w:val="20"/>
          <w:szCs w:val="20"/>
        </w:rPr>
      </w:pPr>
    </w:p>
    <w:p w14:paraId="0BC9991E" w14:textId="77777777" w:rsidR="009F0928" w:rsidRDefault="009F0928">
      <w:pPr>
        <w:rPr>
          <w:rFonts w:ascii="Times New Roman" w:hAnsi="Times New Roman"/>
          <w:sz w:val="20"/>
          <w:szCs w:val="20"/>
        </w:rPr>
      </w:pPr>
    </w:p>
    <w:p w14:paraId="0BC9991F"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Cash Flow Hedges</w:t>
      </w:r>
    </w:p>
    <w:p w14:paraId="0BC99920" w14:textId="77777777" w:rsidR="009F0928" w:rsidRDefault="009F0928">
      <w:pPr>
        <w:spacing w:line="288" w:lineRule="auto"/>
        <w:ind w:firstLine="720"/>
        <w:jc w:val="both"/>
        <w:rPr>
          <w:rFonts w:ascii="Times New Roman" w:hAnsi="Times New Roman"/>
          <w:sz w:val="20"/>
          <w:szCs w:val="20"/>
        </w:rPr>
      </w:pPr>
    </w:p>
    <w:p w14:paraId="0BC9992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For derivative instruments that are designated as cash flow hedges, the derivative’s gain or loss is initially reported as a component of </w:t>
      </w:r>
      <w:r>
        <w:rPr>
          <w:rFonts w:ascii="Arial" w:eastAsia="宋体" w:hAnsi="Arial" w:cs="Arial"/>
          <w:sz w:val="20"/>
          <w:szCs w:val="20"/>
        </w:rPr>
        <w:t>accumulated other comprehensive income (“AOCI”) and subsequently reclassified into earnings in the same period the forecasted hedged transaction affects earnings. Derivative instruments designated as cash flow hedges must be de-designated as hedges when it</w:t>
      </w:r>
      <w:r>
        <w:rPr>
          <w:rFonts w:ascii="Arial" w:eastAsia="宋体" w:hAnsi="Arial" w:cs="Arial"/>
          <w:sz w:val="20"/>
          <w:szCs w:val="20"/>
        </w:rPr>
        <w:t xml:space="preserve"> is probable the forecasted hedged transaction will not occur in the initially identified time period or within a subsequent two-month time period. Unrealized gains and losses in AOCI associated with such derivative instruments are immediately reclassified</w:t>
      </w:r>
      <w:r>
        <w:rPr>
          <w:rFonts w:ascii="Arial" w:eastAsia="宋体" w:hAnsi="Arial" w:cs="Arial"/>
          <w:sz w:val="20"/>
          <w:szCs w:val="20"/>
        </w:rPr>
        <w:t xml:space="preserve"> into earnings</w:t>
      </w:r>
      <w:r>
        <w:rPr>
          <w:rFonts w:ascii="Times New Roman" w:eastAsia="宋体" w:hAnsi="Times New Roman"/>
          <w:sz w:val="20"/>
          <w:szCs w:val="20"/>
        </w:rPr>
        <w:t xml:space="preserve">. </w:t>
      </w:r>
      <w:r>
        <w:rPr>
          <w:rFonts w:ascii="Arial" w:eastAsia="宋体" w:hAnsi="Arial" w:cs="Arial"/>
          <w:sz w:val="20"/>
          <w:szCs w:val="20"/>
        </w:rPr>
        <w:t>As of December 31, 2019, we have estimated that approximately $2 million of net derivative loss related to our cash flow hedges included in accumulated other comprehensive income will be reclassified into earnings within the next 12 months.</w:t>
      </w:r>
      <w:r>
        <w:rPr>
          <w:rFonts w:ascii="Arial" w:eastAsia="宋体" w:hAnsi="Arial" w:cs="Arial"/>
          <w:sz w:val="20"/>
          <w:szCs w:val="20"/>
        </w:rPr>
        <w:t xml:space="preserve"> We classify cash flows related to our cash flow hedges as operating activities in our consolidated statement of cash flows.</w:t>
      </w:r>
    </w:p>
    <w:p w14:paraId="0BC99922" w14:textId="77777777" w:rsidR="009F0928" w:rsidRDefault="009F0928">
      <w:pPr>
        <w:spacing w:line="288" w:lineRule="auto"/>
        <w:ind w:firstLine="720"/>
        <w:jc w:val="both"/>
        <w:rPr>
          <w:rFonts w:ascii="Times New Roman" w:hAnsi="Times New Roman"/>
          <w:sz w:val="20"/>
          <w:szCs w:val="20"/>
        </w:rPr>
      </w:pPr>
    </w:p>
    <w:p w14:paraId="0BC99923"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b/>
          <w:bCs/>
          <w:i/>
          <w:iCs/>
          <w:sz w:val="20"/>
          <w:szCs w:val="20"/>
        </w:rPr>
        <w:t>Net Investment Hedges</w:t>
      </w:r>
    </w:p>
    <w:p w14:paraId="0BC99924" w14:textId="77777777" w:rsidR="009F0928" w:rsidRDefault="009F0928">
      <w:pPr>
        <w:spacing w:line="288" w:lineRule="auto"/>
        <w:rPr>
          <w:rFonts w:ascii="Times New Roman" w:hAnsi="Times New Roman"/>
          <w:sz w:val="20"/>
          <w:szCs w:val="20"/>
        </w:rPr>
      </w:pPr>
    </w:p>
    <w:p w14:paraId="0BC9992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For derivative instruments that are designated as net investment hedges, the derivative’s gain or loss is i</w:t>
      </w:r>
      <w:r>
        <w:rPr>
          <w:rFonts w:ascii="Arial" w:eastAsia="宋体" w:hAnsi="Arial" w:cs="Arial"/>
          <w:sz w:val="20"/>
          <w:szCs w:val="20"/>
        </w:rPr>
        <w:t xml:space="preserve">nitially reported in the translation adjustments component of AOCI and is reclassified to net earnings in the period in which the hedged subsidiary is either sold or substantially liquidated. </w:t>
      </w:r>
    </w:p>
    <w:p w14:paraId="0BC99926" w14:textId="77777777" w:rsidR="009F0928" w:rsidRDefault="009F0928">
      <w:pPr>
        <w:spacing w:line="288" w:lineRule="auto"/>
        <w:jc w:val="both"/>
        <w:rPr>
          <w:rFonts w:ascii="Times New Roman" w:hAnsi="Times New Roman"/>
          <w:sz w:val="20"/>
          <w:szCs w:val="20"/>
        </w:rPr>
      </w:pPr>
    </w:p>
    <w:p w14:paraId="0BC99927"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Fair Value Hedges</w:t>
      </w:r>
    </w:p>
    <w:p w14:paraId="0BC99928" w14:textId="77777777" w:rsidR="009F0928" w:rsidRDefault="009F0928">
      <w:pPr>
        <w:spacing w:line="288" w:lineRule="auto"/>
        <w:jc w:val="both"/>
        <w:rPr>
          <w:rFonts w:ascii="Times New Roman" w:hAnsi="Times New Roman"/>
          <w:sz w:val="20"/>
          <w:szCs w:val="20"/>
        </w:rPr>
      </w:pPr>
    </w:p>
    <w:p w14:paraId="0BC9992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designated the interest rate swaps used </w:t>
      </w:r>
      <w:r>
        <w:rPr>
          <w:rFonts w:ascii="Arial" w:eastAsia="宋体" w:hAnsi="Arial" w:cs="Arial"/>
          <w:sz w:val="20"/>
          <w:szCs w:val="20"/>
        </w:rPr>
        <w:t>to manage interest rate risk on our fixed rate notes issued in July 2014 and maturing in 2019, 2021 and 2024 as qualifying hedging instruments and accounted for them as fair value hedges. These transactions were designated as fair value hedges for financia</w:t>
      </w:r>
      <w:r>
        <w:rPr>
          <w:rFonts w:ascii="Arial" w:eastAsia="宋体" w:hAnsi="Arial" w:cs="Arial"/>
          <w:sz w:val="20"/>
          <w:szCs w:val="20"/>
        </w:rPr>
        <w:t>l accounting purposes because they protected us against changes in the fair value of certain of our fixed rate borrowings due to benchmark interest rate movements. In 2019, $1.15 billion related to our 2.200% senior notes due 2019 of the $2.4 billion aggre</w:t>
      </w:r>
      <w:r>
        <w:rPr>
          <w:rFonts w:ascii="Arial" w:eastAsia="宋体" w:hAnsi="Arial" w:cs="Arial"/>
          <w:sz w:val="20"/>
          <w:szCs w:val="20"/>
        </w:rPr>
        <w:t>gate notional amount matured. In addition, during the three months ended September 30, 2019, we terminated the interest rate swaps related to $750 million of our 2.875% senior notes due July 2021 and $500 million of our 3.450% senior notes due July 2024. A</w:t>
      </w:r>
      <w:r>
        <w:rPr>
          <w:rFonts w:ascii="Arial" w:eastAsia="宋体" w:hAnsi="Arial" w:cs="Arial"/>
          <w:sz w:val="20"/>
          <w:szCs w:val="20"/>
        </w:rPr>
        <w:t>s a result of the early termination, hedge accounting was discontinued prospectively and the gain on termination was recorded as an increase to the long-term debt balance and is being recognized over the remaining life of the underlying debt as a reduction</w:t>
      </w:r>
      <w:r>
        <w:rPr>
          <w:rFonts w:ascii="Arial" w:eastAsia="宋体" w:hAnsi="Arial" w:cs="Arial"/>
          <w:sz w:val="20"/>
          <w:szCs w:val="20"/>
        </w:rPr>
        <w:t xml:space="preserve"> to interest expense. The gain recognized during the year ended December 31, 2019 was immaterial</w:t>
      </w:r>
      <w:r>
        <w:rPr>
          <w:rFonts w:ascii="Times New Roman" w:eastAsia="宋体" w:hAnsi="Times New Roman"/>
          <w:sz w:val="20"/>
          <w:szCs w:val="20"/>
        </w:rPr>
        <w:t>.</w:t>
      </w:r>
    </w:p>
    <w:p w14:paraId="0BC9992A" w14:textId="77777777" w:rsidR="009F0928" w:rsidRDefault="009F0928">
      <w:pPr>
        <w:spacing w:line="288" w:lineRule="auto"/>
        <w:jc w:val="both"/>
        <w:rPr>
          <w:rFonts w:ascii="Times New Roman" w:hAnsi="Times New Roman"/>
          <w:sz w:val="20"/>
          <w:szCs w:val="20"/>
        </w:rPr>
      </w:pPr>
    </w:p>
    <w:p w14:paraId="0BC9992B"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Non-Designated Hedges</w:t>
      </w:r>
    </w:p>
    <w:p w14:paraId="0BC9992C" w14:textId="77777777" w:rsidR="009F0928" w:rsidRDefault="009F0928">
      <w:pPr>
        <w:spacing w:line="288" w:lineRule="auto"/>
        <w:rPr>
          <w:rFonts w:ascii="Times New Roman" w:hAnsi="Times New Roman"/>
          <w:sz w:val="20"/>
          <w:szCs w:val="20"/>
        </w:rPr>
      </w:pPr>
    </w:p>
    <w:p w14:paraId="0BC9992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Our derivatives not designated as hedging instruments consist of foreign currency forward contracts that we primarily use to </w:t>
      </w:r>
      <w:r>
        <w:rPr>
          <w:rFonts w:ascii="Arial" w:eastAsia="宋体" w:hAnsi="Arial" w:cs="Arial"/>
          <w:sz w:val="20"/>
          <w:szCs w:val="20"/>
        </w:rPr>
        <w:t>hedge monetary assets or liabilities, including intercompany balances denominated in non-functional currencies. The gains and losses on our derivatives not designated as hedging instruments are recorded in interest and other</w:t>
      </w:r>
      <w:r>
        <w:rPr>
          <w:rFonts w:ascii="Times New Roman" w:eastAsia="宋体" w:hAnsi="Times New Roman"/>
          <w:sz w:val="20"/>
          <w:szCs w:val="20"/>
        </w:rPr>
        <w:t>,</w:t>
      </w:r>
      <w:r>
        <w:rPr>
          <w:rFonts w:ascii="Arial" w:eastAsia="宋体" w:hAnsi="Arial" w:cs="Arial"/>
          <w:sz w:val="20"/>
          <w:szCs w:val="20"/>
        </w:rPr>
        <w:t xml:space="preserve"> net, which are offset by the f</w:t>
      </w:r>
      <w:r>
        <w:rPr>
          <w:rFonts w:ascii="Arial" w:eastAsia="宋体" w:hAnsi="Arial" w:cs="Arial"/>
          <w:sz w:val="20"/>
          <w:szCs w:val="20"/>
        </w:rPr>
        <w:t>oreign currency gains and losses on the related assets and liabilities that are also recorded in interest and other, net. We classify cash flows related to our non-designated hedging instruments as operating activities in our consolidated statement of cash</w:t>
      </w:r>
      <w:r>
        <w:rPr>
          <w:rFonts w:ascii="Arial" w:eastAsia="宋体" w:hAnsi="Arial" w:cs="Arial"/>
          <w:sz w:val="20"/>
          <w:szCs w:val="20"/>
        </w:rPr>
        <w:t xml:space="preserve"> flows.</w:t>
      </w:r>
    </w:p>
    <w:p w14:paraId="0BC9992E" w14:textId="77777777" w:rsidR="009F0928" w:rsidRDefault="009F0928">
      <w:pPr>
        <w:spacing w:line="288" w:lineRule="auto"/>
        <w:ind w:firstLine="640"/>
        <w:jc w:val="both"/>
        <w:rPr>
          <w:rFonts w:ascii="Times New Roman" w:hAnsi="Times New Roman"/>
          <w:sz w:val="20"/>
          <w:szCs w:val="20"/>
        </w:rPr>
      </w:pPr>
    </w:p>
    <w:p w14:paraId="0BC9992F" w14:textId="77777777" w:rsidR="009F0928" w:rsidRDefault="002112BD">
      <w:pPr>
        <w:spacing w:line="288" w:lineRule="auto"/>
        <w:ind w:firstLine="360"/>
        <w:rPr>
          <w:rFonts w:ascii="Times New Roman" w:hAnsi="Times New Roman"/>
          <w:sz w:val="20"/>
          <w:szCs w:val="20"/>
        </w:rPr>
      </w:pPr>
      <w:r>
        <w:rPr>
          <w:rFonts w:ascii="Arial" w:eastAsia="宋体" w:hAnsi="Arial" w:cs="Arial"/>
          <w:b/>
          <w:bCs/>
          <w:i/>
          <w:iCs/>
          <w:sz w:val="20"/>
          <w:szCs w:val="20"/>
        </w:rPr>
        <w:t>Warrant</w:t>
      </w:r>
    </w:p>
    <w:p w14:paraId="0BC99930" w14:textId="77777777" w:rsidR="009F0928" w:rsidRDefault="009F0928">
      <w:pPr>
        <w:spacing w:line="288" w:lineRule="auto"/>
        <w:rPr>
          <w:rFonts w:ascii="Times New Roman" w:hAnsi="Times New Roman"/>
          <w:sz w:val="20"/>
          <w:szCs w:val="20"/>
        </w:rPr>
      </w:pPr>
    </w:p>
    <w:p w14:paraId="0BC99931"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We entered into a warrant agreement in conjunction with a commercial agreement with Adyen that, subject to meeting certain conditions, entitles us to acquire a fixed number of shares up to 5% of Adyen’s fully diluted issued and outstandin</w:t>
      </w:r>
      <w:r>
        <w:rPr>
          <w:rFonts w:ascii="Arial" w:eastAsia="宋体" w:hAnsi="Arial" w:cs="Arial"/>
          <w:sz w:val="20"/>
          <w:szCs w:val="20"/>
        </w:rPr>
        <w:t>g share capital at a specific date. The warrant has a term of seven years and will vest in a series of four tranches, at a specified price per share upon meeting significant processing volume milestone targets on a calendar year basis. If and when the rele</w:t>
      </w:r>
      <w:r>
        <w:rPr>
          <w:rFonts w:ascii="Arial" w:eastAsia="宋体" w:hAnsi="Arial" w:cs="Arial"/>
          <w:sz w:val="20"/>
          <w:szCs w:val="20"/>
        </w:rPr>
        <w:t>vant milestone is reached, the warrant becomes exercisable with respect to the corresponding tranche of warrant shares up until the warrant expiration date of January 31, 2025. The maximum number of tranches that can vest in one calendar year is two.</w:t>
      </w:r>
    </w:p>
    <w:p w14:paraId="0BC99932"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 </w:t>
      </w:r>
    </w:p>
    <w:p w14:paraId="0BC99933" w14:textId="77777777" w:rsidR="009F0928" w:rsidRDefault="002112BD">
      <w:pPr>
        <w:spacing w:line="288" w:lineRule="auto"/>
        <w:ind w:firstLine="600"/>
        <w:jc w:val="both"/>
        <w:rPr>
          <w:rFonts w:ascii="Times New Roman" w:hAnsi="Times New Roman"/>
          <w:sz w:val="20"/>
          <w:szCs w:val="20"/>
        </w:rPr>
      </w:pPr>
      <w:r>
        <w:rPr>
          <w:rFonts w:ascii="Arial" w:eastAsia="宋体" w:hAnsi="Arial" w:cs="Arial"/>
          <w:sz w:val="20"/>
          <w:szCs w:val="20"/>
        </w:rPr>
        <w:t>The</w:t>
      </w:r>
      <w:r>
        <w:rPr>
          <w:rFonts w:ascii="Arial" w:eastAsia="宋体" w:hAnsi="Arial" w:cs="Arial"/>
          <w:sz w:val="20"/>
          <w:szCs w:val="20"/>
        </w:rPr>
        <w:t xml:space="preserve"> warrant is accounted for as a derivative under ASC Topic 815, </w:t>
      </w:r>
      <w:r>
        <w:rPr>
          <w:rFonts w:ascii="Arial" w:eastAsia="宋体" w:hAnsi="Arial" w:cs="Arial"/>
          <w:i/>
          <w:iCs/>
          <w:sz w:val="20"/>
          <w:szCs w:val="20"/>
        </w:rPr>
        <w:t>Derivatives and Hedging</w:t>
      </w:r>
      <w:r>
        <w:rPr>
          <w:rFonts w:ascii="Arial" w:eastAsia="宋体" w:hAnsi="Arial" w:cs="Arial"/>
          <w:sz w:val="20"/>
          <w:szCs w:val="20"/>
        </w:rPr>
        <w:t>. We report the warrant at fair value within other assets in our consolidated balance sheets and changes in the fair value of the warrant are recognized in interest and o</w:t>
      </w:r>
      <w:r>
        <w:rPr>
          <w:rFonts w:ascii="Arial" w:eastAsia="宋体" w:hAnsi="Arial" w:cs="Arial"/>
          <w:sz w:val="20"/>
          <w:szCs w:val="20"/>
        </w:rPr>
        <w:t xml:space="preserve">ther, net in our consolidated statement of income. The day-one value attributable to the other side of the warrant, which was recorded as a deferred credit, is reported within other liabilities in our consolidated balance sheets and will be amortized over </w:t>
      </w:r>
      <w:r>
        <w:rPr>
          <w:rFonts w:ascii="Arial" w:eastAsia="宋体" w:hAnsi="Arial" w:cs="Arial"/>
          <w:sz w:val="20"/>
          <w:szCs w:val="20"/>
        </w:rPr>
        <w:t xml:space="preserve">the life of the commercial arrangement. </w:t>
      </w:r>
    </w:p>
    <w:p w14:paraId="0BC99934" w14:textId="77777777" w:rsidR="009F0928" w:rsidRDefault="009F0928">
      <w:pPr>
        <w:spacing w:line="288" w:lineRule="auto"/>
        <w:ind w:firstLine="640"/>
        <w:jc w:val="both"/>
        <w:rPr>
          <w:rFonts w:ascii="Times New Roman" w:hAnsi="Times New Roman"/>
          <w:sz w:val="20"/>
          <w:szCs w:val="20"/>
        </w:rPr>
      </w:pPr>
    </w:p>
    <w:p w14:paraId="0BC99935" w14:textId="77777777" w:rsidR="009F0928" w:rsidRDefault="009F0928">
      <w:pPr>
        <w:rPr>
          <w:rFonts w:ascii="Times New Roman" w:hAnsi="Times New Roman"/>
          <w:sz w:val="20"/>
          <w:szCs w:val="20"/>
        </w:rPr>
      </w:pPr>
    </w:p>
    <w:p w14:paraId="0BC99936"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F-24</w:t>
      </w:r>
    </w:p>
    <w:p w14:paraId="0BC99937" w14:textId="77777777" w:rsidR="009F0928" w:rsidRDefault="002112BD">
      <w:r>
        <w:rPr>
          <w:rFonts w:ascii="Times New Roman" w:hAnsi="Times New Roman"/>
          <w:sz w:val="18"/>
          <w:szCs w:val="18"/>
        </w:rPr>
        <w:pict w14:anchorId="0BC9B512">
          <v:rect id="_x0000_i1110" style="width:415.3pt;height:1.5pt" o:hralign="center" o:hrstd="t" o:hr="t" fillcolor="#a0a0a0" stroked="f"/>
        </w:pict>
      </w:r>
    </w:p>
    <w:p w14:paraId="0BC99938"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939"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993A" w14:textId="77777777" w:rsidR="009F0928" w:rsidRDefault="009F0928">
      <w:pPr>
        <w:spacing w:line="288" w:lineRule="auto"/>
        <w:jc w:val="center"/>
        <w:rPr>
          <w:rFonts w:ascii="Times New Roman" w:hAnsi="Times New Roman"/>
          <w:sz w:val="20"/>
          <w:szCs w:val="20"/>
        </w:rPr>
      </w:pPr>
    </w:p>
    <w:p w14:paraId="0BC9993B" w14:textId="77777777" w:rsidR="009F0928" w:rsidRDefault="009F0928">
      <w:pPr>
        <w:rPr>
          <w:rFonts w:ascii="Times New Roman" w:hAnsi="Times New Roman"/>
          <w:sz w:val="20"/>
          <w:szCs w:val="20"/>
        </w:rPr>
      </w:pPr>
    </w:p>
    <w:p w14:paraId="0BC9993C"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Fair Value of Derivative Contracts</w:t>
      </w:r>
    </w:p>
    <w:p w14:paraId="0BC9993D" w14:textId="77777777" w:rsidR="009F0928" w:rsidRDefault="009F0928">
      <w:pPr>
        <w:spacing w:line="288" w:lineRule="auto"/>
        <w:ind w:firstLine="960"/>
        <w:jc w:val="both"/>
        <w:rPr>
          <w:rFonts w:ascii="Times New Roman" w:hAnsi="Times New Roman"/>
          <w:sz w:val="20"/>
          <w:szCs w:val="20"/>
        </w:rPr>
      </w:pPr>
    </w:p>
    <w:p w14:paraId="0BC9993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fair values of our outstanding derivative instruments as of December 31, 2019 and 2018 were as </w:t>
      </w:r>
      <w:r>
        <w:rPr>
          <w:rFonts w:ascii="Arial" w:eastAsia="宋体" w:hAnsi="Arial" w:cs="Arial"/>
          <w:sz w:val="20"/>
          <w:szCs w:val="20"/>
        </w:rPr>
        <w:t>follows (in millions):</w:t>
      </w:r>
    </w:p>
    <w:tbl>
      <w:tblPr>
        <w:tblW w:w="5000" w:type="pct"/>
        <w:tblCellMar>
          <w:left w:w="0" w:type="dxa"/>
          <w:right w:w="0" w:type="dxa"/>
        </w:tblCellMar>
        <w:tblLook w:val="04A0" w:firstRow="1" w:lastRow="0" w:firstColumn="1" w:lastColumn="0" w:noHBand="0" w:noVBand="1"/>
      </w:tblPr>
      <w:tblGrid>
        <w:gridCol w:w="4093"/>
        <w:gridCol w:w="1601"/>
        <w:gridCol w:w="130"/>
        <w:gridCol w:w="142"/>
        <w:gridCol w:w="948"/>
        <w:gridCol w:w="86"/>
        <w:gridCol w:w="130"/>
        <w:gridCol w:w="142"/>
        <w:gridCol w:w="948"/>
        <w:gridCol w:w="86"/>
      </w:tblGrid>
      <w:tr w:rsidR="009F0928" w14:paraId="0BC99940" w14:textId="77777777">
        <w:tc>
          <w:tcPr>
            <w:tcW w:w="0" w:type="auto"/>
            <w:gridSpan w:val="10"/>
            <w:shd w:val="clear" w:color="auto" w:fill="auto"/>
            <w:vAlign w:val="center"/>
          </w:tcPr>
          <w:p w14:paraId="0BC9993F" w14:textId="77777777" w:rsidR="009F0928" w:rsidRDefault="009F0928">
            <w:pPr>
              <w:rPr>
                <w:rFonts w:ascii="Times New Roman" w:hAnsi="Times New Roman"/>
                <w:sz w:val="20"/>
                <w:szCs w:val="20"/>
              </w:rPr>
            </w:pPr>
          </w:p>
        </w:tc>
      </w:tr>
      <w:tr w:rsidR="009F0928" w14:paraId="0BC9994B" w14:textId="77777777">
        <w:tc>
          <w:tcPr>
            <w:tcW w:w="2550" w:type="pct"/>
            <w:shd w:val="clear" w:color="auto" w:fill="auto"/>
            <w:vAlign w:val="center"/>
          </w:tcPr>
          <w:p w14:paraId="0BC99941" w14:textId="77777777" w:rsidR="009F0928" w:rsidRDefault="009F0928">
            <w:pPr>
              <w:rPr>
                <w:rFonts w:ascii="Times New Roman" w:hAnsi="Times New Roman"/>
                <w:sz w:val="20"/>
                <w:szCs w:val="20"/>
              </w:rPr>
            </w:pPr>
          </w:p>
        </w:tc>
        <w:tc>
          <w:tcPr>
            <w:tcW w:w="1050" w:type="pct"/>
            <w:shd w:val="clear" w:color="auto" w:fill="auto"/>
            <w:vAlign w:val="center"/>
          </w:tcPr>
          <w:p w14:paraId="0BC99942" w14:textId="77777777" w:rsidR="009F0928" w:rsidRDefault="009F0928">
            <w:pPr>
              <w:rPr>
                <w:rFonts w:ascii="Times New Roman" w:hAnsi="Times New Roman"/>
                <w:sz w:val="20"/>
                <w:szCs w:val="20"/>
              </w:rPr>
            </w:pPr>
          </w:p>
        </w:tc>
        <w:tc>
          <w:tcPr>
            <w:tcW w:w="50" w:type="pct"/>
            <w:shd w:val="clear" w:color="auto" w:fill="auto"/>
            <w:vAlign w:val="center"/>
          </w:tcPr>
          <w:p w14:paraId="0BC99943" w14:textId="77777777" w:rsidR="009F0928" w:rsidRDefault="009F0928">
            <w:pPr>
              <w:rPr>
                <w:rFonts w:ascii="Times New Roman" w:hAnsi="Times New Roman"/>
                <w:sz w:val="20"/>
                <w:szCs w:val="20"/>
              </w:rPr>
            </w:pPr>
          </w:p>
        </w:tc>
        <w:tc>
          <w:tcPr>
            <w:tcW w:w="50" w:type="pct"/>
            <w:shd w:val="clear" w:color="auto" w:fill="auto"/>
            <w:vAlign w:val="center"/>
          </w:tcPr>
          <w:p w14:paraId="0BC99944" w14:textId="77777777" w:rsidR="009F0928" w:rsidRDefault="009F0928">
            <w:pPr>
              <w:rPr>
                <w:rFonts w:ascii="Times New Roman" w:hAnsi="Times New Roman"/>
                <w:sz w:val="20"/>
                <w:szCs w:val="20"/>
              </w:rPr>
            </w:pPr>
          </w:p>
        </w:tc>
        <w:tc>
          <w:tcPr>
            <w:tcW w:w="550" w:type="pct"/>
            <w:shd w:val="clear" w:color="auto" w:fill="auto"/>
            <w:vAlign w:val="center"/>
          </w:tcPr>
          <w:p w14:paraId="0BC99945" w14:textId="77777777" w:rsidR="009F0928" w:rsidRDefault="009F0928">
            <w:pPr>
              <w:rPr>
                <w:rFonts w:ascii="Times New Roman" w:hAnsi="Times New Roman"/>
                <w:sz w:val="20"/>
                <w:szCs w:val="20"/>
              </w:rPr>
            </w:pPr>
          </w:p>
        </w:tc>
        <w:tc>
          <w:tcPr>
            <w:tcW w:w="50" w:type="pct"/>
            <w:shd w:val="clear" w:color="auto" w:fill="auto"/>
            <w:vAlign w:val="center"/>
          </w:tcPr>
          <w:p w14:paraId="0BC99946" w14:textId="77777777" w:rsidR="009F0928" w:rsidRDefault="009F0928">
            <w:pPr>
              <w:rPr>
                <w:rFonts w:ascii="Times New Roman" w:hAnsi="Times New Roman"/>
                <w:sz w:val="20"/>
                <w:szCs w:val="20"/>
              </w:rPr>
            </w:pPr>
          </w:p>
        </w:tc>
        <w:tc>
          <w:tcPr>
            <w:tcW w:w="50" w:type="pct"/>
            <w:shd w:val="clear" w:color="auto" w:fill="auto"/>
            <w:vAlign w:val="center"/>
          </w:tcPr>
          <w:p w14:paraId="0BC99947" w14:textId="77777777" w:rsidR="009F0928" w:rsidRDefault="009F0928">
            <w:pPr>
              <w:rPr>
                <w:rFonts w:ascii="Times New Roman" w:hAnsi="Times New Roman"/>
                <w:sz w:val="20"/>
                <w:szCs w:val="20"/>
              </w:rPr>
            </w:pPr>
          </w:p>
        </w:tc>
        <w:tc>
          <w:tcPr>
            <w:tcW w:w="50" w:type="pct"/>
            <w:shd w:val="clear" w:color="auto" w:fill="auto"/>
            <w:vAlign w:val="center"/>
          </w:tcPr>
          <w:p w14:paraId="0BC99948" w14:textId="77777777" w:rsidR="009F0928" w:rsidRDefault="009F0928">
            <w:pPr>
              <w:rPr>
                <w:rFonts w:ascii="Times New Roman" w:hAnsi="Times New Roman"/>
                <w:sz w:val="20"/>
                <w:szCs w:val="20"/>
              </w:rPr>
            </w:pPr>
          </w:p>
        </w:tc>
        <w:tc>
          <w:tcPr>
            <w:tcW w:w="550" w:type="pct"/>
            <w:shd w:val="clear" w:color="auto" w:fill="auto"/>
            <w:vAlign w:val="center"/>
          </w:tcPr>
          <w:p w14:paraId="0BC99949" w14:textId="77777777" w:rsidR="009F0928" w:rsidRDefault="009F0928">
            <w:pPr>
              <w:rPr>
                <w:rFonts w:ascii="Times New Roman" w:hAnsi="Times New Roman"/>
                <w:sz w:val="20"/>
                <w:szCs w:val="20"/>
              </w:rPr>
            </w:pPr>
          </w:p>
        </w:tc>
        <w:tc>
          <w:tcPr>
            <w:tcW w:w="50" w:type="pct"/>
            <w:shd w:val="clear" w:color="auto" w:fill="auto"/>
            <w:vAlign w:val="center"/>
          </w:tcPr>
          <w:p w14:paraId="0BC9994A" w14:textId="77777777" w:rsidR="009F0928" w:rsidRDefault="009F0928">
            <w:pPr>
              <w:rPr>
                <w:rFonts w:ascii="Times New Roman" w:hAnsi="Times New Roman"/>
                <w:sz w:val="20"/>
                <w:szCs w:val="20"/>
              </w:rPr>
            </w:pPr>
          </w:p>
        </w:tc>
      </w:tr>
      <w:tr w:rsidR="009F0928" w14:paraId="0BC99952" w14:textId="77777777">
        <w:tc>
          <w:tcPr>
            <w:tcW w:w="0" w:type="auto"/>
            <w:shd w:val="clear" w:color="auto" w:fill="auto"/>
            <w:tcMar>
              <w:top w:w="40" w:type="dxa"/>
              <w:left w:w="40" w:type="dxa"/>
              <w:bottom w:w="40" w:type="dxa"/>
              <w:right w:w="40" w:type="dxa"/>
            </w:tcMar>
            <w:vAlign w:val="bottom"/>
          </w:tcPr>
          <w:p w14:paraId="0BC9994C"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994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Balance Sheet Location</w:t>
            </w:r>
          </w:p>
        </w:tc>
        <w:tc>
          <w:tcPr>
            <w:tcW w:w="0" w:type="auto"/>
            <w:shd w:val="clear" w:color="auto" w:fill="auto"/>
            <w:tcMar>
              <w:top w:w="40" w:type="dxa"/>
              <w:left w:w="40" w:type="dxa"/>
              <w:bottom w:w="40" w:type="dxa"/>
              <w:right w:w="40" w:type="dxa"/>
            </w:tcMar>
            <w:vAlign w:val="bottom"/>
          </w:tcPr>
          <w:p w14:paraId="0BC9994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94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December 31, </w:t>
            </w:r>
            <w:r>
              <w:rPr>
                <w:rFonts w:ascii="Arial" w:eastAsia="宋体" w:hAnsi="Arial" w:cs="Arial"/>
                <w:b/>
                <w:bCs/>
                <w:sz w:val="16"/>
                <w:szCs w:val="16"/>
              </w:rPr>
              <w:br/>
              <w:t>2019</w:t>
            </w:r>
          </w:p>
        </w:tc>
        <w:tc>
          <w:tcPr>
            <w:tcW w:w="0" w:type="auto"/>
            <w:shd w:val="clear" w:color="auto" w:fill="auto"/>
            <w:tcMar>
              <w:top w:w="40" w:type="dxa"/>
              <w:left w:w="40" w:type="dxa"/>
              <w:bottom w:w="40" w:type="dxa"/>
              <w:right w:w="40" w:type="dxa"/>
            </w:tcMar>
            <w:vAlign w:val="bottom"/>
          </w:tcPr>
          <w:p w14:paraId="0BC9995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951"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December 31, </w:t>
            </w:r>
            <w:r>
              <w:rPr>
                <w:rFonts w:ascii="Arial" w:eastAsia="宋体" w:hAnsi="Arial" w:cs="Arial"/>
                <w:b/>
                <w:bCs/>
                <w:sz w:val="16"/>
                <w:szCs w:val="16"/>
              </w:rPr>
              <w:br/>
              <w:t>2018</w:t>
            </w:r>
          </w:p>
        </w:tc>
      </w:tr>
      <w:tr w:rsidR="009F0928" w14:paraId="0BC99959" w14:textId="77777777">
        <w:tc>
          <w:tcPr>
            <w:tcW w:w="0" w:type="auto"/>
            <w:shd w:val="clear" w:color="auto" w:fill="E2E2E2"/>
            <w:tcMar>
              <w:top w:w="40" w:type="dxa"/>
              <w:left w:w="40" w:type="dxa"/>
              <w:bottom w:w="40" w:type="dxa"/>
              <w:right w:w="40" w:type="dxa"/>
            </w:tcMar>
            <w:vAlign w:val="bottom"/>
          </w:tcPr>
          <w:p w14:paraId="0BC99953"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Derivative Assets:</w:t>
            </w:r>
          </w:p>
        </w:tc>
        <w:tc>
          <w:tcPr>
            <w:tcW w:w="0" w:type="auto"/>
            <w:shd w:val="clear" w:color="auto" w:fill="E2E2E2"/>
            <w:tcMar>
              <w:top w:w="40" w:type="dxa"/>
              <w:left w:w="40" w:type="dxa"/>
              <w:bottom w:w="40" w:type="dxa"/>
              <w:right w:w="40" w:type="dxa"/>
            </w:tcMar>
            <w:vAlign w:val="bottom"/>
          </w:tcPr>
          <w:p w14:paraId="0BC9995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95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95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95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95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964" w14:textId="77777777">
        <w:tc>
          <w:tcPr>
            <w:tcW w:w="0" w:type="auto"/>
            <w:shd w:val="clear" w:color="auto" w:fill="auto"/>
            <w:tcMar>
              <w:top w:w="40" w:type="dxa"/>
              <w:left w:w="40" w:type="dxa"/>
              <w:bottom w:w="40" w:type="dxa"/>
              <w:right w:w="40" w:type="dxa"/>
            </w:tcMar>
            <w:vAlign w:val="bottom"/>
          </w:tcPr>
          <w:p w14:paraId="0BC9995A" w14:textId="77777777" w:rsidR="009F0928" w:rsidRDefault="002112BD">
            <w:pPr>
              <w:textAlignment w:val="bottom"/>
              <w:rPr>
                <w:rFonts w:ascii="Times New Roman" w:hAnsi="Times New Roman"/>
                <w:sz w:val="18"/>
                <w:szCs w:val="18"/>
              </w:rPr>
            </w:pPr>
            <w:r>
              <w:rPr>
                <w:rFonts w:ascii="Arial" w:eastAsia="宋体" w:hAnsi="Arial" w:cs="Arial"/>
                <w:sz w:val="18"/>
                <w:szCs w:val="18"/>
              </w:rPr>
              <w:t>Foreign exchange contracts designated as cash flow hedges</w:t>
            </w:r>
          </w:p>
        </w:tc>
        <w:tc>
          <w:tcPr>
            <w:tcW w:w="0" w:type="auto"/>
            <w:shd w:val="clear" w:color="auto" w:fill="auto"/>
            <w:tcMar>
              <w:top w:w="40" w:type="dxa"/>
              <w:left w:w="40" w:type="dxa"/>
              <w:bottom w:w="40" w:type="dxa"/>
              <w:right w:w="40" w:type="dxa"/>
            </w:tcMar>
            <w:vAlign w:val="bottom"/>
          </w:tcPr>
          <w:p w14:paraId="0BC9995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Other Current Assets</w:t>
            </w:r>
          </w:p>
        </w:tc>
        <w:tc>
          <w:tcPr>
            <w:tcW w:w="0" w:type="auto"/>
            <w:shd w:val="clear" w:color="auto" w:fill="auto"/>
            <w:tcMar>
              <w:top w:w="40" w:type="dxa"/>
              <w:left w:w="40" w:type="dxa"/>
              <w:bottom w:w="40" w:type="dxa"/>
              <w:right w:w="40" w:type="dxa"/>
            </w:tcMar>
            <w:vAlign w:val="bottom"/>
          </w:tcPr>
          <w:p w14:paraId="0BC9995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95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95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36</w:t>
            </w:r>
          </w:p>
        </w:tc>
        <w:tc>
          <w:tcPr>
            <w:tcW w:w="0" w:type="auto"/>
            <w:shd w:val="clear" w:color="auto" w:fill="auto"/>
            <w:vAlign w:val="bottom"/>
          </w:tcPr>
          <w:p w14:paraId="0BC9995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96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96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96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72</w:t>
            </w:r>
          </w:p>
        </w:tc>
        <w:tc>
          <w:tcPr>
            <w:tcW w:w="0" w:type="auto"/>
            <w:shd w:val="clear" w:color="auto" w:fill="auto"/>
            <w:vAlign w:val="bottom"/>
          </w:tcPr>
          <w:p w14:paraId="0BC99963" w14:textId="77777777" w:rsidR="009F0928" w:rsidRDefault="009F0928">
            <w:pPr>
              <w:textAlignment w:val="bottom"/>
              <w:rPr>
                <w:rFonts w:ascii="Times New Roman" w:hAnsi="Times New Roman"/>
                <w:sz w:val="20"/>
                <w:szCs w:val="20"/>
              </w:rPr>
            </w:pPr>
          </w:p>
        </w:tc>
      </w:tr>
      <w:tr w:rsidR="009F0928" w14:paraId="0BC9996D" w14:textId="77777777">
        <w:tc>
          <w:tcPr>
            <w:tcW w:w="0" w:type="auto"/>
            <w:shd w:val="clear" w:color="auto" w:fill="E2E2E2"/>
            <w:tcMar>
              <w:top w:w="40" w:type="dxa"/>
              <w:left w:w="40" w:type="dxa"/>
              <w:bottom w:w="40" w:type="dxa"/>
              <w:right w:w="40" w:type="dxa"/>
            </w:tcMar>
            <w:vAlign w:val="bottom"/>
          </w:tcPr>
          <w:p w14:paraId="0BC99965"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Foreign exchange </w:t>
            </w:r>
            <w:r>
              <w:rPr>
                <w:rFonts w:ascii="Arial" w:eastAsia="宋体" w:hAnsi="Arial" w:cs="Arial"/>
                <w:sz w:val="18"/>
                <w:szCs w:val="18"/>
              </w:rPr>
              <w:t>contracts not designated as hedging instruments</w:t>
            </w:r>
          </w:p>
        </w:tc>
        <w:tc>
          <w:tcPr>
            <w:tcW w:w="0" w:type="auto"/>
            <w:shd w:val="clear" w:color="auto" w:fill="E2E2E2"/>
            <w:tcMar>
              <w:top w:w="40" w:type="dxa"/>
              <w:left w:w="40" w:type="dxa"/>
              <w:bottom w:w="40" w:type="dxa"/>
              <w:right w:w="40" w:type="dxa"/>
            </w:tcMar>
            <w:vAlign w:val="bottom"/>
          </w:tcPr>
          <w:p w14:paraId="0BC9996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Other Current Assets</w:t>
            </w:r>
          </w:p>
        </w:tc>
        <w:tc>
          <w:tcPr>
            <w:tcW w:w="0" w:type="auto"/>
            <w:shd w:val="clear" w:color="auto" w:fill="E2E2E2"/>
            <w:tcMar>
              <w:top w:w="40" w:type="dxa"/>
              <w:left w:w="40" w:type="dxa"/>
              <w:bottom w:w="40" w:type="dxa"/>
              <w:right w:w="40" w:type="dxa"/>
            </w:tcMar>
            <w:vAlign w:val="bottom"/>
          </w:tcPr>
          <w:p w14:paraId="0BC9996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96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w:t>
            </w:r>
          </w:p>
        </w:tc>
        <w:tc>
          <w:tcPr>
            <w:tcW w:w="0" w:type="auto"/>
            <w:shd w:val="clear" w:color="auto" w:fill="E2E2E2"/>
            <w:vAlign w:val="bottom"/>
          </w:tcPr>
          <w:p w14:paraId="0BC9996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96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96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38</w:t>
            </w:r>
          </w:p>
        </w:tc>
        <w:tc>
          <w:tcPr>
            <w:tcW w:w="0" w:type="auto"/>
            <w:shd w:val="clear" w:color="auto" w:fill="E2E2E2"/>
            <w:vAlign w:val="bottom"/>
          </w:tcPr>
          <w:p w14:paraId="0BC9996C" w14:textId="77777777" w:rsidR="009F0928" w:rsidRDefault="009F0928">
            <w:pPr>
              <w:textAlignment w:val="bottom"/>
              <w:rPr>
                <w:rFonts w:ascii="Times New Roman" w:hAnsi="Times New Roman"/>
                <w:sz w:val="20"/>
                <w:szCs w:val="20"/>
              </w:rPr>
            </w:pPr>
          </w:p>
        </w:tc>
      </w:tr>
      <w:tr w:rsidR="009F0928" w14:paraId="0BC99976" w14:textId="77777777">
        <w:tc>
          <w:tcPr>
            <w:tcW w:w="0" w:type="auto"/>
            <w:shd w:val="clear" w:color="auto" w:fill="auto"/>
            <w:tcMar>
              <w:top w:w="40" w:type="dxa"/>
              <w:left w:w="40" w:type="dxa"/>
              <w:bottom w:w="40" w:type="dxa"/>
              <w:right w:w="40" w:type="dxa"/>
            </w:tcMar>
            <w:vAlign w:val="bottom"/>
          </w:tcPr>
          <w:p w14:paraId="0BC9996E" w14:textId="77777777" w:rsidR="009F0928" w:rsidRDefault="002112BD">
            <w:pPr>
              <w:textAlignment w:val="bottom"/>
              <w:rPr>
                <w:rFonts w:ascii="Times New Roman" w:hAnsi="Times New Roman"/>
                <w:sz w:val="18"/>
                <w:szCs w:val="18"/>
              </w:rPr>
            </w:pPr>
            <w:r>
              <w:rPr>
                <w:rFonts w:ascii="Arial" w:eastAsia="宋体" w:hAnsi="Arial" w:cs="Arial"/>
                <w:sz w:val="18"/>
                <w:szCs w:val="18"/>
              </w:rPr>
              <w:t>Warrant</w:t>
            </w:r>
          </w:p>
        </w:tc>
        <w:tc>
          <w:tcPr>
            <w:tcW w:w="0" w:type="auto"/>
            <w:shd w:val="clear" w:color="auto" w:fill="auto"/>
            <w:tcMar>
              <w:top w:w="40" w:type="dxa"/>
              <w:left w:w="40" w:type="dxa"/>
              <w:bottom w:w="40" w:type="dxa"/>
              <w:right w:w="40" w:type="dxa"/>
            </w:tcMar>
            <w:vAlign w:val="bottom"/>
          </w:tcPr>
          <w:p w14:paraId="0BC9996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Other Assets</w:t>
            </w:r>
          </w:p>
        </w:tc>
        <w:tc>
          <w:tcPr>
            <w:tcW w:w="0" w:type="auto"/>
            <w:shd w:val="clear" w:color="auto" w:fill="auto"/>
            <w:tcMar>
              <w:top w:w="40" w:type="dxa"/>
              <w:left w:w="40" w:type="dxa"/>
              <w:bottom w:w="40" w:type="dxa"/>
              <w:right w:w="40" w:type="dxa"/>
            </w:tcMar>
            <w:vAlign w:val="bottom"/>
          </w:tcPr>
          <w:p w14:paraId="0BC9997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97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281</w:t>
            </w:r>
          </w:p>
        </w:tc>
        <w:tc>
          <w:tcPr>
            <w:tcW w:w="0" w:type="auto"/>
            <w:shd w:val="clear" w:color="auto" w:fill="auto"/>
            <w:vAlign w:val="bottom"/>
          </w:tcPr>
          <w:p w14:paraId="0BC9997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97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97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148</w:t>
            </w:r>
          </w:p>
        </w:tc>
        <w:tc>
          <w:tcPr>
            <w:tcW w:w="0" w:type="auto"/>
            <w:shd w:val="clear" w:color="auto" w:fill="auto"/>
            <w:vAlign w:val="bottom"/>
          </w:tcPr>
          <w:p w14:paraId="0BC99975" w14:textId="77777777" w:rsidR="009F0928" w:rsidRDefault="009F0928">
            <w:pPr>
              <w:textAlignment w:val="bottom"/>
              <w:rPr>
                <w:rFonts w:ascii="Times New Roman" w:hAnsi="Times New Roman"/>
                <w:sz w:val="20"/>
                <w:szCs w:val="20"/>
              </w:rPr>
            </w:pPr>
          </w:p>
        </w:tc>
      </w:tr>
      <w:tr w:rsidR="009F0928" w14:paraId="0BC9997F" w14:textId="77777777">
        <w:tc>
          <w:tcPr>
            <w:tcW w:w="0" w:type="auto"/>
            <w:shd w:val="clear" w:color="auto" w:fill="E2E2E2"/>
            <w:tcMar>
              <w:top w:w="40" w:type="dxa"/>
              <w:left w:w="40" w:type="dxa"/>
              <w:bottom w:w="40" w:type="dxa"/>
              <w:right w:w="40" w:type="dxa"/>
            </w:tcMar>
            <w:vAlign w:val="bottom"/>
          </w:tcPr>
          <w:p w14:paraId="0BC99977" w14:textId="77777777" w:rsidR="009F0928" w:rsidRDefault="002112BD">
            <w:pPr>
              <w:textAlignment w:val="bottom"/>
              <w:rPr>
                <w:rFonts w:ascii="Times New Roman" w:hAnsi="Times New Roman"/>
                <w:sz w:val="18"/>
                <w:szCs w:val="18"/>
              </w:rPr>
            </w:pPr>
            <w:r>
              <w:rPr>
                <w:rFonts w:ascii="Arial" w:eastAsia="宋体" w:hAnsi="Arial" w:cs="Arial"/>
                <w:sz w:val="18"/>
                <w:szCs w:val="18"/>
              </w:rPr>
              <w:t>Foreign exchange contracts designated as cash flow hedges</w:t>
            </w:r>
          </w:p>
        </w:tc>
        <w:tc>
          <w:tcPr>
            <w:tcW w:w="0" w:type="auto"/>
            <w:shd w:val="clear" w:color="auto" w:fill="E2E2E2"/>
            <w:tcMar>
              <w:top w:w="40" w:type="dxa"/>
              <w:left w:w="40" w:type="dxa"/>
              <w:bottom w:w="40" w:type="dxa"/>
              <w:right w:w="40" w:type="dxa"/>
            </w:tcMar>
            <w:vAlign w:val="bottom"/>
          </w:tcPr>
          <w:p w14:paraId="0BC9997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Other Assets</w:t>
            </w:r>
          </w:p>
        </w:tc>
        <w:tc>
          <w:tcPr>
            <w:tcW w:w="0" w:type="auto"/>
            <w:shd w:val="clear" w:color="auto" w:fill="E2E2E2"/>
            <w:tcMar>
              <w:top w:w="40" w:type="dxa"/>
              <w:left w:w="40" w:type="dxa"/>
              <w:bottom w:w="40" w:type="dxa"/>
              <w:right w:w="40" w:type="dxa"/>
            </w:tcMar>
            <w:vAlign w:val="bottom"/>
          </w:tcPr>
          <w:p w14:paraId="0BC999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97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w:t>
            </w:r>
          </w:p>
        </w:tc>
        <w:tc>
          <w:tcPr>
            <w:tcW w:w="0" w:type="auto"/>
            <w:tcBorders>
              <w:bottom w:val="single" w:sz="8" w:space="0" w:color="000000"/>
            </w:tcBorders>
            <w:shd w:val="clear" w:color="auto" w:fill="E2E2E2"/>
            <w:vAlign w:val="bottom"/>
          </w:tcPr>
          <w:p w14:paraId="0BC9997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97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97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w:t>
            </w:r>
          </w:p>
        </w:tc>
        <w:tc>
          <w:tcPr>
            <w:tcW w:w="0" w:type="auto"/>
            <w:shd w:val="clear" w:color="auto" w:fill="E2E2E2"/>
            <w:vAlign w:val="bottom"/>
          </w:tcPr>
          <w:p w14:paraId="0BC9997E" w14:textId="77777777" w:rsidR="009F0928" w:rsidRDefault="009F0928">
            <w:pPr>
              <w:textAlignment w:val="bottom"/>
              <w:rPr>
                <w:rFonts w:ascii="Times New Roman" w:hAnsi="Times New Roman"/>
                <w:sz w:val="20"/>
                <w:szCs w:val="20"/>
              </w:rPr>
            </w:pPr>
          </w:p>
        </w:tc>
      </w:tr>
      <w:tr w:rsidR="009F0928" w14:paraId="0BC9998A" w14:textId="77777777">
        <w:tc>
          <w:tcPr>
            <w:tcW w:w="0" w:type="auto"/>
            <w:shd w:val="clear" w:color="auto" w:fill="auto"/>
            <w:tcMar>
              <w:top w:w="40" w:type="dxa"/>
              <w:left w:w="400" w:type="dxa"/>
              <w:bottom w:w="40" w:type="dxa"/>
              <w:right w:w="40" w:type="dxa"/>
            </w:tcMar>
            <w:vAlign w:val="bottom"/>
          </w:tcPr>
          <w:p w14:paraId="0BC99980"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derivative assets</w:t>
            </w:r>
          </w:p>
        </w:tc>
        <w:tc>
          <w:tcPr>
            <w:tcW w:w="0" w:type="auto"/>
            <w:shd w:val="clear" w:color="auto" w:fill="auto"/>
            <w:tcMar>
              <w:top w:w="40" w:type="dxa"/>
              <w:left w:w="40" w:type="dxa"/>
              <w:bottom w:w="40" w:type="dxa"/>
              <w:right w:w="40" w:type="dxa"/>
            </w:tcMar>
            <w:vAlign w:val="bottom"/>
          </w:tcPr>
          <w:p w14:paraId="0BC9998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98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98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98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349</w:t>
            </w:r>
          </w:p>
        </w:tc>
        <w:tc>
          <w:tcPr>
            <w:tcW w:w="0" w:type="auto"/>
            <w:shd w:val="clear" w:color="auto" w:fill="auto"/>
            <w:vAlign w:val="bottom"/>
          </w:tcPr>
          <w:p w14:paraId="0BC9998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98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0BC9998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auto"/>
            <w:tcMar>
              <w:top w:w="40" w:type="dxa"/>
              <w:bottom w:w="40" w:type="dxa"/>
            </w:tcMar>
            <w:vAlign w:val="bottom"/>
          </w:tcPr>
          <w:p w14:paraId="0BC9998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262</w:t>
            </w:r>
          </w:p>
        </w:tc>
        <w:tc>
          <w:tcPr>
            <w:tcW w:w="0" w:type="auto"/>
            <w:tcBorders>
              <w:top w:val="single" w:sz="8" w:space="0" w:color="000000"/>
            </w:tcBorders>
            <w:shd w:val="clear" w:color="auto" w:fill="auto"/>
            <w:vAlign w:val="bottom"/>
          </w:tcPr>
          <w:p w14:paraId="0BC99989" w14:textId="77777777" w:rsidR="009F0928" w:rsidRDefault="009F0928">
            <w:pPr>
              <w:textAlignment w:val="bottom"/>
              <w:rPr>
                <w:rFonts w:ascii="Times New Roman" w:hAnsi="Times New Roman"/>
                <w:sz w:val="20"/>
                <w:szCs w:val="20"/>
              </w:rPr>
            </w:pPr>
          </w:p>
        </w:tc>
      </w:tr>
      <w:tr w:rsidR="009F0928" w14:paraId="0BC99991" w14:textId="77777777">
        <w:tc>
          <w:tcPr>
            <w:tcW w:w="0" w:type="auto"/>
            <w:shd w:val="clear" w:color="auto" w:fill="E2E2E2"/>
            <w:tcMar>
              <w:top w:w="40" w:type="dxa"/>
              <w:left w:w="40" w:type="dxa"/>
              <w:bottom w:w="40" w:type="dxa"/>
              <w:right w:w="40" w:type="dxa"/>
            </w:tcMar>
            <w:vAlign w:val="bottom"/>
          </w:tcPr>
          <w:p w14:paraId="0BC9998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98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9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98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98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9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998" w14:textId="77777777">
        <w:tc>
          <w:tcPr>
            <w:tcW w:w="0" w:type="auto"/>
            <w:shd w:val="clear" w:color="auto" w:fill="auto"/>
            <w:tcMar>
              <w:top w:w="40" w:type="dxa"/>
              <w:left w:w="40" w:type="dxa"/>
              <w:bottom w:w="40" w:type="dxa"/>
              <w:right w:w="40" w:type="dxa"/>
            </w:tcMar>
            <w:vAlign w:val="bottom"/>
          </w:tcPr>
          <w:p w14:paraId="0BC99992"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Derivative Liabilities:</w:t>
            </w:r>
          </w:p>
        </w:tc>
        <w:tc>
          <w:tcPr>
            <w:tcW w:w="0" w:type="auto"/>
            <w:shd w:val="clear" w:color="auto" w:fill="auto"/>
            <w:tcMar>
              <w:top w:w="40" w:type="dxa"/>
              <w:left w:w="40" w:type="dxa"/>
              <w:bottom w:w="40" w:type="dxa"/>
              <w:right w:w="40" w:type="dxa"/>
            </w:tcMar>
            <w:vAlign w:val="bottom"/>
          </w:tcPr>
          <w:p w14:paraId="0BC999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99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99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99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9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9A3" w14:textId="77777777">
        <w:tc>
          <w:tcPr>
            <w:tcW w:w="0" w:type="auto"/>
            <w:shd w:val="clear" w:color="auto" w:fill="E2E2E2"/>
            <w:tcMar>
              <w:top w:w="40" w:type="dxa"/>
              <w:left w:w="40" w:type="dxa"/>
              <w:bottom w:w="40" w:type="dxa"/>
              <w:right w:w="40" w:type="dxa"/>
            </w:tcMar>
            <w:vAlign w:val="bottom"/>
          </w:tcPr>
          <w:p w14:paraId="0BC99999" w14:textId="77777777" w:rsidR="009F0928" w:rsidRDefault="002112BD">
            <w:pPr>
              <w:textAlignment w:val="bottom"/>
              <w:rPr>
                <w:rFonts w:ascii="Times New Roman" w:hAnsi="Times New Roman"/>
                <w:sz w:val="18"/>
                <w:szCs w:val="18"/>
              </w:rPr>
            </w:pPr>
            <w:r>
              <w:rPr>
                <w:rFonts w:ascii="Arial" w:eastAsia="宋体" w:hAnsi="Arial" w:cs="Arial"/>
                <w:sz w:val="18"/>
                <w:szCs w:val="18"/>
              </w:rPr>
              <w:t>Foreign exchange contracts designated as cash flow hedges</w:t>
            </w:r>
          </w:p>
        </w:tc>
        <w:tc>
          <w:tcPr>
            <w:tcW w:w="0" w:type="auto"/>
            <w:shd w:val="clear" w:color="auto" w:fill="E2E2E2"/>
            <w:tcMar>
              <w:top w:w="40" w:type="dxa"/>
              <w:left w:w="40" w:type="dxa"/>
              <w:bottom w:w="40" w:type="dxa"/>
              <w:right w:w="40" w:type="dxa"/>
            </w:tcMar>
            <w:vAlign w:val="bottom"/>
          </w:tcPr>
          <w:p w14:paraId="0BC9999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Other Current Liabilities</w:t>
            </w:r>
          </w:p>
        </w:tc>
        <w:tc>
          <w:tcPr>
            <w:tcW w:w="0" w:type="auto"/>
            <w:shd w:val="clear" w:color="auto" w:fill="E2E2E2"/>
            <w:tcMar>
              <w:top w:w="40" w:type="dxa"/>
              <w:left w:w="40" w:type="dxa"/>
              <w:bottom w:w="40" w:type="dxa"/>
              <w:right w:w="40" w:type="dxa"/>
            </w:tcMar>
            <w:vAlign w:val="bottom"/>
          </w:tcPr>
          <w:p w14:paraId="0BC9999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99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99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w:t>
            </w:r>
          </w:p>
        </w:tc>
        <w:tc>
          <w:tcPr>
            <w:tcW w:w="0" w:type="auto"/>
            <w:shd w:val="clear" w:color="auto" w:fill="E2E2E2"/>
            <w:vAlign w:val="bottom"/>
          </w:tcPr>
          <w:p w14:paraId="0BC9999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99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9A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9A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99A2" w14:textId="77777777" w:rsidR="009F0928" w:rsidRDefault="009F0928">
            <w:pPr>
              <w:textAlignment w:val="bottom"/>
              <w:rPr>
                <w:rFonts w:ascii="Times New Roman" w:hAnsi="Times New Roman"/>
                <w:sz w:val="20"/>
                <w:szCs w:val="20"/>
              </w:rPr>
            </w:pPr>
          </w:p>
        </w:tc>
      </w:tr>
      <w:tr w:rsidR="009F0928" w14:paraId="0BC999AC" w14:textId="77777777">
        <w:tc>
          <w:tcPr>
            <w:tcW w:w="0" w:type="auto"/>
            <w:shd w:val="clear" w:color="auto" w:fill="auto"/>
            <w:tcMar>
              <w:top w:w="40" w:type="dxa"/>
              <w:left w:w="40" w:type="dxa"/>
              <w:bottom w:w="40" w:type="dxa"/>
              <w:right w:w="40" w:type="dxa"/>
            </w:tcMar>
            <w:vAlign w:val="bottom"/>
          </w:tcPr>
          <w:p w14:paraId="0BC999A4" w14:textId="77777777" w:rsidR="009F0928" w:rsidRDefault="002112BD">
            <w:pPr>
              <w:textAlignment w:val="bottom"/>
              <w:rPr>
                <w:rFonts w:ascii="Times New Roman" w:hAnsi="Times New Roman"/>
                <w:sz w:val="18"/>
                <w:szCs w:val="18"/>
              </w:rPr>
            </w:pPr>
            <w:r>
              <w:rPr>
                <w:rFonts w:ascii="Arial" w:eastAsia="宋体" w:hAnsi="Arial" w:cs="Arial"/>
                <w:sz w:val="18"/>
                <w:szCs w:val="18"/>
              </w:rPr>
              <w:t>Foreign exchange contracts designated as net investment hedges</w:t>
            </w:r>
          </w:p>
        </w:tc>
        <w:tc>
          <w:tcPr>
            <w:tcW w:w="0" w:type="auto"/>
            <w:shd w:val="clear" w:color="auto" w:fill="auto"/>
            <w:tcMar>
              <w:top w:w="40" w:type="dxa"/>
              <w:left w:w="40" w:type="dxa"/>
              <w:bottom w:w="40" w:type="dxa"/>
              <w:right w:w="40" w:type="dxa"/>
            </w:tcMar>
            <w:vAlign w:val="bottom"/>
          </w:tcPr>
          <w:p w14:paraId="0BC999A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Other Current Liabilities</w:t>
            </w:r>
          </w:p>
        </w:tc>
        <w:tc>
          <w:tcPr>
            <w:tcW w:w="0" w:type="auto"/>
            <w:shd w:val="clear" w:color="auto" w:fill="auto"/>
            <w:tcMar>
              <w:top w:w="40" w:type="dxa"/>
              <w:left w:w="40" w:type="dxa"/>
              <w:bottom w:w="40" w:type="dxa"/>
              <w:right w:w="40" w:type="dxa"/>
            </w:tcMar>
            <w:vAlign w:val="bottom"/>
          </w:tcPr>
          <w:p w14:paraId="0BC999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9A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w:t>
            </w:r>
          </w:p>
        </w:tc>
        <w:tc>
          <w:tcPr>
            <w:tcW w:w="0" w:type="auto"/>
            <w:shd w:val="clear" w:color="auto" w:fill="auto"/>
            <w:vAlign w:val="bottom"/>
          </w:tcPr>
          <w:p w14:paraId="0BC999A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9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9A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w:t>
            </w:r>
          </w:p>
        </w:tc>
        <w:tc>
          <w:tcPr>
            <w:tcW w:w="0" w:type="auto"/>
            <w:shd w:val="clear" w:color="auto" w:fill="auto"/>
            <w:vAlign w:val="bottom"/>
          </w:tcPr>
          <w:p w14:paraId="0BC999AB" w14:textId="77777777" w:rsidR="009F0928" w:rsidRDefault="009F0928">
            <w:pPr>
              <w:textAlignment w:val="bottom"/>
              <w:rPr>
                <w:rFonts w:ascii="Times New Roman" w:hAnsi="Times New Roman"/>
                <w:sz w:val="20"/>
                <w:szCs w:val="20"/>
              </w:rPr>
            </w:pPr>
          </w:p>
        </w:tc>
      </w:tr>
      <w:tr w:rsidR="009F0928" w14:paraId="0BC999B5" w14:textId="77777777">
        <w:tc>
          <w:tcPr>
            <w:tcW w:w="0" w:type="auto"/>
            <w:shd w:val="clear" w:color="auto" w:fill="E2E2E2"/>
            <w:tcMar>
              <w:top w:w="40" w:type="dxa"/>
              <w:left w:w="40" w:type="dxa"/>
              <w:bottom w:w="40" w:type="dxa"/>
              <w:right w:w="40" w:type="dxa"/>
            </w:tcMar>
            <w:vAlign w:val="bottom"/>
          </w:tcPr>
          <w:p w14:paraId="0BC999AD"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Interest rate </w:t>
            </w:r>
            <w:r>
              <w:rPr>
                <w:rFonts w:ascii="Arial" w:eastAsia="宋体" w:hAnsi="Arial" w:cs="Arial"/>
                <w:sz w:val="18"/>
                <w:szCs w:val="18"/>
              </w:rPr>
              <w:t>contracts designated as fair value hedges</w:t>
            </w:r>
          </w:p>
        </w:tc>
        <w:tc>
          <w:tcPr>
            <w:tcW w:w="0" w:type="auto"/>
            <w:shd w:val="clear" w:color="auto" w:fill="E2E2E2"/>
            <w:tcMar>
              <w:top w:w="40" w:type="dxa"/>
              <w:left w:w="40" w:type="dxa"/>
              <w:bottom w:w="40" w:type="dxa"/>
              <w:right w:w="40" w:type="dxa"/>
            </w:tcMar>
            <w:vAlign w:val="bottom"/>
          </w:tcPr>
          <w:p w14:paraId="0BC999A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Other Current Liabilities</w:t>
            </w:r>
          </w:p>
        </w:tc>
        <w:tc>
          <w:tcPr>
            <w:tcW w:w="0" w:type="auto"/>
            <w:shd w:val="clear" w:color="auto" w:fill="E2E2E2"/>
            <w:tcMar>
              <w:top w:w="40" w:type="dxa"/>
              <w:left w:w="40" w:type="dxa"/>
              <w:bottom w:w="40" w:type="dxa"/>
              <w:right w:w="40" w:type="dxa"/>
            </w:tcMar>
            <w:vAlign w:val="bottom"/>
          </w:tcPr>
          <w:p w14:paraId="0BC999A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9B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99B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9B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9B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w:t>
            </w:r>
          </w:p>
        </w:tc>
        <w:tc>
          <w:tcPr>
            <w:tcW w:w="0" w:type="auto"/>
            <w:shd w:val="clear" w:color="auto" w:fill="E2E2E2"/>
            <w:vAlign w:val="bottom"/>
          </w:tcPr>
          <w:p w14:paraId="0BC999B4" w14:textId="77777777" w:rsidR="009F0928" w:rsidRDefault="009F0928">
            <w:pPr>
              <w:textAlignment w:val="bottom"/>
              <w:rPr>
                <w:rFonts w:ascii="Times New Roman" w:hAnsi="Times New Roman"/>
                <w:sz w:val="20"/>
                <w:szCs w:val="20"/>
              </w:rPr>
            </w:pPr>
          </w:p>
        </w:tc>
      </w:tr>
      <w:tr w:rsidR="009F0928" w14:paraId="0BC999BE" w14:textId="77777777">
        <w:tc>
          <w:tcPr>
            <w:tcW w:w="0" w:type="auto"/>
            <w:shd w:val="clear" w:color="auto" w:fill="auto"/>
            <w:tcMar>
              <w:top w:w="40" w:type="dxa"/>
              <w:left w:w="40" w:type="dxa"/>
              <w:bottom w:w="40" w:type="dxa"/>
              <w:right w:w="40" w:type="dxa"/>
            </w:tcMar>
            <w:vAlign w:val="bottom"/>
          </w:tcPr>
          <w:p w14:paraId="0BC999B6" w14:textId="77777777" w:rsidR="009F0928" w:rsidRDefault="002112BD">
            <w:pPr>
              <w:textAlignment w:val="bottom"/>
              <w:rPr>
                <w:rFonts w:ascii="Times New Roman" w:hAnsi="Times New Roman"/>
                <w:sz w:val="18"/>
                <w:szCs w:val="18"/>
              </w:rPr>
            </w:pPr>
            <w:r>
              <w:rPr>
                <w:rFonts w:ascii="Arial" w:eastAsia="宋体" w:hAnsi="Arial" w:cs="Arial"/>
                <w:sz w:val="18"/>
                <w:szCs w:val="18"/>
              </w:rPr>
              <w:t>Foreign exchange contracts not designated as hedging instruments</w:t>
            </w:r>
          </w:p>
        </w:tc>
        <w:tc>
          <w:tcPr>
            <w:tcW w:w="0" w:type="auto"/>
            <w:shd w:val="clear" w:color="auto" w:fill="auto"/>
            <w:tcMar>
              <w:top w:w="40" w:type="dxa"/>
              <w:left w:w="40" w:type="dxa"/>
              <w:bottom w:w="40" w:type="dxa"/>
              <w:right w:w="40" w:type="dxa"/>
            </w:tcMar>
            <w:vAlign w:val="bottom"/>
          </w:tcPr>
          <w:p w14:paraId="0BC999B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Other Current Liabilities</w:t>
            </w:r>
          </w:p>
        </w:tc>
        <w:tc>
          <w:tcPr>
            <w:tcW w:w="0" w:type="auto"/>
            <w:shd w:val="clear" w:color="auto" w:fill="auto"/>
            <w:tcMar>
              <w:top w:w="40" w:type="dxa"/>
              <w:left w:w="40" w:type="dxa"/>
              <w:bottom w:w="40" w:type="dxa"/>
              <w:right w:w="40" w:type="dxa"/>
            </w:tcMar>
            <w:vAlign w:val="bottom"/>
          </w:tcPr>
          <w:p w14:paraId="0BC999B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9B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w:t>
            </w:r>
          </w:p>
        </w:tc>
        <w:tc>
          <w:tcPr>
            <w:tcW w:w="0" w:type="auto"/>
            <w:shd w:val="clear" w:color="auto" w:fill="auto"/>
            <w:vAlign w:val="bottom"/>
          </w:tcPr>
          <w:p w14:paraId="0BC999B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9B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9B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30</w:t>
            </w:r>
          </w:p>
        </w:tc>
        <w:tc>
          <w:tcPr>
            <w:tcW w:w="0" w:type="auto"/>
            <w:shd w:val="clear" w:color="auto" w:fill="auto"/>
            <w:vAlign w:val="bottom"/>
          </w:tcPr>
          <w:p w14:paraId="0BC999BD" w14:textId="77777777" w:rsidR="009F0928" w:rsidRDefault="009F0928">
            <w:pPr>
              <w:textAlignment w:val="bottom"/>
              <w:rPr>
                <w:rFonts w:ascii="Times New Roman" w:hAnsi="Times New Roman"/>
                <w:sz w:val="20"/>
                <w:szCs w:val="20"/>
              </w:rPr>
            </w:pPr>
          </w:p>
        </w:tc>
      </w:tr>
      <w:tr w:rsidR="009F0928" w14:paraId="0BC999C7" w14:textId="77777777">
        <w:tc>
          <w:tcPr>
            <w:tcW w:w="0" w:type="auto"/>
            <w:shd w:val="clear" w:color="auto" w:fill="E2E2E2"/>
            <w:tcMar>
              <w:top w:w="40" w:type="dxa"/>
              <w:left w:w="40" w:type="dxa"/>
              <w:bottom w:w="40" w:type="dxa"/>
              <w:right w:w="40" w:type="dxa"/>
            </w:tcMar>
            <w:vAlign w:val="bottom"/>
          </w:tcPr>
          <w:p w14:paraId="0BC999BF" w14:textId="77777777" w:rsidR="009F0928" w:rsidRDefault="002112BD">
            <w:pPr>
              <w:textAlignment w:val="bottom"/>
              <w:rPr>
                <w:rFonts w:ascii="Times New Roman" w:hAnsi="Times New Roman"/>
                <w:sz w:val="18"/>
                <w:szCs w:val="18"/>
              </w:rPr>
            </w:pPr>
            <w:r>
              <w:rPr>
                <w:rFonts w:ascii="Arial" w:eastAsia="宋体" w:hAnsi="Arial" w:cs="Arial"/>
                <w:sz w:val="18"/>
                <w:szCs w:val="18"/>
              </w:rPr>
              <w:t>Interest rate contracts designated as fair value hedges</w:t>
            </w:r>
          </w:p>
        </w:tc>
        <w:tc>
          <w:tcPr>
            <w:tcW w:w="0" w:type="auto"/>
            <w:shd w:val="clear" w:color="auto" w:fill="E2E2E2"/>
            <w:tcMar>
              <w:top w:w="40" w:type="dxa"/>
              <w:left w:w="40" w:type="dxa"/>
              <w:bottom w:w="40" w:type="dxa"/>
              <w:right w:w="40" w:type="dxa"/>
            </w:tcMar>
            <w:vAlign w:val="bottom"/>
          </w:tcPr>
          <w:p w14:paraId="0BC999C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 xml:space="preserve">Other </w:t>
            </w:r>
            <w:r>
              <w:rPr>
                <w:rFonts w:ascii="Arial" w:eastAsia="宋体" w:hAnsi="Arial" w:cs="Arial"/>
                <w:sz w:val="18"/>
                <w:szCs w:val="18"/>
              </w:rPr>
              <w:t>Liabilities</w:t>
            </w:r>
          </w:p>
        </w:tc>
        <w:tc>
          <w:tcPr>
            <w:tcW w:w="0" w:type="auto"/>
            <w:shd w:val="clear" w:color="auto" w:fill="E2E2E2"/>
            <w:tcMar>
              <w:top w:w="40" w:type="dxa"/>
              <w:left w:w="40" w:type="dxa"/>
              <w:bottom w:w="40" w:type="dxa"/>
              <w:right w:w="40" w:type="dxa"/>
            </w:tcMar>
            <w:vAlign w:val="bottom"/>
          </w:tcPr>
          <w:p w14:paraId="0BC999C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9C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E2E2E2"/>
            <w:vAlign w:val="bottom"/>
          </w:tcPr>
          <w:p w14:paraId="0BC999C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9C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9C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w:t>
            </w:r>
          </w:p>
        </w:tc>
        <w:tc>
          <w:tcPr>
            <w:tcW w:w="0" w:type="auto"/>
            <w:tcBorders>
              <w:bottom w:val="single" w:sz="8" w:space="0" w:color="000000"/>
            </w:tcBorders>
            <w:shd w:val="clear" w:color="auto" w:fill="E2E2E2"/>
            <w:vAlign w:val="bottom"/>
          </w:tcPr>
          <w:p w14:paraId="0BC999C6" w14:textId="77777777" w:rsidR="009F0928" w:rsidRDefault="009F0928">
            <w:pPr>
              <w:textAlignment w:val="bottom"/>
              <w:rPr>
                <w:rFonts w:ascii="Times New Roman" w:hAnsi="Times New Roman"/>
                <w:sz w:val="20"/>
                <w:szCs w:val="20"/>
              </w:rPr>
            </w:pPr>
          </w:p>
        </w:tc>
      </w:tr>
      <w:tr w:rsidR="009F0928" w14:paraId="0BC999D2" w14:textId="77777777">
        <w:tc>
          <w:tcPr>
            <w:tcW w:w="0" w:type="auto"/>
            <w:shd w:val="clear" w:color="auto" w:fill="auto"/>
            <w:tcMar>
              <w:top w:w="40" w:type="dxa"/>
              <w:left w:w="400" w:type="dxa"/>
              <w:bottom w:w="40" w:type="dxa"/>
              <w:right w:w="40" w:type="dxa"/>
            </w:tcMar>
            <w:vAlign w:val="bottom"/>
          </w:tcPr>
          <w:p w14:paraId="0BC999C8"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derivative liabilities</w:t>
            </w:r>
          </w:p>
        </w:tc>
        <w:tc>
          <w:tcPr>
            <w:tcW w:w="0" w:type="auto"/>
            <w:shd w:val="clear" w:color="auto" w:fill="auto"/>
            <w:tcMar>
              <w:top w:w="40" w:type="dxa"/>
              <w:left w:w="40" w:type="dxa"/>
              <w:bottom w:w="40" w:type="dxa"/>
              <w:right w:w="40" w:type="dxa"/>
            </w:tcMar>
            <w:vAlign w:val="bottom"/>
          </w:tcPr>
          <w:p w14:paraId="0BC999C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9C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9C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99C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w:t>
            </w:r>
          </w:p>
        </w:tc>
        <w:tc>
          <w:tcPr>
            <w:tcW w:w="0" w:type="auto"/>
            <w:shd w:val="clear" w:color="auto" w:fill="auto"/>
            <w:vAlign w:val="bottom"/>
          </w:tcPr>
          <w:p w14:paraId="0BC999C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9C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0BC999C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auto"/>
            <w:tcMar>
              <w:top w:w="40" w:type="dxa"/>
              <w:bottom w:w="40" w:type="dxa"/>
            </w:tcMar>
            <w:vAlign w:val="bottom"/>
          </w:tcPr>
          <w:p w14:paraId="0BC999D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48</w:t>
            </w:r>
          </w:p>
        </w:tc>
        <w:tc>
          <w:tcPr>
            <w:tcW w:w="0" w:type="auto"/>
            <w:tcBorders>
              <w:top w:val="single" w:sz="8" w:space="0" w:color="000000"/>
            </w:tcBorders>
            <w:shd w:val="clear" w:color="auto" w:fill="auto"/>
            <w:vAlign w:val="bottom"/>
          </w:tcPr>
          <w:p w14:paraId="0BC999D1" w14:textId="77777777" w:rsidR="009F0928" w:rsidRDefault="009F0928">
            <w:pPr>
              <w:textAlignment w:val="bottom"/>
              <w:rPr>
                <w:rFonts w:ascii="Times New Roman" w:hAnsi="Times New Roman"/>
                <w:sz w:val="20"/>
                <w:szCs w:val="20"/>
              </w:rPr>
            </w:pPr>
          </w:p>
        </w:tc>
      </w:tr>
      <w:tr w:rsidR="009F0928" w14:paraId="0BC999D9" w14:textId="77777777">
        <w:tc>
          <w:tcPr>
            <w:tcW w:w="0" w:type="auto"/>
            <w:shd w:val="clear" w:color="auto" w:fill="E2E2E2"/>
            <w:tcMar>
              <w:top w:w="40" w:type="dxa"/>
              <w:left w:w="40" w:type="dxa"/>
              <w:bottom w:w="40" w:type="dxa"/>
              <w:right w:w="40" w:type="dxa"/>
            </w:tcMar>
            <w:vAlign w:val="bottom"/>
          </w:tcPr>
          <w:p w14:paraId="0BC999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9D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9D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9D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9D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9D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9E4" w14:textId="77777777">
        <w:tc>
          <w:tcPr>
            <w:tcW w:w="0" w:type="auto"/>
            <w:shd w:val="clear" w:color="auto" w:fill="auto"/>
            <w:tcMar>
              <w:top w:w="40" w:type="dxa"/>
              <w:left w:w="400" w:type="dxa"/>
              <w:bottom w:w="40" w:type="dxa"/>
              <w:right w:w="40" w:type="dxa"/>
            </w:tcMar>
            <w:vAlign w:val="bottom"/>
          </w:tcPr>
          <w:p w14:paraId="0BC999DA"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fair value of derivative instruments</w:t>
            </w:r>
          </w:p>
        </w:tc>
        <w:tc>
          <w:tcPr>
            <w:tcW w:w="0" w:type="auto"/>
            <w:shd w:val="clear" w:color="auto" w:fill="auto"/>
            <w:tcMar>
              <w:top w:w="40" w:type="dxa"/>
              <w:left w:w="40" w:type="dxa"/>
              <w:bottom w:w="40" w:type="dxa"/>
              <w:right w:w="40" w:type="dxa"/>
            </w:tcMar>
            <w:vAlign w:val="bottom"/>
          </w:tcPr>
          <w:p w14:paraId="0BC999D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9D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9D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9D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324</w:t>
            </w:r>
          </w:p>
        </w:tc>
        <w:tc>
          <w:tcPr>
            <w:tcW w:w="0" w:type="auto"/>
            <w:tcBorders>
              <w:top w:val="single" w:sz="8" w:space="0" w:color="000000"/>
              <w:bottom w:val="double" w:sz="6" w:space="0" w:color="000000"/>
            </w:tcBorders>
            <w:shd w:val="clear" w:color="auto" w:fill="auto"/>
            <w:vAlign w:val="bottom"/>
          </w:tcPr>
          <w:p w14:paraId="0BC999D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9E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9E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9E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214</w:t>
            </w:r>
          </w:p>
        </w:tc>
        <w:tc>
          <w:tcPr>
            <w:tcW w:w="0" w:type="auto"/>
            <w:tcBorders>
              <w:top w:val="single" w:sz="8" w:space="0" w:color="000000"/>
              <w:bottom w:val="double" w:sz="6" w:space="0" w:color="000000"/>
            </w:tcBorders>
            <w:shd w:val="clear" w:color="auto" w:fill="auto"/>
            <w:vAlign w:val="bottom"/>
          </w:tcPr>
          <w:p w14:paraId="0BC999E3" w14:textId="77777777" w:rsidR="009F0928" w:rsidRDefault="009F0928">
            <w:pPr>
              <w:textAlignment w:val="bottom"/>
              <w:rPr>
                <w:rFonts w:ascii="Times New Roman" w:hAnsi="Times New Roman"/>
                <w:sz w:val="20"/>
                <w:szCs w:val="20"/>
              </w:rPr>
            </w:pPr>
          </w:p>
        </w:tc>
      </w:tr>
    </w:tbl>
    <w:p w14:paraId="0BC999E5" w14:textId="77777777" w:rsidR="009F0928" w:rsidRDefault="009F0928">
      <w:pPr>
        <w:spacing w:line="288" w:lineRule="auto"/>
        <w:rPr>
          <w:rFonts w:ascii="Times New Roman" w:hAnsi="Times New Roman"/>
          <w:sz w:val="20"/>
          <w:szCs w:val="20"/>
        </w:rPr>
      </w:pPr>
    </w:p>
    <w:p w14:paraId="0BC999E6" w14:textId="77777777" w:rsidR="009F0928" w:rsidRDefault="009F0928">
      <w:pPr>
        <w:spacing w:line="288" w:lineRule="auto"/>
        <w:jc w:val="both"/>
        <w:rPr>
          <w:rFonts w:ascii="Times New Roman" w:hAnsi="Times New Roman"/>
          <w:sz w:val="20"/>
          <w:szCs w:val="20"/>
        </w:rPr>
      </w:pPr>
    </w:p>
    <w:p w14:paraId="0BC999E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Under the master netting agreements with the respective counterparties to our derivative contracts, subject to applicable requirements, we are allowed to net settle transactions of the same type with a single net amount payable by one party to the other. H</w:t>
      </w:r>
      <w:r>
        <w:rPr>
          <w:rFonts w:ascii="Arial" w:eastAsia="宋体" w:hAnsi="Arial" w:cs="Arial"/>
          <w:sz w:val="20"/>
          <w:szCs w:val="20"/>
        </w:rPr>
        <w:t xml:space="preserve">owever, we have elected to present the derivative assets and derivative liabilities on a gross basis on our consolidated balance sheet. As of December 31, 2019, the potential effect of rights of set-off associated with the foreign exchange contracts would </w:t>
      </w:r>
      <w:r>
        <w:rPr>
          <w:rFonts w:ascii="Arial" w:eastAsia="宋体" w:hAnsi="Arial" w:cs="Arial"/>
          <w:sz w:val="20"/>
          <w:szCs w:val="20"/>
        </w:rPr>
        <w:t xml:space="preserve">be an offset to both assets and liabilities by $25 million, resulting in net derivative assets of $43 million and net derivative liabilities of less than $1 million. </w:t>
      </w:r>
    </w:p>
    <w:p w14:paraId="0BC999E8" w14:textId="77777777" w:rsidR="009F0928" w:rsidRDefault="009F0928">
      <w:pPr>
        <w:spacing w:line="288" w:lineRule="auto"/>
        <w:jc w:val="both"/>
        <w:rPr>
          <w:rFonts w:ascii="Times New Roman" w:hAnsi="Times New Roman"/>
          <w:sz w:val="20"/>
          <w:szCs w:val="20"/>
        </w:rPr>
      </w:pPr>
    </w:p>
    <w:p w14:paraId="0BC999E9"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Effect of Derivative Contracts on Accumulated Other Comprehensive Income</w:t>
      </w:r>
    </w:p>
    <w:p w14:paraId="0BC999EA" w14:textId="77777777" w:rsidR="009F0928" w:rsidRDefault="009F0928">
      <w:pPr>
        <w:spacing w:line="288" w:lineRule="auto"/>
        <w:ind w:firstLine="640"/>
        <w:jc w:val="both"/>
        <w:rPr>
          <w:rFonts w:ascii="Times New Roman" w:hAnsi="Times New Roman"/>
          <w:sz w:val="20"/>
          <w:szCs w:val="20"/>
        </w:rPr>
      </w:pPr>
    </w:p>
    <w:p w14:paraId="0BC999E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w:t>
      </w:r>
      <w:r>
        <w:rPr>
          <w:rFonts w:ascii="Arial" w:eastAsia="宋体" w:hAnsi="Arial" w:cs="Arial"/>
          <w:sz w:val="20"/>
          <w:szCs w:val="20"/>
        </w:rPr>
        <w:t>following tables present the activity of derivative instruments designated as cash flow hedges as of December 31, 2019 and 2018, and the impact of these derivative contracts on AOCI for the years ended December 31, 2019 and 2018 (in millions):</w:t>
      </w:r>
    </w:p>
    <w:tbl>
      <w:tblPr>
        <w:tblW w:w="5000" w:type="pct"/>
        <w:tblCellMar>
          <w:left w:w="0" w:type="dxa"/>
          <w:right w:w="0" w:type="dxa"/>
        </w:tblCellMar>
        <w:tblLook w:val="04A0" w:firstRow="1" w:lastRow="0" w:firstColumn="1" w:lastColumn="0" w:noHBand="0" w:noVBand="1"/>
      </w:tblPr>
      <w:tblGrid>
        <w:gridCol w:w="2125"/>
        <w:gridCol w:w="142"/>
        <w:gridCol w:w="1211"/>
        <w:gridCol w:w="65"/>
        <w:gridCol w:w="130"/>
        <w:gridCol w:w="1443"/>
        <w:gridCol w:w="69"/>
        <w:gridCol w:w="130"/>
        <w:gridCol w:w="1441"/>
        <w:gridCol w:w="53"/>
        <w:gridCol w:w="130"/>
        <w:gridCol w:w="142"/>
        <w:gridCol w:w="1125"/>
        <w:gridCol w:w="100"/>
      </w:tblGrid>
      <w:tr w:rsidR="009F0928" w14:paraId="0BC999ED" w14:textId="77777777">
        <w:tc>
          <w:tcPr>
            <w:tcW w:w="0" w:type="auto"/>
            <w:gridSpan w:val="14"/>
            <w:shd w:val="clear" w:color="auto" w:fill="auto"/>
            <w:vAlign w:val="center"/>
          </w:tcPr>
          <w:p w14:paraId="0BC999EC" w14:textId="77777777" w:rsidR="009F0928" w:rsidRDefault="009F0928">
            <w:pPr>
              <w:rPr>
                <w:rFonts w:ascii="Times New Roman" w:hAnsi="Times New Roman"/>
                <w:sz w:val="20"/>
                <w:szCs w:val="20"/>
              </w:rPr>
            </w:pPr>
          </w:p>
        </w:tc>
      </w:tr>
      <w:tr w:rsidR="009F0928" w14:paraId="0BC999FC" w14:textId="77777777">
        <w:tc>
          <w:tcPr>
            <w:tcW w:w="1300" w:type="pct"/>
            <w:shd w:val="clear" w:color="auto" w:fill="auto"/>
            <w:vAlign w:val="center"/>
          </w:tcPr>
          <w:p w14:paraId="0BC999EE" w14:textId="77777777" w:rsidR="009F0928" w:rsidRDefault="009F0928">
            <w:pPr>
              <w:rPr>
                <w:rFonts w:ascii="Times New Roman" w:hAnsi="Times New Roman"/>
                <w:sz w:val="20"/>
                <w:szCs w:val="20"/>
              </w:rPr>
            </w:pPr>
          </w:p>
        </w:tc>
        <w:tc>
          <w:tcPr>
            <w:tcW w:w="50" w:type="pct"/>
            <w:shd w:val="clear" w:color="auto" w:fill="auto"/>
            <w:vAlign w:val="center"/>
          </w:tcPr>
          <w:p w14:paraId="0BC999EF" w14:textId="77777777" w:rsidR="009F0928" w:rsidRDefault="009F0928">
            <w:pPr>
              <w:rPr>
                <w:rFonts w:ascii="Times New Roman" w:hAnsi="Times New Roman"/>
                <w:sz w:val="20"/>
                <w:szCs w:val="20"/>
              </w:rPr>
            </w:pPr>
          </w:p>
        </w:tc>
        <w:tc>
          <w:tcPr>
            <w:tcW w:w="750" w:type="pct"/>
            <w:shd w:val="clear" w:color="auto" w:fill="auto"/>
            <w:vAlign w:val="center"/>
          </w:tcPr>
          <w:p w14:paraId="0BC999F0" w14:textId="77777777" w:rsidR="009F0928" w:rsidRDefault="009F0928">
            <w:pPr>
              <w:rPr>
                <w:rFonts w:ascii="Times New Roman" w:hAnsi="Times New Roman"/>
                <w:sz w:val="20"/>
                <w:szCs w:val="20"/>
              </w:rPr>
            </w:pPr>
          </w:p>
        </w:tc>
        <w:tc>
          <w:tcPr>
            <w:tcW w:w="50" w:type="pct"/>
            <w:shd w:val="clear" w:color="auto" w:fill="auto"/>
            <w:vAlign w:val="center"/>
          </w:tcPr>
          <w:p w14:paraId="0BC999F1" w14:textId="77777777" w:rsidR="009F0928" w:rsidRDefault="009F0928">
            <w:pPr>
              <w:rPr>
                <w:rFonts w:ascii="Times New Roman" w:hAnsi="Times New Roman"/>
                <w:sz w:val="20"/>
                <w:szCs w:val="20"/>
              </w:rPr>
            </w:pPr>
          </w:p>
        </w:tc>
        <w:tc>
          <w:tcPr>
            <w:tcW w:w="50" w:type="pct"/>
            <w:shd w:val="clear" w:color="auto" w:fill="auto"/>
            <w:vAlign w:val="center"/>
          </w:tcPr>
          <w:p w14:paraId="0BC999F2" w14:textId="77777777" w:rsidR="009F0928" w:rsidRDefault="009F0928">
            <w:pPr>
              <w:rPr>
                <w:rFonts w:ascii="Times New Roman" w:hAnsi="Times New Roman"/>
                <w:sz w:val="20"/>
                <w:szCs w:val="20"/>
              </w:rPr>
            </w:pPr>
          </w:p>
        </w:tc>
        <w:tc>
          <w:tcPr>
            <w:tcW w:w="900" w:type="pct"/>
            <w:shd w:val="clear" w:color="auto" w:fill="auto"/>
            <w:vAlign w:val="center"/>
          </w:tcPr>
          <w:p w14:paraId="0BC999F3" w14:textId="77777777" w:rsidR="009F0928" w:rsidRDefault="009F0928">
            <w:pPr>
              <w:rPr>
                <w:rFonts w:ascii="Times New Roman" w:hAnsi="Times New Roman"/>
                <w:sz w:val="20"/>
                <w:szCs w:val="20"/>
              </w:rPr>
            </w:pPr>
          </w:p>
        </w:tc>
        <w:tc>
          <w:tcPr>
            <w:tcW w:w="50" w:type="pct"/>
            <w:shd w:val="clear" w:color="auto" w:fill="auto"/>
            <w:vAlign w:val="center"/>
          </w:tcPr>
          <w:p w14:paraId="0BC999F4" w14:textId="77777777" w:rsidR="009F0928" w:rsidRDefault="009F0928">
            <w:pPr>
              <w:rPr>
                <w:rFonts w:ascii="Times New Roman" w:hAnsi="Times New Roman"/>
                <w:sz w:val="20"/>
                <w:szCs w:val="20"/>
              </w:rPr>
            </w:pPr>
          </w:p>
        </w:tc>
        <w:tc>
          <w:tcPr>
            <w:tcW w:w="50" w:type="pct"/>
            <w:shd w:val="clear" w:color="auto" w:fill="auto"/>
            <w:vAlign w:val="center"/>
          </w:tcPr>
          <w:p w14:paraId="0BC999F5" w14:textId="77777777" w:rsidR="009F0928" w:rsidRDefault="009F0928">
            <w:pPr>
              <w:rPr>
                <w:rFonts w:ascii="Times New Roman" w:hAnsi="Times New Roman"/>
                <w:sz w:val="20"/>
                <w:szCs w:val="20"/>
              </w:rPr>
            </w:pPr>
          </w:p>
        </w:tc>
        <w:tc>
          <w:tcPr>
            <w:tcW w:w="900" w:type="pct"/>
            <w:shd w:val="clear" w:color="auto" w:fill="auto"/>
            <w:vAlign w:val="center"/>
          </w:tcPr>
          <w:p w14:paraId="0BC999F6" w14:textId="77777777" w:rsidR="009F0928" w:rsidRDefault="009F0928">
            <w:pPr>
              <w:rPr>
                <w:rFonts w:ascii="Times New Roman" w:hAnsi="Times New Roman"/>
                <w:sz w:val="20"/>
                <w:szCs w:val="20"/>
              </w:rPr>
            </w:pPr>
          </w:p>
        </w:tc>
        <w:tc>
          <w:tcPr>
            <w:tcW w:w="50" w:type="pct"/>
            <w:shd w:val="clear" w:color="auto" w:fill="auto"/>
            <w:vAlign w:val="center"/>
          </w:tcPr>
          <w:p w14:paraId="0BC999F7" w14:textId="77777777" w:rsidR="009F0928" w:rsidRDefault="009F0928">
            <w:pPr>
              <w:rPr>
                <w:rFonts w:ascii="Times New Roman" w:hAnsi="Times New Roman"/>
                <w:sz w:val="20"/>
                <w:szCs w:val="20"/>
              </w:rPr>
            </w:pPr>
          </w:p>
        </w:tc>
        <w:tc>
          <w:tcPr>
            <w:tcW w:w="50" w:type="pct"/>
            <w:shd w:val="clear" w:color="auto" w:fill="auto"/>
            <w:vAlign w:val="center"/>
          </w:tcPr>
          <w:p w14:paraId="0BC999F8" w14:textId="77777777" w:rsidR="009F0928" w:rsidRDefault="009F0928">
            <w:pPr>
              <w:rPr>
                <w:rFonts w:ascii="Times New Roman" w:hAnsi="Times New Roman"/>
                <w:sz w:val="20"/>
                <w:szCs w:val="20"/>
              </w:rPr>
            </w:pPr>
          </w:p>
        </w:tc>
        <w:tc>
          <w:tcPr>
            <w:tcW w:w="50" w:type="pct"/>
            <w:shd w:val="clear" w:color="auto" w:fill="auto"/>
            <w:vAlign w:val="center"/>
          </w:tcPr>
          <w:p w14:paraId="0BC999F9" w14:textId="77777777" w:rsidR="009F0928" w:rsidRDefault="009F0928">
            <w:pPr>
              <w:rPr>
                <w:rFonts w:ascii="Times New Roman" w:hAnsi="Times New Roman"/>
                <w:sz w:val="20"/>
                <w:szCs w:val="20"/>
              </w:rPr>
            </w:pPr>
          </w:p>
        </w:tc>
        <w:tc>
          <w:tcPr>
            <w:tcW w:w="700" w:type="pct"/>
            <w:shd w:val="clear" w:color="auto" w:fill="auto"/>
            <w:vAlign w:val="center"/>
          </w:tcPr>
          <w:p w14:paraId="0BC999FA" w14:textId="77777777" w:rsidR="009F0928" w:rsidRDefault="009F0928">
            <w:pPr>
              <w:rPr>
                <w:rFonts w:ascii="Times New Roman" w:hAnsi="Times New Roman"/>
                <w:sz w:val="20"/>
                <w:szCs w:val="20"/>
              </w:rPr>
            </w:pPr>
          </w:p>
        </w:tc>
        <w:tc>
          <w:tcPr>
            <w:tcW w:w="50" w:type="pct"/>
            <w:shd w:val="clear" w:color="auto" w:fill="auto"/>
            <w:vAlign w:val="center"/>
          </w:tcPr>
          <w:p w14:paraId="0BC999FB" w14:textId="77777777" w:rsidR="009F0928" w:rsidRDefault="009F0928">
            <w:pPr>
              <w:rPr>
                <w:rFonts w:ascii="Times New Roman" w:hAnsi="Times New Roman"/>
                <w:sz w:val="20"/>
                <w:szCs w:val="20"/>
              </w:rPr>
            </w:pPr>
          </w:p>
        </w:tc>
      </w:tr>
      <w:tr w:rsidR="009F0928" w14:paraId="0BC99A08" w14:textId="77777777">
        <w:tc>
          <w:tcPr>
            <w:tcW w:w="0" w:type="auto"/>
            <w:shd w:val="clear" w:color="auto" w:fill="auto"/>
            <w:tcMar>
              <w:top w:w="40" w:type="dxa"/>
              <w:left w:w="40" w:type="dxa"/>
              <w:bottom w:w="40" w:type="dxa"/>
              <w:right w:w="40" w:type="dxa"/>
            </w:tcMar>
            <w:vAlign w:val="bottom"/>
          </w:tcPr>
          <w:p w14:paraId="0BC999FD"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9FE"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 2018</w:t>
            </w:r>
          </w:p>
        </w:tc>
        <w:tc>
          <w:tcPr>
            <w:tcW w:w="0" w:type="auto"/>
            <w:shd w:val="clear" w:color="auto" w:fill="auto"/>
            <w:tcMar>
              <w:top w:w="40" w:type="dxa"/>
              <w:left w:w="40" w:type="dxa"/>
              <w:bottom w:w="40" w:type="dxa"/>
              <w:right w:w="40" w:type="dxa"/>
            </w:tcMar>
            <w:vAlign w:val="bottom"/>
          </w:tcPr>
          <w:p w14:paraId="0BC999F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9A0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Amount of Gain (Loss)</w:t>
            </w:r>
          </w:p>
          <w:p w14:paraId="0BC99A01"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Recognized in Other</w:t>
            </w:r>
          </w:p>
          <w:p w14:paraId="0BC99A02"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Comprehensive </w:t>
            </w:r>
          </w:p>
          <w:p w14:paraId="0BC99A0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Income</w:t>
            </w:r>
          </w:p>
        </w:tc>
        <w:tc>
          <w:tcPr>
            <w:tcW w:w="0" w:type="auto"/>
            <w:shd w:val="clear" w:color="auto" w:fill="auto"/>
            <w:tcMar>
              <w:top w:w="40" w:type="dxa"/>
              <w:left w:w="40" w:type="dxa"/>
              <w:bottom w:w="40" w:type="dxa"/>
              <w:right w:w="40" w:type="dxa"/>
            </w:tcMar>
            <w:vAlign w:val="bottom"/>
          </w:tcPr>
          <w:p w14:paraId="0BC99A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9A05"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Less: Amount of Gain (Loss) Reclassified From AOCI to Earnings</w:t>
            </w:r>
          </w:p>
        </w:tc>
        <w:tc>
          <w:tcPr>
            <w:tcW w:w="0" w:type="auto"/>
            <w:shd w:val="clear" w:color="auto" w:fill="auto"/>
            <w:tcMar>
              <w:top w:w="40" w:type="dxa"/>
              <w:left w:w="40" w:type="dxa"/>
              <w:bottom w:w="40" w:type="dxa"/>
              <w:right w:w="40" w:type="dxa"/>
            </w:tcMar>
            <w:vAlign w:val="bottom"/>
          </w:tcPr>
          <w:p w14:paraId="0BC99A0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A0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 2019</w:t>
            </w:r>
          </w:p>
        </w:tc>
      </w:tr>
      <w:tr w:rsidR="009F0928" w14:paraId="0BC99A17" w14:textId="77777777">
        <w:tc>
          <w:tcPr>
            <w:tcW w:w="0" w:type="auto"/>
            <w:shd w:val="clear" w:color="auto" w:fill="E2E2E2"/>
            <w:tcMar>
              <w:top w:w="40" w:type="dxa"/>
              <w:left w:w="40" w:type="dxa"/>
              <w:bottom w:w="40" w:type="dxa"/>
              <w:right w:w="40" w:type="dxa"/>
            </w:tcMar>
            <w:vAlign w:val="bottom"/>
          </w:tcPr>
          <w:p w14:paraId="0BC99A09" w14:textId="77777777" w:rsidR="009F0928" w:rsidRDefault="002112BD">
            <w:pPr>
              <w:textAlignment w:val="bottom"/>
              <w:rPr>
                <w:rFonts w:ascii="Times New Roman" w:hAnsi="Times New Roman"/>
                <w:sz w:val="18"/>
                <w:szCs w:val="18"/>
              </w:rPr>
            </w:pPr>
            <w:r>
              <w:rPr>
                <w:rFonts w:ascii="Arial" w:eastAsia="宋体" w:hAnsi="Arial" w:cs="Arial"/>
                <w:sz w:val="18"/>
                <w:szCs w:val="18"/>
              </w:rPr>
              <w:t>Foreign exchange contracts designated as cash flow hedges</w:t>
            </w:r>
          </w:p>
        </w:tc>
        <w:tc>
          <w:tcPr>
            <w:tcW w:w="0" w:type="auto"/>
            <w:tcBorders>
              <w:bottom w:val="double" w:sz="6" w:space="0" w:color="000000"/>
            </w:tcBorders>
            <w:shd w:val="clear" w:color="auto" w:fill="E2E2E2"/>
            <w:tcMar>
              <w:top w:w="40" w:type="dxa"/>
              <w:left w:w="40" w:type="dxa"/>
              <w:bottom w:w="40" w:type="dxa"/>
            </w:tcMar>
            <w:vAlign w:val="bottom"/>
          </w:tcPr>
          <w:p w14:paraId="0BC99A0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9A0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68</w:t>
            </w:r>
          </w:p>
        </w:tc>
        <w:tc>
          <w:tcPr>
            <w:tcW w:w="0" w:type="auto"/>
            <w:tcBorders>
              <w:bottom w:val="double" w:sz="6" w:space="0" w:color="000000"/>
            </w:tcBorders>
            <w:shd w:val="clear" w:color="auto" w:fill="E2E2E2"/>
            <w:vAlign w:val="bottom"/>
          </w:tcPr>
          <w:p w14:paraId="0BC99A0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A0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9A0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w:t>
            </w:r>
          </w:p>
        </w:tc>
        <w:tc>
          <w:tcPr>
            <w:tcW w:w="0" w:type="auto"/>
            <w:tcBorders>
              <w:bottom w:val="double" w:sz="6" w:space="0" w:color="000000"/>
            </w:tcBorders>
            <w:shd w:val="clear" w:color="auto" w:fill="E2E2E2"/>
            <w:vAlign w:val="bottom"/>
          </w:tcPr>
          <w:p w14:paraId="0BC99A0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A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9A1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81</w:t>
            </w:r>
          </w:p>
        </w:tc>
        <w:tc>
          <w:tcPr>
            <w:tcW w:w="0" w:type="auto"/>
            <w:tcBorders>
              <w:bottom w:val="double" w:sz="6" w:space="0" w:color="000000"/>
            </w:tcBorders>
            <w:shd w:val="clear" w:color="auto" w:fill="E2E2E2"/>
            <w:vAlign w:val="bottom"/>
          </w:tcPr>
          <w:p w14:paraId="0BC99A1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A1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9A1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9A1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w:t>
            </w:r>
          </w:p>
        </w:tc>
        <w:tc>
          <w:tcPr>
            <w:tcW w:w="0" w:type="auto"/>
            <w:tcBorders>
              <w:bottom w:val="double" w:sz="6" w:space="0" w:color="000000"/>
            </w:tcBorders>
            <w:shd w:val="clear" w:color="auto" w:fill="E2E2E2"/>
            <w:tcMar>
              <w:top w:w="40" w:type="dxa"/>
              <w:bottom w:w="40" w:type="dxa"/>
              <w:right w:w="40" w:type="dxa"/>
            </w:tcMar>
            <w:vAlign w:val="bottom"/>
          </w:tcPr>
          <w:p w14:paraId="0BC99A1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bl>
    <w:p w14:paraId="0BC99A18" w14:textId="77777777" w:rsidR="009F0928" w:rsidRDefault="009F0928">
      <w:pPr>
        <w:spacing w:line="288" w:lineRule="auto"/>
        <w:jc w:val="both"/>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12"/>
        <w:gridCol w:w="142"/>
        <w:gridCol w:w="1198"/>
        <w:gridCol w:w="100"/>
        <w:gridCol w:w="130"/>
        <w:gridCol w:w="1447"/>
        <w:gridCol w:w="69"/>
        <w:gridCol w:w="130"/>
        <w:gridCol w:w="1420"/>
        <w:gridCol w:w="100"/>
        <w:gridCol w:w="130"/>
        <w:gridCol w:w="142"/>
        <w:gridCol w:w="1116"/>
        <w:gridCol w:w="70"/>
      </w:tblGrid>
      <w:tr w:rsidR="009F0928" w14:paraId="0BC99A1A" w14:textId="77777777">
        <w:tc>
          <w:tcPr>
            <w:tcW w:w="0" w:type="auto"/>
            <w:gridSpan w:val="14"/>
            <w:shd w:val="clear" w:color="auto" w:fill="auto"/>
            <w:vAlign w:val="center"/>
          </w:tcPr>
          <w:p w14:paraId="0BC99A19" w14:textId="77777777" w:rsidR="009F0928" w:rsidRDefault="009F0928">
            <w:pPr>
              <w:rPr>
                <w:rFonts w:ascii="Times New Roman" w:hAnsi="Times New Roman"/>
                <w:sz w:val="20"/>
                <w:szCs w:val="20"/>
              </w:rPr>
            </w:pPr>
          </w:p>
        </w:tc>
      </w:tr>
      <w:tr w:rsidR="009F0928" w14:paraId="0BC99A29" w14:textId="77777777">
        <w:tc>
          <w:tcPr>
            <w:tcW w:w="1300" w:type="pct"/>
            <w:shd w:val="clear" w:color="auto" w:fill="auto"/>
            <w:vAlign w:val="center"/>
          </w:tcPr>
          <w:p w14:paraId="0BC99A1B" w14:textId="77777777" w:rsidR="009F0928" w:rsidRDefault="009F0928">
            <w:pPr>
              <w:rPr>
                <w:rFonts w:ascii="Times New Roman" w:hAnsi="Times New Roman"/>
                <w:sz w:val="20"/>
                <w:szCs w:val="20"/>
              </w:rPr>
            </w:pPr>
          </w:p>
        </w:tc>
        <w:tc>
          <w:tcPr>
            <w:tcW w:w="50" w:type="pct"/>
            <w:shd w:val="clear" w:color="auto" w:fill="auto"/>
            <w:vAlign w:val="center"/>
          </w:tcPr>
          <w:p w14:paraId="0BC99A1C" w14:textId="77777777" w:rsidR="009F0928" w:rsidRDefault="009F0928">
            <w:pPr>
              <w:rPr>
                <w:rFonts w:ascii="Times New Roman" w:hAnsi="Times New Roman"/>
                <w:sz w:val="20"/>
                <w:szCs w:val="20"/>
              </w:rPr>
            </w:pPr>
          </w:p>
        </w:tc>
        <w:tc>
          <w:tcPr>
            <w:tcW w:w="750" w:type="pct"/>
            <w:shd w:val="clear" w:color="auto" w:fill="auto"/>
            <w:vAlign w:val="center"/>
          </w:tcPr>
          <w:p w14:paraId="0BC99A1D" w14:textId="77777777" w:rsidR="009F0928" w:rsidRDefault="009F0928">
            <w:pPr>
              <w:rPr>
                <w:rFonts w:ascii="Times New Roman" w:hAnsi="Times New Roman"/>
                <w:sz w:val="20"/>
                <w:szCs w:val="20"/>
              </w:rPr>
            </w:pPr>
          </w:p>
        </w:tc>
        <w:tc>
          <w:tcPr>
            <w:tcW w:w="50" w:type="pct"/>
            <w:shd w:val="clear" w:color="auto" w:fill="auto"/>
            <w:vAlign w:val="center"/>
          </w:tcPr>
          <w:p w14:paraId="0BC99A1E" w14:textId="77777777" w:rsidR="009F0928" w:rsidRDefault="009F0928">
            <w:pPr>
              <w:rPr>
                <w:rFonts w:ascii="Times New Roman" w:hAnsi="Times New Roman"/>
                <w:sz w:val="20"/>
                <w:szCs w:val="20"/>
              </w:rPr>
            </w:pPr>
          </w:p>
        </w:tc>
        <w:tc>
          <w:tcPr>
            <w:tcW w:w="50" w:type="pct"/>
            <w:shd w:val="clear" w:color="auto" w:fill="auto"/>
            <w:vAlign w:val="center"/>
          </w:tcPr>
          <w:p w14:paraId="0BC99A1F" w14:textId="77777777" w:rsidR="009F0928" w:rsidRDefault="009F0928">
            <w:pPr>
              <w:rPr>
                <w:rFonts w:ascii="Times New Roman" w:hAnsi="Times New Roman"/>
                <w:sz w:val="20"/>
                <w:szCs w:val="20"/>
              </w:rPr>
            </w:pPr>
          </w:p>
        </w:tc>
        <w:tc>
          <w:tcPr>
            <w:tcW w:w="900" w:type="pct"/>
            <w:shd w:val="clear" w:color="auto" w:fill="auto"/>
            <w:vAlign w:val="center"/>
          </w:tcPr>
          <w:p w14:paraId="0BC99A20" w14:textId="77777777" w:rsidR="009F0928" w:rsidRDefault="009F0928">
            <w:pPr>
              <w:rPr>
                <w:rFonts w:ascii="Times New Roman" w:hAnsi="Times New Roman"/>
                <w:sz w:val="20"/>
                <w:szCs w:val="20"/>
              </w:rPr>
            </w:pPr>
          </w:p>
        </w:tc>
        <w:tc>
          <w:tcPr>
            <w:tcW w:w="50" w:type="pct"/>
            <w:shd w:val="clear" w:color="auto" w:fill="auto"/>
            <w:vAlign w:val="center"/>
          </w:tcPr>
          <w:p w14:paraId="0BC99A21" w14:textId="77777777" w:rsidR="009F0928" w:rsidRDefault="009F0928">
            <w:pPr>
              <w:rPr>
                <w:rFonts w:ascii="Times New Roman" w:hAnsi="Times New Roman"/>
                <w:sz w:val="20"/>
                <w:szCs w:val="20"/>
              </w:rPr>
            </w:pPr>
          </w:p>
        </w:tc>
        <w:tc>
          <w:tcPr>
            <w:tcW w:w="50" w:type="pct"/>
            <w:shd w:val="clear" w:color="auto" w:fill="auto"/>
            <w:vAlign w:val="center"/>
          </w:tcPr>
          <w:p w14:paraId="0BC99A22" w14:textId="77777777" w:rsidR="009F0928" w:rsidRDefault="009F0928">
            <w:pPr>
              <w:rPr>
                <w:rFonts w:ascii="Times New Roman" w:hAnsi="Times New Roman"/>
                <w:sz w:val="20"/>
                <w:szCs w:val="20"/>
              </w:rPr>
            </w:pPr>
          </w:p>
        </w:tc>
        <w:tc>
          <w:tcPr>
            <w:tcW w:w="900" w:type="pct"/>
            <w:shd w:val="clear" w:color="auto" w:fill="auto"/>
            <w:vAlign w:val="center"/>
          </w:tcPr>
          <w:p w14:paraId="0BC99A23" w14:textId="77777777" w:rsidR="009F0928" w:rsidRDefault="009F0928">
            <w:pPr>
              <w:rPr>
                <w:rFonts w:ascii="Times New Roman" w:hAnsi="Times New Roman"/>
                <w:sz w:val="20"/>
                <w:szCs w:val="20"/>
              </w:rPr>
            </w:pPr>
          </w:p>
        </w:tc>
        <w:tc>
          <w:tcPr>
            <w:tcW w:w="50" w:type="pct"/>
            <w:shd w:val="clear" w:color="auto" w:fill="auto"/>
            <w:vAlign w:val="center"/>
          </w:tcPr>
          <w:p w14:paraId="0BC99A24" w14:textId="77777777" w:rsidR="009F0928" w:rsidRDefault="009F0928">
            <w:pPr>
              <w:rPr>
                <w:rFonts w:ascii="Times New Roman" w:hAnsi="Times New Roman"/>
                <w:sz w:val="20"/>
                <w:szCs w:val="20"/>
              </w:rPr>
            </w:pPr>
          </w:p>
        </w:tc>
        <w:tc>
          <w:tcPr>
            <w:tcW w:w="50" w:type="pct"/>
            <w:shd w:val="clear" w:color="auto" w:fill="auto"/>
            <w:vAlign w:val="center"/>
          </w:tcPr>
          <w:p w14:paraId="0BC99A25" w14:textId="77777777" w:rsidR="009F0928" w:rsidRDefault="009F0928">
            <w:pPr>
              <w:rPr>
                <w:rFonts w:ascii="Times New Roman" w:hAnsi="Times New Roman"/>
                <w:sz w:val="20"/>
                <w:szCs w:val="20"/>
              </w:rPr>
            </w:pPr>
          </w:p>
        </w:tc>
        <w:tc>
          <w:tcPr>
            <w:tcW w:w="50" w:type="pct"/>
            <w:shd w:val="clear" w:color="auto" w:fill="auto"/>
            <w:vAlign w:val="center"/>
          </w:tcPr>
          <w:p w14:paraId="0BC99A26" w14:textId="77777777" w:rsidR="009F0928" w:rsidRDefault="009F0928">
            <w:pPr>
              <w:rPr>
                <w:rFonts w:ascii="Times New Roman" w:hAnsi="Times New Roman"/>
                <w:sz w:val="20"/>
                <w:szCs w:val="20"/>
              </w:rPr>
            </w:pPr>
          </w:p>
        </w:tc>
        <w:tc>
          <w:tcPr>
            <w:tcW w:w="700" w:type="pct"/>
            <w:shd w:val="clear" w:color="auto" w:fill="auto"/>
            <w:vAlign w:val="center"/>
          </w:tcPr>
          <w:p w14:paraId="0BC99A27" w14:textId="77777777" w:rsidR="009F0928" w:rsidRDefault="009F0928">
            <w:pPr>
              <w:rPr>
                <w:rFonts w:ascii="Times New Roman" w:hAnsi="Times New Roman"/>
                <w:sz w:val="20"/>
                <w:szCs w:val="20"/>
              </w:rPr>
            </w:pPr>
          </w:p>
        </w:tc>
        <w:tc>
          <w:tcPr>
            <w:tcW w:w="50" w:type="pct"/>
            <w:shd w:val="clear" w:color="auto" w:fill="auto"/>
            <w:vAlign w:val="center"/>
          </w:tcPr>
          <w:p w14:paraId="0BC99A28" w14:textId="77777777" w:rsidR="009F0928" w:rsidRDefault="009F0928">
            <w:pPr>
              <w:rPr>
                <w:rFonts w:ascii="Times New Roman" w:hAnsi="Times New Roman"/>
                <w:sz w:val="20"/>
                <w:szCs w:val="20"/>
              </w:rPr>
            </w:pPr>
          </w:p>
        </w:tc>
      </w:tr>
      <w:tr w:rsidR="009F0928" w14:paraId="0BC99A35" w14:textId="77777777">
        <w:tc>
          <w:tcPr>
            <w:tcW w:w="0" w:type="auto"/>
            <w:shd w:val="clear" w:color="auto" w:fill="auto"/>
            <w:tcMar>
              <w:top w:w="40" w:type="dxa"/>
              <w:left w:w="40" w:type="dxa"/>
              <w:bottom w:w="40" w:type="dxa"/>
              <w:right w:w="40" w:type="dxa"/>
            </w:tcMar>
            <w:vAlign w:val="bottom"/>
          </w:tcPr>
          <w:p w14:paraId="0BC99A2A"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A2B"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 2017</w:t>
            </w:r>
          </w:p>
        </w:tc>
        <w:tc>
          <w:tcPr>
            <w:tcW w:w="0" w:type="auto"/>
            <w:shd w:val="clear" w:color="auto" w:fill="auto"/>
            <w:tcMar>
              <w:top w:w="40" w:type="dxa"/>
              <w:left w:w="40" w:type="dxa"/>
              <w:bottom w:w="40" w:type="dxa"/>
              <w:right w:w="40" w:type="dxa"/>
            </w:tcMar>
            <w:vAlign w:val="bottom"/>
          </w:tcPr>
          <w:p w14:paraId="0BC99A2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9A2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Amount of Gain (Loss)</w:t>
            </w:r>
          </w:p>
          <w:p w14:paraId="0BC99A2E"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Recognized in Other</w:t>
            </w:r>
          </w:p>
          <w:p w14:paraId="0BC99A2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Comprehensive </w:t>
            </w:r>
          </w:p>
          <w:p w14:paraId="0BC99A3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Income</w:t>
            </w:r>
          </w:p>
        </w:tc>
        <w:tc>
          <w:tcPr>
            <w:tcW w:w="0" w:type="auto"/>
            <w:shd w:val="clear" w:color="auto" w:fill="auto"/>
            <w:tcMar>
              <w:top w:w="40" w:type="dxa"/>
              <w:left w:w="40" w:type="dxa"/>
              <w:bottom w:w="40" w:type="dxa"/>
              <w:right w:w="40" w:type="dxa"/>
            </w:tcMar>
            <w:vAlign w:val="bottom"/>
          </w:tcPr>
          <w:p w14:paraId="0BC99A3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9A32"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Less: Amount of Gain (Loss) Reclassified From AOCI to Earnings</w:t>
            </w:r>
          </w:p>
        </w:tc>
        <w:tc>
          <w:tcPr>
            <w:tcW w:w="0" w:type="auto"/>
            <w:shd w:val="clear" w:color="auto" w:fill="auto"/>
            <w:tcMar>
              <w:top w:w="40" w:type="dxa"/>
              <w:left w:w="40" w:type="dxa"/>
              <w:bottom w:w="40" w:type="dxa"/>
              <w:right w:w="40" w:type="dxa"/>
            </w:tcMar>
            <w:vAlign w:val="bottom"/>
          </w:tcPr>
          <w:p w14:paraId="0BC99A3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A34"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 2018</w:t>
            </w:r>
          </w:p>
        </w:tc>
      </w:tr>
      <w:tr w:rsidR="009F0928" w14:paraId="0BC99A44" w14:textId="77777777">
        <w:tc>
          <w:tcPr>
            <w:tcW w:w="0" w:type="auto"/>
            <w:shd w:val="clear" w:color="auto" w:fill="E2E2E2"/>
            <w:tcMar>
              <w:top w:w="40" w:type="dxa"/>
              <w:left w:w="40" w:type="dxa"/>
              <w:bottom w:w="40" w:type="dxa"/>
              <w:right w:w="40" w:type="dxa"/>
            </w:tcMar>
            <w:vAlign w:val="bottom"/>
          </w:tcPr>
          <w:p w14:paraId="0BC99A36"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Foreign exchange contracts designated as cash flow </w:t>
            </w:r>
            <w:r>
              <w:rPr>
                <w:rFonts w:ascii="Arial" w:eastAsia="宋体" w:hAnsi="Arial" w:cs="Arial"/>
                <w:sz w:val="18"/>
                <w:szCs w:val="18"/>
              </w:rPr>
              <w:t>hedges</w:t>
            </w:r>
          </w:p>
        </w:tc>
        <w:tc>
          <w:tcPr>
            <w:tcW w:w="0" w:type="auto"/>
            <w:tcBorders>
              <w:bottom w:val="double" w:sz="6" w:space="0" w:color="000000"/>
            </w:tcBorders>
            <w:shd w:val="clear" w:color="auto" w:fill="E2E2E2"/>
            <w:tcMar>
              <w:top w:w="40" w:type="dxa"/>
              <w:left w:w="40" w:type="dxa"/>
              <w:bottom w:w="40" w:type="dxa"/>
            </w:tcMar>
            <w:vAlign w:val="bottom"/>
          </w:tcPr>
          <w:p w14:paraId="0BC99A3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9A3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(57</w:t>
            </w:r>
          </w:p>
        </w:tc>
        <w:tc>
          <w:tcPr>
            <w:tcW w:w="0" w:type="auto"/>
            <w:tcBorders>
              <w:bottom w:val="double" w:sz="6" w:space="0" w:color="000000"/>
            </w:tcBorders>
            <w:shd w:val="clear" w:color="auto" w:fill="E2E2E2"/>
            <w:tcMar>
              <w:top w:w="40" w:type="dxa"/>
              <w:bottom w:w="40" w:type="dxa"/>
              <w:right w:w="40" w:type="dxa"/>
            </w:tcMar>
            <w:vAlign w:val="bottom"/>
          </w:tcPr>
          <w:p w14:paraId="0BC99A3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9A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9A3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117</w:t>
            </w:r>
          </w:p>
        </w:tc>
        <w:tc>
          <w:tcPr>
            <w:tcW w:w="0" w:type="auto"/>
            <w:tcBorders>
              <w:bottom w:val="double" w:sz="6" w:space="0" w:color="000000"/>
            </w:tcBorders>
            <w:shd w:val="clear" w:color="auto" w:fill="E2E2E2"/>
            <w:vAlign w:val="bottom"/>
          </w:tcPr>
          <w:p w14:paraId="0BC99A3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A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9A3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w:t>
            </w:r>
          </w:p>
        </w:tc>
        <w:tc>
          <w:tcPr>
            <w:tcW w:w="0" w:type="auto"/>
            <w:tcBorders>
              <w:bottom w:val="double" w:sz="6" w:space="0" w:color="000000"/>
            </w:tcBorders>
            <w:shd w:val="clear" w:color="auto" w:fill="E2E2E2"/>
            <w:tcMar>
              <w:top w:w="40" w:type="dxa"/>
              <w:bottom w:w="40" w:type="dxa"/>
              <w:right w:w="40" w:type="dxa"/>
            </w:tcMar>
            <w:vAlign w:val="bottom"/>
          </w:tcPr>
          <w:p w14:paraId="0BC99A3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9A4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9A4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9A4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68</w:t>
            </w:r>
          </w:p>
        </w:tc>
        <w:tc>
          <w:tcPr>
            <w:tcW w:w="0" w:type="auto"/>
            <w:tcBorders>
              <w:bottom w:val="double" w:sz="6" w:space="0" w:color="000000"/>
            </w:tcBorders>
            <w:shd w:val="clear" w:color="auto" w:fill="E2E2E2"/>
            <w:vAlign w:val="bottom"/>
          </w:tcPr>
          <w:p w14:paraId="0BC99A43" w14:textId="77777777" w:rsidR="009F0928" w:rsidRDefault="009F0928">
            <w:pPr>
              <w:textAlignment w:val="bottom"/>
              <w:rPr>
                <w:rFonts w:ascii="Times New Roman" w:hAnsi="Times New Roman"/>
                <w:sz w:val="20"/>
                <w:szCs w:val="20"/>
              </w:rPr>
            </w:pPr>
          </w:p>
        </w:tc>
      </w:tr>
    </w:tbl>
    <w:p w14:paraId="0BC99A45" w14:textId="77777777" w:rsidR="009F0928" w:rsidRDefault="009F0928">
      <w:pPr>
        <w:spacing w:line="288" w:lineRule="auto"/>
        <w:jc w:val="both"/>
        <w:rPr>
          <w:rFonts w:ascii="Times New Roman" w:hAnsi="Times New Roman"/>
          <w:sz w:val="20"/>
          <w:szCs w:val="20"/>
        </w:rPr>
      </w:pPr>
    </w:p>
    <w:p w14:paraId="0BC99A46" w14:textId="77777777" w:rsidR="009F0928" w:rsidRDefault="009F0928">
      <w:pPr>
        <w:rPr>
          <w:rFonts w:ascii="Times New Roman" w:hAnsi="Times New Roman"/>
          <w:sz w:val="20"/>
          <w:szCs w:val="20"/>
        </w:rPr>
      </w:pPr>
    </w:p>
    <w:p w14:paraId="0BC99A47"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F-25</w:t>
      </w:r>
    </w:p>
    <w:p w14:paraId="0BC99A48" w14:textId="77777777" w:rsidR="009F0928" w:rsidRDefault="002112BD">
      <w:r>
        <w:rPr>
          <w:rFonts w:ascii="Times New Roman" w:hAnsi="Times New Roman"/>
          <w:sz w:val="18"/>
          <w:szCs w:val="18"/>
        </w:rPr>
        <w:pict w14:anchorId="0BC9B513">
          <v:rect id="_x0000_i1111" style="width:415.3pt;height:1.5pt" o:hralign="center" o:hrstd="t" o:hr="t" fillcolor="#a0a0a0" stroked="f"/>
        </w:pict>
      </w:r>
    </w:p>
    <w:p w14:paraId="0BC99A49"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A4A"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9A4B" w14:textId="77777777" w:rsidR="009F0928" w:rsidRDefault="009F0928">
      <w:pPr>
        <w:spacing w:line="288" w:lineRule="auto"/>
        <w:jc w:val="center"/>
        <w:rPr>
          <w:rFonts w:ascii="Times New Roman" w:hAnsi="Times New Roman"/>
          <w:sz w:val="20"/>
          <w:szCs w:val="20"/>
        </w:rPr>
      </w:pPr>
    </w:p>
    <w:p w14:paraId="0BC99A4C" w14:textId="77777777" w:rsidR="009F0928" w:rsidRDefault="009F0928">
      <w:pPr>
        <w:rPr>
          <w:rFonts w:ascii="Times New Roman" w:hAnsi="Times New Roman"/>
          <w:sz w:val="20"/>
          <w:szCs w:val="20"/>
        </w:rPr>
      </w:pPr>
    </w:p>
    <w:p w14:paraId="0BC99A4D"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Effect of Derivative Contracts on Consolidated Statement of Income</w:t>
      </w:r>
    </w:p>
    <w:p w14:paraId="0BC99A4E" w14:textId="77777777" w:rsidR="009F0928" w:rsidRDefault="009F0928">
      <w:pPr>
        <w:spacing w:line="288" w:lineRule="auto"/>
        <w:ind w:firstLine="640"/>
        <w:jc w:val="both"/>
        <w:rPr>
          <w:rFonts w:ascii="Times New Roman" w:hAnsi="Times New Roman"/>
          <w:sz w:val="20"/>
          <w:szCs w:val="20"/>
        </w:rPr>
      </w:pPr>
    </w:p>
    <w:p w14:paraId="0BC99A4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following table provides a summary of the total gain (loss) </w:t>
      </w:r>
      <w:r>
        <w:rPr>
          <w:rFonts w:ascii="Arial" w:eastAsia="宋体" w:hAnsi="Arial" w:cs="Arial"/>
          <w:sz w:val="20"/>
          <w:szCs w:val="20"/>
        </w:rPr>
        <w:t>recognized in the consolidated statement of income from our foreign exchange derivative contracts by location (in millions):</w:t>
      </w:r>
    </w:p>
    <w:tbl>
      <w:tblPr>
        <w:tblW w:w="5000" w:type="pct"/>
        <w:tblCellMar>
          <w:left w:w="0" w:type="dxa"/>
          <w:right w:w="0" w:type="dxa"/>
        </w:tblCellMar>
        <w:tblLook w:val="04A0" w:firstRow="1" w:lastRow="0" w:firstColumn="1" w:lastColumn="0" w:noHBand="0" w:noVBand="1"/>
      </w:tblPr>
      <w:tblGrid>
        <w:gridCol w:w="4820"/>
        <w:gridCol w:w="141"/>
        <w:gridCol w:w="833"/>
        <w:gridCol w:w="100"/>
        <w:gridCol w:w="130"/>
        <w:gridCol w:w="142"/>
        <w:gridCol w:w="834"/>
        <w:gridCol w:w="101"/>
        <w:gridCol w:w="130"/>
        <w:gridCol w:w="141"/>
        <w:gridCol w:w="834"/>
        <w:gridCol w:w="100"/>
      </w:tblGrid>
      <w:tr w:rsidR="009F0928" w14:paraId="0BC99A51" w14:textId="77777777">
        <w:tc>
          <w:tcPr>
            <w:tcW w:w="0" w:type="auto"/>
            <w:gridSpan w:val="12"/>
            <w:shd w:val="clear" w:color="auto" w:fill="auto"/>
            <w:vAlign w:val="center"/>
          </w:tcPr>
          <w:p w14:paraId="0BC99A50" w14:textId="77777777" w:rsidR="009F0928" w:rsidRDefault="009F0928">
            <w:pPr>
              <w:rPr>
                <w:rFonts w:ascii="Times New Roman" w:hAnsi="Times New Roman"/>
                <w:sz w:val="20"/>
                <w:szCs w:val="20"/>
              </w:rPr>
            </w:pPr>
          </w:p>
        </w:tc>
      </w:tr>
      <w:tr w:rsidR="009F0928" w14:paraId="0BC99A5E" w14:textId="77777777">
        <w:tc>
          <w:tcPr>
            <w:tcW w:w="2950" w:type="pct"/>
            <w:shd w:val="clear" w:color="auto" w:fill="auto"/>
            <w:vAlign w:val="center"/>
          </w:tcPr>
          <w:p w14:paraId="0BC99A52" w14:textId="77777777" w:rsidR="009F0928" w:rsidRDefault="009F0928">
            <w:pPr>
              <w:rPr>
                <w:rFonts w:ascii="Times New Roman" w:hAnsi="Times New Roman"/>
                <w:sz w:val="20"/>
                <w:szCs w:val="20"/>
              </w:rPr>
            </w:pPr>
          </w:p>
        </w:tc>
        <w:tc>
          <w:tcPr>
            <w:tcW w:w="50" w:type="pct"/>
            <w:shd w:val="clear" w:color="auto" w:fill="auto"/>
            <w:vAlign w:val="center"/>
          </w:tcPr>
          <w:p w14:paraId="0BC99A53" w14:textId="77777777" w:rsidR="009F0928" w:rsidRDefault="009F0928">
            <w:pPr>
              <w:rPr>
                <w:rFonts w:ascii="Times New Roman" w:hAnsi="Times New Roman"/>
                <w:sz w:val="20"/>
                <w:szCs w:val="20"/>
              </w:rPr>
            </w:pPr>
          </w:p>
        </w:tc>
        <w:tc>
          <w:tcPr>
            <w:tcW w:w="550" w:type="pct"/>
            <w:shd w:val="clear" w:color="auto" w:fill="auto"/>
            <w:vAlign w:val="center"/>
          </w:tcPr>
          <w:p w14:paraId="0BC99A54" w14:textId="77777777" w:rsidR="009F0928" w:rsidRDefault="009F0928">
            <w:pPr>
              <w:rPr>
                <w:rFonts w:ascii="Times New Roman" w:hAnsi="Times New Roman"/>
                <w:sz w:val="20"/>
                <w:szCs w:val="20"/>
              </w:rPr>
            </w:pPr>
          </w:p>
        </w:tc>
        <w:tc>
          <w:tcPr>
            <w:tcW w:w="50" w:type="pct"/>
            <w:shd w:val="clear" w:color="auto" w:fill="auto"/>
            <w:vAlign w:val="center"/>
          </w:tcPr>
          <w:p w14:paraId="0BC99A55" w14:textId="77777777" w:rsidR="009F0928" w:rsidRDefault="009F0928">
            <w:pPr>
              <w:rPr>
                <w:rFonts w:ascii="Times New Roman" w:hAnsi="Times New Roman"/>
                <w:sz w:val="20"/>
                <w:szCs w:val="20"/>
              </w:rPr>
            </w:pPr>
          </w:p>
        </w:tc>
        <w:tc>
          <w:tcPr>
            <w:tcW w:w="50" w:type="pct"/>
            <w:shd w:val="clear" w:color="auto" w:fill="auto"/>
            <w:vAlign w:val="center"/>
          </w:tcPr>
          <w:p w14:paraId="0BC99A56" w14:textId="77777777" w:rsidR="009F0928" w:rsidRDefault="009F0928">
            <w:pPr>
              <w:rPr>
                <w:rFonts w:ascii="Times New Roman" w:hAnsi="Times New Roman"/>
                <w:sz w:val="20"/>
                <w:szCs w:val="20"/>
              </w:rPr>
            </w:pPr>
          </w:p>
        </w:tc>
        <w:tc>
          <w:tcPr>
            <w:tcW w:w="50" w:type="pct"/>
            <w:shd w:val="clear" w:color="auto" w:fill="auto"/>
            <w:vAlign w:val="center"/>
          </w:tcPr>
          <w:p w14:paraId="0BC99A57" w14:textId="77777777" w:rsidR="009F0928" w:rsidRDefault="009F0928">
            <w:pPr>
              <w:rPr>
                <w:rFonts w:ascii="Times New Roman" w:hAnsi="Times New Roman"/>
                <w:sz w:val="20"/>
                <w:szCs w:val="20"/>
              </w:rPr>
            </w:pPr>
          </w:p>
        </w:tc>
        <w:tc>
          <w:tcPr>
            <w:tcW w:w="550" w:type="pct"/>
            <w:shd w:val="clear" w:color="auto" w:fill="auto"/>
            <w:vAlign w:val="center"/>
          </w:tcPr>
          <w:p w14:paraId="0BC99A58" w14:textId="77777777" w:rsidR="009F0928" w:rsidRDefault="009F0928">
            <w:pPr>
              <w:rPr>
                <w:rFonts w:ascii="Times New Roman" w:hAnsi="Times New Roman"/>
                <w:sz w:val="20"/>
                <w:szCs w:val="20"/>
              </w:rPr>
            </w:pPr>
          </w:p>
        </w:tc>
        <w:tc>
          <w:tcPr>
            <w:tcW w:w="50" w:type="pct"/>
            <w:shd w:val="clear" w:color="auto" w:fill="auto"/>
            <w:vAlign w:val="center"/>
          </w:tcPr>
          <w:p w14:paraId="0BC99A59" w14:textId="77777777" w:rsidR="009F0928" w:rsidRDefault="009F0928">
            <w:pPr>
              <w:rPr>
                <w:rFonts w:ascii="Times New Roman" w:hAnsi="Times New Roman"/>
                <w:sz w:val="20"/>
                <w:szCs w:val="20"/>
              </w:rPr>
            </w:pPr>
          </w:p>
        </w:tc>
        <w:tc>
          <w:tcPr>
            <w:tcW w:w="50" w:type="pct"/>
            <w:shd w:val="clear" w:color="auto" w:fill="auto"/>
            <w:vAlign w:val="center"/>
          </w:tcPr>
          <w:p w14:paraId="0BC99A5A" w14:textId="77777777" w:rsidR="009F0928" w:rsidRDefault="009F0928">
            <w:pPr>
              <w:rPr>
                <w:rFonts w:ascii="Times New Roman" w:hAnsi="Times New Roman"/>
                <w:sz w:val="20"/>
                <w:szCs w:val="20"/>
              </w:rPr>
            </w:pPr>
          </w:p>
        </w:tc>
        <w:tc>
          <w:tcPr>
            <w:tcW w:w="50" w:type="pct"/>
            <w:shd w:val="clear" w:color="auto" w:fill="auto"/>
            <w:vAlign w:val="center"/>
          </w:tcPr>
          <w:p w14:paraId="0BC99A5B" w14:textId="77777777" w:rsidR="009F0928" w:rsidRDefault="009F0928">
            <w:pPr>
              <w:rPr>
                <w:rFonts w:ascii="Times New Roman" w:hAnsi="Times New Roman"/>
                <w:sz w:val="20"/>
                <w:szCs w:val="20"/>
              </w:rPr>
            </w:pPr>
          </w:p>
        </w:tc>
        <w:tc>
          <w:tcPr>
            <w:tcW w:w="550" w:type="pct"/>
            <w:shd w:val="clear" w:color="auto" w:fill="auto"/>
            <w:vAlign w:val="center"/>
          </w:tcPr>
          <w:p w14:paraId="0BC99A5C" w14:textId="77777777" w:rsidR="009F0928" w:rsidRDefault="009F0928">
            <w:pPr>
              <w:rPr>
                <w:rFonts w:ascii="Times New Roman" w:hAnsi="Times New Roman"/>
                <w:sz w:val="20"/>
                <w:szCs w:val="20"/>
              </w:rPr>
            </w:pPr>
          </w:p>
        </w:tc>
        <w:tc>
          <w:tcPr>
            <w:tcW w:w="50" w:type="pct"/>
            <w:shd w:val="clear" w:color="auto" w:fill="auto"/>
            <w:vAlign w:val="center"/>
          </w:tcPr>
          <w:p w14:paraId="0BC99A5D" w14:textId="77777777" w:rsidR="009F0928" w:rsidRDefault="009F0928">
            <w:pPr>
              <w:rPr>
                <w:rFonts w:ascii="Times New Roman" w:hAnsi="Times New Roman"/>
                <w:sz w:val="20"/>
                <w:szCs w:val="20"/>
              </w:rPr>
            </w:pPr>
          </w:p>
        </w:tc>
      </w:tr>
      <w:tr w:rsidR="009F0928" w14:paraId="0BC99A61" w14:textId="77777777">
        <w:tc>
          <w:tcPr>
            <w:tcW w:w="0" w:type="auto"/>
            <w:shd w:val="clear" w:color="auto" w:fill="auto"/>
            <w:tcMar>
              <w:top w:w="40" w:type="dxa"/>
              <w:left w:w="40" w:type="dxa"/>
              <w:bottom w:w="40" w:type="dxa"/>
              <w:right w:w="40" w:type="dxa"/>
            </w:tcMar>
            <w:vAlign w:val="bottom"/>
          </w:tcPr>
          <w:p w14:paraId="0BC99A5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9A6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w:t>
            </w:r>
          </w:p>
        </w:tc>
      </w:tr>
      <w:tr w:rsidR="009F0928" w14:paraId="0BC99A68" w14:textId="77777777">
        <w:tc>
          <w:tcPr>
            <w:tcW w:w="0" w:type="auto"/>
            <w:shd w:val="clear" w:color="auto" w:fill="auto"/>
            <w:tcMar>
              <w:top w:w="40" w:type="dxa"/>
              <w:left w:w="40" w:type="dxa"/>
              <w:bottom w:w="40" w:type="dxa"/>
              <w:right w:w="40" w:type="dxa"/>
            </w:tcMar>
            <w:vAlign w:val="bottom"/>
          </w:tcPr>
          <w:p w14:paraId="0BC99A62"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A6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9A6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A65"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0BC99A6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A6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2017</w:t>
            </w:r>
          </w:p>
        </w:tc>
      </w:tr>
      <w:tr w:rsidR="009F0928" w14:paraId="0BC99A75" w14:textId="77777777">
        <w:tc>
          <w:tcPr>
            <w:tcW w:w="0" w:type="auto"/>
            <w:shd w:val="clear" w:color="auto" w:fill="E2E2E2"/>
            <w:tcMar>
              <w:top w:w="40" w:type="dxa"/>
              <w:left w:w="40" w:type="dxa"/>
              <w:bottom w:w="40" w:type="dxa"/>
              <w:right w:w="40" w:type="dxa"/>
            </w:tcMar>
            <w:vAlign w:val="bottom"/>
          </w:tcPr>
          <w:p w14:paraId="0BC99A69"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Foreign exchange contracts designated as cash flow hedges </w:t>
            </w:r>
            <w:r>
              <w:rPr>
                <w:rFonts w:ascii="Arial" w:eastAsia="宋体" w:hAnsi="Arial" w:cs="Arial"/>
                <w:sz w:val="18"/>
                <w:szCs w:val="18"/>
              </w:rPr>
              <w:t>recognized in net revenues</w:t>
            </w:r>
          </w:p>
        </w:tc>
        <w:tc>
          <w:tcPr>
            <w:tcW w:w="0" w:type="auto"/>
            <w:tcBorders>
              <w:top w:val="single" w:sz="8" w:space="0" w:color="000000"/>
            </w:tcBorders>
            <w:shd w:val="clear" w:color="auto" w:fill="E2E2E2"/>
            <w:tcMar>
              <w:top w:w="40" w:type="dxa"/>
              <w:left w:w="40" w:type="dxa"/>
              <w:bottom w:w="40" w:type="dxa"/>
            </w:tcMar>
            <w:vAlign w:val="bottom"/>
          </w:tcPr>
          <w:p w14:paraId="0BC99A6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tcMar>
              <w:top w:w="40" w:type="dxa"/>
              <w:bottom w:w="40" w:type="dxa"/>
            </w:tcMar>
            <w:vAlign w:val="bottom"/>
          </w:tcPr>
          <w:p w14:paraId="0BC99A6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81</w:t>
            </w:r>
          </w:p>
        </w:tc>
        <w:tc>
          <w:tcPr>
            <w:tcW w:w="0" w:type="auto"/>
            <w:tcBorders>
              <w:top w:val="single" w:sz="8" w:space="0" w:color="000000"/>
            </w:tcBorders>
            <w:shd w:val="clear" w:color="auto" w:fill="E2E2E2"/>
            <w:vAlign w:val="bottom"/>
          </w:tcPr>
          <w:p w14:paraId="0BC99A6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A6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A6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A6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w:t>
            </w:r>
          </w:p>
        </w:tc>
        <w:tc>
          <w:tcPr>
            <w:tcW w:w="0" w:type="auto"/>
            <w:shd w:val="clear" w:color="auto" w:fill="E2E2E2"/>
            <w:tcMar>
              <w:top w:w="40" w:type="dxa"/>
              <w:bottom w:w="40" w:type="dxa"/>
              <w:right w:w="40" w:type="dxa"/>
            </w:tcMar>
            <w:vAlign w:val="bottom"/>
          </w:tcPr>
          <w:p w14:paraId="0BC99A7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9A7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A7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A7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w:t>
            </w:r>
          </w:p>
        </w:tc>
        <w:tc>
          <w:tcPr>
            <w:tcW w:w="0" w:type="auto"/>
            <w:shd w:val="clear" w:color="auto" w:fill="E2E2E2"/>
            <w:tcMar>
              <w:top w:w="40" w:type="dxa"/>
              <w:bottom w:w="40" w:type="dxa"/>
              <w:right w:w="40" w:type="dxa"/>
            </w:tcMar>
            <w:vAlign w:val="bottom"/>
          </w:tcPr>
          <w:p w14:paraId="0BC99A7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9A7F" w14:textId="77777777">
        <w:tc>
          <w:tcPr>
            <w:tcW w:w="0" w:type="auto"/>
            <w:shd w:val="clear" w:color="auto" w:fill="auto"/>
            <w:tcMar>
              <w:top w:w="40" w:type="dxa"/>
              <w:left w:w="40" w:type="dxa"/>
              <w:bottom w:w="40" w:type="dxa"/>
              <w:right w:w="40" w:type="dxa"/>
            </w:tcMar>
            <w:vAlign w:val="bottom"/>
          </w:tcPr>
          <w:p w14:paraId="0BC99A76"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Foreign exchange contracts designated as cash flow hedges recognized in cost of net revenues </w:t>
            </w:r>
          </w:p>
        </w:tc>
        <w:tc>
          <w:tcPr>
            <w:tcW w:w="0" w:type="auto"/>
            <w:gridSpan w:val="2"/>
            <w:shd w:val="clear" w:color="auto" w:fill="auto"/>
            <w:tcMar>
              <w:top w:w="40" w:type="dxa"/>
              <w:left w:w="40" w:type="dxa"/>
              <w:bottom w:w="40" w:type="dxa"/>
            </w:tcMar>
            <w:vAlign w:val="bottom"/>
          </w:tcPr>
          <w:p w14:paraId="0BC99A7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A7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A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A7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A7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A7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A7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w:t>
            </w:r>
          </w:p>
        </w:tc>
        <w:tc>
          <w:tcPr>
            <w:tcW w:w="0" w:type="auto"/>
            <w:shd w:val="clear" w:color="auto" w:fill="auto"/>
            <w:vAlign w:val="bottom"/>
          </w:tcPr>
          <w:p w14:paraId="0BC99A7E" w14:textId="77777777" w:rsidR="009F0928" w:rsidRDefault="009F0928">
            <w:pPr>
              <w:textAlignment w:val="bottom"/>
              <w:rPr>
                <w:rFonts w:ascii="Times New Roman" w:hAnsi="Times New Roman"/>
                <w:sz w:val="20"/>
                <w:szCs w:val="20"/>
              </w:rPr>
            </w:pPr>
          </w:p>
        </w:tc>
      </w:tr>
      <w:tr w:rsidR="009F0928" w14:paraId="0BC99A89" w14:textId="77777777">
        <w:tc>
          <w:tcPr>
            <w:tcW w:w="0" w:type="auto"/>
            <w:shd w:val="clear" w:color="auto" w:fill="E2E2E2"/>
            <w:tcMar>
              <w:top w:w="40" w:type="dxa"/>
              <w:left w:w="40" w:type="dxa"/>
              <w:bottom w:w="40" w:type="dxa"/>
              <w:right w:w="40" w:type="dxa"/>
            </w:tcMar>
            <w:vAlign w:val="bottom"/>
          </w:tcPr>
          <w:p w14:paraId="0BC99A80"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Foreign exchange contracts designated as cash flow hedges recognized in interest and </w:t>
            </w:r>
            <w:r>
              <w:rPr>
                <w:rFonts w:ascii="Arial" w:eastAsia="宋体" w:hAnsi="Arial" w:cs="Arial"/>
                <w:sz w:val="18"/>
                <w:szCs w:val="18"/>
              </w:rPr>
              <w:t>other, net</w:t>
            </w:r>
          </w:p>
        </w:tc>
        <w:tc>
          <w:tcPr>
            <w:tcW w:w="0" w:type="auto"/>
            <w:gridSpan w:val="2"/>
            <w:shd w:val="clear" w:color="auto" w:fill="E2E2E2"/>
            <w:tcMar>
              <w:top w:w="40" w:type="dxa"/>
              <w:left w:w="40" w:type="dxa"/>
              <w:bottom w:w="40" w:type="dxa"/>
            </w:tcMar>
            <w:vAlign w:val="bottom"/>
          </w:tcPr>
          <w:p w14:paraId="0BC99A8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9A8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A8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A8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9A8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A8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A8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24</w:t>
            </w:r>
          </w:p>
        </w:tc>
        <w:tc>
          <w:tcPr>
            <w:tcW w:w="0" w:type="auto"/>
            <w:shd w:val="clear" w:color="auto" w:fill="E2E2E2"/>
            <w:vAlign w:val="bottom"/>
          </w:tcPr>
          <w:p w14:paraId="0BC99A88" w14:textId="77777777" w:rsidR="009F0928" w:rsidRDefault="009F0928">
            <w:pPr>
              <w:textAlignment w:val="bottom"/>
              <w:rPr>
                <w:rFonts w:ascii="Times New Roman" w:hAnsi="Times New Roman"/>
                <w:sz w:val="20"/>
                <w:szCs w:val="20"/>
              </w:rPr>
            </w:pPr>
          </w:p>
        </w:tc>
      </w:tr>
      <w:tr w:rsidR="009F0928" w14:paraId="0BC99A93" w14:textId="77777777">
        <w:tc>
          <w:tcPr>
            <w:tcW w:w="0" w:type="auto"/>
            <w:shd w:val="clear" w:color="auto" w:fill="auto"/>
            <w:tcMar>
              <w:top w:w="40" w:type="dxa"/>
              <w:left w:w="40" w:type="dxa"/>
              <w:bottom w:w="40" w:type="dxa"/>
              <w:right w:w="40" w:type="dxa"/>
            </w:tcMar>
            <w:vAlign w:val="bottom"/>
          </w:tcPr>
          <w:p w14:paraId="0BC99A8A" w14:textId="77777777" w:rsidR="009F0928" w:rsidRDefault="002112BD">
            <w:pPr>
              <w:textAlignment w:val="bottom"/>
              <w:rPr>
                <w:rFonts w:ascii="Times New Roman" w:hAnsi="Times New Roman"/>
                <w:sz w:val="18"/>
                <w:szCs w:val="18"/>
              </w:rPr>
            </w:pPr>
            <w:r>
              <w:rPr>
                <w:rFonts w:ascii="Arial" w:eastAsia="宋体" w:hAnsi="Arial" w:cs="Arial"/>
                <w:sz w:val="18"/>
                <w:szCs w:val="18"/>
              </w:rPr>
              <w:t>Foreign exchange contracts not designated as hedging instruments recognized in interest and other, net</w:t>
            </w:r>
          </w:p>
        </w:tc>
        <w:tc>
          <w:tcPr>
            <w:tcW w:w="0" w:type="auto"/>
            <w:gridSpan w:val="2"/>
            <w:shd w:val="clear" w:color="auto" w:fill="auto"/>
            <w:tcMar>
              <w:top w:w="40" w:type="dxa"/>
              <w:left w:w="40" w:type="dxa"/>
              <w:bottom w:w="40" w:type="dxa"/>
            </w:tcMar>
            <w:vAlign w:val="bottom"/>
          </w:tcPr>
          <w:p w14:paraId="0BC99A8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w:t>
            </w:r>
          </w:p>
        </w:tc>
        <w:tc>
          <w:tcPr>
            <w:tcW w:w="0" w:type="auto"/>
            <w:shd w:val="clear" w:color="auto" w:fill="auto"/>
            <w:tcMar>
              <w:top w:w="40" w:type="dxa"/>
              <w:bottom w:w="40" w:type="dxa"/>
              <w:right w:w="40" w:type="dxa"/>
            </w:tcMar>
            <w:vAlign w:val="bottom"/>
          </w:tcPr>
          <w:p w14:paraId="0BC99A8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9A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A8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w:t>
            </w:r>
          </w:p>
        </w:tc>
        <w:tc>
          <w:tcPr>
            <w:tcW w:w="0" w:type="auto"/>
            <w:shd w:val="clear" w:color="auto" w:fill="auto"/>
            <w:vAlign w:val="bottom"/>
          </w:tcPr>
          <w:p w14:paraId="0BC99A8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A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A9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(16</w:t>
            </w:r>
          </w:p>
        </w:tc>
        <w:tc>
          <w:tcPr>
            <w:tcW w:w="0" w:type="auto"/>
            <w:shd w:val="clear" w:color="auto" w:fill="auto"/>
            <w:tcMar>
              <w:top w:w="40" w:type="dxa"/>
              <w:bottom w:w="40" w:type="dxa"/>
              <w:right w:w="40" w:type="dxa"/>
            </w:tcMar>
            <w:vAlign w:val="bottom"/>
          </w:tcPr>
          <w:p w14:paraId="0BC99A9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9AA0" w14:textId="77777777">
        <w:tc>
          <w:tcPr>
            <w:tcW w:w="0" w:type="auto"/>
            <w:shd w:val="clear" w:color="auto" w:fill="E2E2E2"/>
            <w:tcMar>
              <w:top w:w="40" w:type="dxa"/>
              <w:left w:w="400" w:type="dxa"/>
              <w:bottom w:w="40" w:type="dxa"/>
              <w:right w:w="40" w:type="dxa"/>
            </w:tcMar>
            <w:vAlign w:val="bottom"/>
          </w:tcPr>
          <w:p w14:paraId="0BC99A94"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Total gain (loss) recognized from foreign exchange derivative contracts in the consolidated </w:t>
            </w:r>
            <w:r>
              <w:rPr>
                <w:rFonts w:ascii="Arial" w:eastAsia="宋体" w:hAnsi="Arial" w:cs="Arial"/>
                <w:sz w:val="18"/>
                <w:szCs w:val="18"/>
              </w:rPr>
              <w:t>statement of income</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A9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A9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70</w:t>
            </w:r>
          </w:p>
        </w:tc>
        <w:tc>
          <w:tcPr>
            <w:tcW w:w="0" w:type="auto"/>
            <w:tcBorders>
              <w:top w:val="single" w:sz="8" w:space="0" w:color="000000"/>
              <w:bottom w:val="double" w:sz="6" w:space="0" w:color="000000"/>
            </w:tcBorders>
            <w:shd w:val="clear" w:color="auto" w:fill="E2E2E2"/>
            <w:vAlign w:val="bottom"/>
          </w:tcPr>
          <w:p w14:paraId="0BC99A9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A9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A9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A9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w:t>
            </w:r>
          </w:p>
        </w:tc>
        <w:tc>
          <w:tcPr>
            <w:tcW w:w="0" w:type="auto"/>
            <w:tcBorders>
              <w:top w:val="single" w:sz="8" w:space="0" w:color="000000"/>
              <w:bottom w:val="double" w:sz="6" w:space="0" w:color="000000"/>
            </w:tcBorders>
            <w:shd w:val="clear" w:color="auto" w:fill="E2E2E2"/>
            <w:vAlign w:val="bottom"/>
          </w:tcPr>
          <w:p w14:paraId="0BC99A9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A9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A9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A9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w:t>
            </w:r>
          </w:p>
        </w:tc>
        <w:tc>
          <w:tcPr>
            <w:tcW w:w="0" w:type="auto"/>
            <w:tcBorders>
              <w:top w:val="single" w:sz="8" w:space="0" w:color="000000"/>
              <w:bottom w:val="double" w:sz="6" w:space="0" w:color="000000"/>
            </w:tcBorders>
            <w:shd w:val="clear" w:color="auto" w:fill="E2E2E2"/>
            <w:tcMar>
              <w:top w:w="40" w:type="dxa"/>
              <w:bottom w:w="40" w:type="dxa"/>
              <w:right w:w="40" w:type="dxa"/>
            </w:tcMar>
            <w:vAlign w:val="bottom"/>
          </w:tcPr>
          <w:p w14:paraId="0BC99A9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bl>
    <w:p w14:paraId="0BC99AA1" w14:textId="77777777" w:rsidR="009F0928" w:rsidRDefault="009F0928">
      <w:pPr>
        <w:spacing w:line="288" w:lineRule="auto"/>
        <w:jc w:val="both"/>
        <w:rPr>
          <w:rFonts w:ascii="Times New Roman" w:hAnsi="Times New Roman"/>
          <w:sz w:val="20"/>
          <w:szCs w:val="20"/>
        </w:rPr>
      </w:pPr>
    </w:p>
    <w:p w14:paraId="0BC99AA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table provides a summary of the total gain (loss) recognized in the consolidated statement of income from our interest rate derivative contracts by location (in millions):</w:t>
      </w:r>
    </w:p>
    <w:tbl>
      <w:tblPr>
        <w:tblW w:w="5000" w:type="pct"/>
        <w:tblCellMar>
          <w:left w:w="0" w:type="dxa"/>
          <w:right w:w="0" w:type="dxa"/>
        </w:tblCellMar>
        <w:tblLook w:val="04A0" w:firstRow="1" w:lastRow="0" w:firstColumn="1" w:lastColumn="0" w:noHBand="0" w:noVBand="1"/>
      </w:tblPr>
      <w:tblGrid>
        <w:gridCol w:w="4821"/>
        <w:gridCol w:w="141"/>
        <w:gridCol w:w="834"/>
        <w:gridCol w:w="100"/>
        <w:gridCol w:w="130"/>
        <w:gridCol w:w="141"/>
        <w:gridCol w:w="834"/>
        <w:gridCol w:w="100"/>
        <w:gridCol w:w="130"/>
        <w:gridCol w:w="141"/>
        <w:gridCol w:w="834"/>
        <w:gridCol w:w="100"/>
      </w:tblGrid>
      <w:tr w:rsidR="009F0928" w14:paraId="0BC99AA4" w14:textId="77777777">
        <w:tc>
          <w:tcPr>
            <w:tcW w:w="0" w:type="auto"/>
            <w:gridSpan w:val="12"/>
            <w:shd w:val="clear" w:color="auto" w:fill="auto"/>
            <w:vAlign w:val="center"/>
          </w:tcPr>
          <w:p w14:paraId="0BC99AA3" w14:textId="77777777" w:rsidR="009F0928" w:rsidRDefault="009F0928">
            <w:pPr>
              <w:rPr>
                <w:rFonts w:ascii="Times New Roman" w:hAnsi="Times New Roman"/>
                <w:sz w:val="20"/>
                <w:szCs w:val="20"/>
              </w:rPr>
            </w:pPr>
          </w:p>
        </w:tc>
      </w:tr>
      <w:tr w:rsidR="009F0928" w14:paraId="0BC99AB1" w14:textId="77777777">
        <w:tc>
          <w:tcPr>
            <w:tcW w:w="2950" w:type="pct"/>
            <w:shd w:val="clear" w:color="auto" w:fill="auto"/>
            <w:vAlign w:val="center"/>
          </w:tcPr>
          <w:p w14:paraId="0BC99AA5" w14:textId="77777777" w:rsidR="009F0928" w:rsidRDefault="009F0928">
            <w:pPr>
              <w:rPr>
                <w:rFonts w:ascii="Times New Roman" w:hAnsi="Times New Roman"/>
                <w:sz w:val="20"/>
                <w:szCs w:val="20"/>
              </w:rPr>
            </w:pPr>
          </w:p>
        </w:tc>
        <w:tc>
          <w:tcPr>
            <w:tcW w:w="50" w:type="pct"/>
            <w:shd w:val="clear" w:color="auto" w:fill="auto"/>
            <w:vAlign w:val="center"/>
          </w:tcPr>
          <w:p w14:paraId="0BC99AA6" w14:textId="77777777" w:rsidR="009F0928" w:rsidRDefault="009F0928">
            <w:pPr>
              <w:rPr>
                <w:rFonts w:ascii="Times New Roman" w:hAnsi="Times New Roman"/>
                <w:sz w:val="20"/>
                <w:szCs w:val="20"/>
              </w:rPr>
            </w:pPr>
          </w:p>
        </w:tc>
        <w:tc>
          <w:tcPr>
            <w:tcW w:w="550" w:type="pct"/>
            <w:shd w:val="clear" w:color="auto" w:fill="auto"/>
            <w:vAlign w:val="center"/>
          </w:tcPr>
          <w:p w14:paraId="0BC99AA7" w14:textId="77777777" w:rsidR="009F0928" w:rsidRDefault="009F0928">
            <w:pPr>
              <w:rPr>
                <w:rFonts w:ascii="Times New Roman" w:hAnsi="Times New Roman"/>
                <w:sz w:val="20"/>
                <w:szCs w:val="20"/>
              </w:rPr>
            </w:pPr>
          </w:p>
        </w:tc>
        <w:tc>
          <w:tcPr>
            <w:tcW w:w="50" w:type="pct"/>
            <w:shd w:val="clear" w:color="auto" w:fill="auto"/>
            <w:vAlign w:val="center"/>
          </w:tcPr>
          <w:p w14:paraId="0BC99AA8" w14:textId="77777777" w:rsidR="009F0928" w:rsidRDefault="009F0928">
            <w:pPr>
              <w:rPr>
                <w:rFonts w:ascii="Times New Roman" w:hAnsi="Times New Roman"/>
                <w:sz w:val="20"/>
                <w:szCs w:val="20"/>
              </w:rPr>
            </w:pPr>
          </w:p>
        </w:tc>
        <w:tc>
          <w:tcPr>
            <w:tcW w:w="50" w:type="pct"/>
            <w:shd w:val="clear" w:color="auto" w:fill="auto"/>
            <w:vAlign w:val="center"/>
          </w:tcPr>
          <w:p w14:paraId="0BC99AA9" w14:textId="77777777" w:rsidR="009F0928" w:rsidRDefault="009F0928">
            <w:pPr>
              <w:rPr>
                <w:rFonts w:ascii="Times New Roman" w:hAnsi="Times New Roman"/>
                <w:sz w:val="20"/>
                <w:szCs w:val="20"/>
              </w:rPr>
            </w:pPr>
          </w:p>
        </w:tc>
        <w:tc>
          <w:tcPr>
            <w:tcW w:w="50" w:type="pct"/>
            <w:shd w:val="clear" w:color="auto" w:fill="auto"/>
            <w:vAlign w:val="center"/>
          </w:tcPr>
          <w:p w14:paraId="0BC99AAA" w14:textId="77777777" w:rsidR="009F0928" w:rsidRDefault="009F0928">
            <w:pPr>
              <w:rPr>
                <w:rFonts w:ascii="Times New Roman" w:hAnsi="Times New Roman"/>
                <w:sz w:val="20"/>
                <w:szCs w:val="20"/>
              </w:rPr>
            </w:pPr>
          </w:p>
        </w:tc>
        <w:tc>
          <w:tcPr>
            <w:tcW w:w="550" w:type="pct"/>
            <w:shd w:val="clear" w:color="auto" w:fill="auto"/>
            <w:vAlign w:val="center"/>
          </w:tcPr>
          <w:p w14:paraId="0BC99AAB" w14:textId="77777777" w:rsidR="009F0928" w:rsidRDefault="009F0928">
            <w:pPr>
              <w:rPr>
                <w:rFonts w:ascii="Times New Roman" w:hAnsi="Times New Roman"/>
                <w:sz w:val="20"/>
                <w:szCs w:val="20"/>
              </w:rPr>
            </w:pPr>
          </w:p>
        </w:tc>
        <w:tc>
          <w:tcPr>
            <w:tcW w:w="50" w:type="pct"/>
            <w:shd w:val="clear" w:color="auto" w:fill="auto"/>
            <w:vAlign w:val="center"/>
          </w:tcPr>
          <w:p w14:paraId="0BC99AAC" w14:textId="77777777" w:rsidR="009F0928" w:rsidRDefault="009F0928">
            <w:pPr>
              <w:rPr>
                <w:rFonts w:ascii="Times New Roman" w:hAnsi="Times New Roman"/>
                <w:sz w:val="20"/>
                <w:szCs w:val="20"/>
              </w:rPr>
            </w:pPr>
          </w:p>
        </w:tc>
        <w:tc>
          <w:tcPr>
            <w:tcW w:w="50" w:type="pct"/>
            <w:shd w:val="clear" w:color="auto" w:fill="auto"/>
            <w:vAlign w:val="center"/>
          </w:tcPr>
          <w:p w14:paraId="0BC99AAD" w14:textId="77777777" w:rsidR="009F0928" w:rsidRDefault="009F0928">
            <w:pPr>
              <w:rPr>
                <w:rFonts w:ascii="Times New Roman" w:hAnsi="Times New Roman"/>
                <w:sz w:val="20"/>
                <w:szCs w:val="20"/>
              </w:rPr>
            </w:pPr>
          </w:p>
        </w:tc>
        <w:tc>
          <w:tcPr>
            <w:tcW w:w="50" w:type="pct"/>
            <w:shd w:val="clear" w:color="auto" w:fill="auto"/>
            <w:vAlign w:val="center"/>
          </w:tcPr>
          <w:p w14:paraId="0BC99AAE" w14:textId="77777777" w:rsidR="009F0928" w:rsidRDefault="009F0928">
            <w:pPr>
              <w:rPr>
                <w:rFonts w:ascii="Times New Roman" w:hAnsi="Times New Roman"/>
                <w:sz w:val="20"/>
                <w:szCs w:val="20"/>
              </w:rPr>
            </w:pPr>
          </w:p>
        </w:tc>
        <w:tc>
          <w:tcPr>
            <w:tcW w:w="550" w:type="pct"/>
            <w:shd w:val="clear" w:color="auto" w:fill="auto"/>
            <w:vAlign w:val="center"/>
          </w:tcPr>
          <w:p w14:paraId="0BC99AAF" w14:textId="77777777" w:rsidR="009F0928" w:rsidRDefault="009F0928">
            <w:pPr>
              <w:rPr>
                <w:rFonts w:ascii="Times New Roman" w:hAnsi="Times New Roman"/>
                <w:sz w:val="20"/>
                <w:szCs w:val="20"/>
              </w:rPr>
            </w:pPr>
          </w:p>
        </w:tc>
        <w:tc>
          <w:tcPr>
            <w:tcW w:w="50" w:type="pct"/>
            <w:shd w:val="clear" w:color="auto" w:fill="auto"/>
            <w:vAlign w:val="center"/>
          </w:tcPr>
          <w:p w14:paraId="0BC99AB0" w14:textId="77777777" w:rsidR="009F0928" w:rsidRDefault="009F0928">
            <w:pPr>
              <w:rPr>
                <w:rFonts w:ascii="Times New Roman" w:hAnsi="Times New Roman"/>
                <w:sz w:val="20"/>
                <w:szCs w:val="20"/>
              </w:rPr>
            </w:pPr>
          </w:p>
        </w:tc>
      </w:tr>
      <w:tr w:rsidR="009F0928" w14:paraId="0BC99AB4" w14:textId="77777777">
        <w:tc>
          <w:tcPr>
            <w:tcW w:w="0" w:type="auto"/>
            <w:shd w:val="clear" w:color="auto" w:fill="auto"/>
            <w:tcMar>
              <w:top w:w="40" w:type="dxa"/>
              <w:left w:w="40" w:type="dxa"/>
              <w:bottom w:w="40" w:type="dxa"/>
              <w:right w:w="40" w:type="dxa"/>
            </w:tcMar>
            <w:vAlign w:val="bottom"/>
          </w:tcPr>
          <w:p w14:paraId="0BC99AB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9AB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Year </w:t>
            </w:r>
            <w:r>
              <w:rPr>
                <w:rFonts w:ascii="Arial" w:eastAsia="宋体" w:hAnsi="Arial" w:cs="Arial"/>
                <w:b/>
                <w:bCs/>
                <w:sz w:val="16"/>
                <w:szCs w:val="16"/>
              </w:rPr>
              <w:t>Ended December 31,</w:t>
            </w:r>
          </w:p>
        </w:tc>
      </w:tr>
      <w:tr w:rsidR="009F0928" w14:paraId="0BC99ABB" w14:textId="77777777">
        <w:tc>
          <w:tcPr>
            <w:tcW w:w="0" w:type="auto"/>
            <w:shd w:val="clear" w:color="auto" w:fill="auto"/>
            <w:tcMar>
              <w:top w:w="40" w:type="dxa"/>
              <w:left w:w="40" w:type="dxa"/>
              <w:bottom w:w="40" w:type="dxa"/>
              <w:right w:w="40" w:type="dxa"/>
            </w:tcMar>
            <w:vAlign w:val="bottom"/>
          </w:tcPr>
          <w:p w14:paraId="0BC99AB5"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AB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9AB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AB8"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0BC99AB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ABA"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2017</w:t>
            </w:r>
          </w:p>
        </w:tc>
      </w:tr>
      <w:tr w:rsidR="009F0928" w14:paraId="0BC99AC8" w14:textId="77777777">
        <w:tc>
          <w:tcPr>
            <w:tcW w:w="0" w:type="auto"/>
            <w:shd w:val="clear" w:color="auto" w:fill="E2E2E2"/>
            <w:tcMar>
              <w:top w:w="40" w:type="dxa"/>
              <w:left w:w="40" w:type="dxa"/>
              <w:bottom w:w="40" w:type="dxa"/>
              <w:right w:w="40" w:type="dxa"/>
            </w:tcMar>
            <w:vAlign w:val="bottom"/>
          </w:tcPr>
          <w:p w14:paraId="0BC99ABC" w14:textId="77777777" w:rsidR="009F0928" w:rsidRDefault="002112BD">
            <w:pPr>
              <w:textAlignment w:val="bottom"/>
              <w:rPr>
                <w:rFonts w:ascii="Times New Roman" w:hAnsi="Times New Roman"/>
                <w:sz w:val="18"/>
                <w:szCs w:val="18"/>
              </w:rPr>
            </w:pPr>
            <w:r>
              <w:rPr>
                <w:rFonts w:ascii="Arial" w:eastAsia="宋体" w:hAnsi="Arial" w:cs="Arial"/>
                <w:sz w:val="18"/>
                <w:szCs w:val="18"/>
              </w:rPr>
              <w:t>Gain (loss) from interest rate contracts designated as fair value hedges recognized in interest and other, net</w:t>
            </w:r>
          </w:p>
        </w:tc>
        <w:tc>
          <w:tcPr>
            <w:tcW w:w="0" w:type="auto"/>
            <w:shd w:val="clear" w:color="auto" w:fill="E2E2E2"/>
            <w:tcMar>
              <w:top w:w="40" w:type="dxa"/>
              <w:left w:w="40" w:type="dxa"/>
              <w:bottom w:w="40" w:type="dxa"/>
            </w:tcMar>
            <w:vAlign w:val="bottom"/>
          </w:tcPr>
          <w:p w14:paraId="0BC99AB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AB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34</w:t>
            </w:r>
          </w:p>
        </w:tc>
        <w:tc>
          <w:tcPr>
            <w:tcW w:w="0" w:type="auto"/>
            <w:shd w:val="clear" w:color="auto" w:fill="E2E2E2"/>
            <w:vAlign w:val="bottom"/>
          </w:tcPr>
          <w:p w14:paraId="0BC99AB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A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AC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AC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(19</w:t>
            </w:r>
          </w:p>
        </w:tc>
        <w:tc>
          <w:tcPr>
            <w:tcW w:w="0" w:type="auto"/>
            <w:shd w:val="clear" w:color="auto" w:fill="E2E2E2"/>
            <w:tcMar>
              <w:top w:w="40" w:type="dxa"/>
              <w:bottom w:w="40" w:type="dxa"/>
              <w:right w:w="40" w:type="dxa"/>
            </w:tcMar>
            <w:vAlign w:val="bottom"/>
          </w:tcPr>
          <w:p w14:paraId="0BC99AC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9AC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AC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AC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w:t>
            </w:r>
          </w:p>
        </w:tc>
        <w:tc>
          <w:tcPr>
            <w:tcW w:w="0" w:type="auto"/>
            <w:shd w:val="clear" w:color="auto" w:fill="E2E2E2"/>
            <w:tcMar>
              <w:top w:w="40" w:type="dxa"/>
              <w:bottom w:w="40" w:type="dxa"/>
              <w:right w:w="40" w:type="dxa"/>
            </w:tcMar>
            <w:vAlign w:val="bottom"/>
          </w:tcPr>
          <w:p w14:paraId="0BC99AC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9AD2" w14:textId="77777777">
        <w:tc>
          <w:tcPr>
            <w:tcW w:w="0" w:type="auto"/>
            <w:shd w:val="clear" w:color="auto" w:fill="auto"/>
            <w:tcMar>
              <w:top w:w="40" w:type="dxa"/>
              <w:left w:w="40" w:type="dxa"/>
              <w:bottom w:w="40" w:type="dxa"/>
              <w:right w:w="40" w:type="dxa"/>
            </w:tcMar>
            <w:vAlign w:val="bottom"/>
          </w:tcPr>
          <w:p w14:paraId="0BC99AC9"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Gain (loss) from hedged items attributable to hedged risk </w:t>
            </w:r>
            <w:r>
              <w:rPr>
                <w:rFonts w:ascii="Arial" w:eastAsia="宋体" w:hAnsi="Arial" w:cs="Arial"/>
                <w:sz w:val="18"/>
                <w:szCs w:val="18"/>
              </w:rPr>
              <w:t>recognized in interest and other, net</w:t>
            </w:r>
          </w:p>
        </w:tc>
        <w:tc>
          <w:tcPr>
            <w:tcW w:w="0" w:type="auto"/>
            <w:gridSpan w:val="2"/>
            <w:shd w:val="clear" w:color="auto" w:fill="auto"/>
            <w:tcMar>
              <w:top w:w="40" w:type="dxa"/>
              <w:left w:w="40" w:type="dxa"/>
              <w:bottom w:w="40" w:type="dxa"/>
            </w:tcMar>
            <w:vAlign w:val="bottom"/>
          </w:tcPr>
          <w:p w14:paraId="0BC99AC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(34</w:t>
            </w:r>
          </w:p>
        </w:tc>
        <w:tc>
          <w:tcPr>
            <w:tcW w:w="0" w:type="auto"/>
            <w:shd w:val="clear" w:color="auto" w:fill="auto"/>
            <w:tcMar>
              <w:top w:w="40" w:type="dxa"/>
              <w:bottom w:w="40" w:type="dxa"/>
              <w:right w:w="40" w:type="dxa"/>
            </w:tcMar>
            <w:vAlign w:val="bottom"/>
          </w:tcPr>
          <w:p w14:paraId="0BC99AC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9AC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AC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19</w:t>
            </w:r>
          </w:p>
        </w:tc>
        <w:tc>
          <w:tcPr>
            <w:tcW w:w="0" w:type="auto"/>
            <w:tcBorders>
              <w:bottom w:val="single" w:sz="8" w:space="0" w:color="000000"/>
            </w:tcBorders>
            <w:shd w:val="clear" w:color="auto" w:fill="auto"/>
            <w:vAlign w:val="bottom"/>
          </w:tcPr>
          <w:p w14:paraId="0BC99AC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A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AD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w:t>
            </w:r>
          </w:p>
        </w:tc>
        <w:tc>
          <w:tcPr>
            <w:tcW w:w="0" w:type="auto"/>
            <w:tcBorders>
              <w:bottom w:val="single" w:sz="8" w:space="0" w:color="000000"/>
            </w:tcBorders>
            <w:shd w:val="clear" w:color="auto" w:fill="auto"/>
            <w:vAlign w:val="bottom"/>
          </w:tcPr>
          <w:p w14:paraId="0BC99AD1" w14:textId="77777777" w:rsidR="009F0928" w:rsidRDefault="009F0928">
            <w:pPr>
              <w:textAlignment w:val="bottom"/>
              <w:rPr>
                <w:rFonts w:ascii="Times New Roman" w:hAnsi="Times New Roman"/>
                <w:sz w:val="20"/>
                <w:szCs w:val="20"/>
              </w:rPr>
            </w:pPr>
          </w:p>
        </w:tc>
      </w:tr>
      <w:tr w:rsidR="009F0928" w14:paraId="0BC99ADF" w14:textId="77777777">
        <w:tc>
          <w:tcPr>
            <w:tcW w:w="0" w:type="auto"/>
            <w:shd w:val="clear" w:color="auto" w:fill="E2E2E2"/>
            <w:tcMar>
              <w:top w:w="40" w:type="dxa"/>
              <w:left w:w="400" w:type="dxa"/>
              <w:bottom w:w="40" w:type="dxa"/>
              <w:right w:w="40" w:type="dxa"/>
            </w:tcMar>
            <w:vAlign w:val="bottom"/>
          </w:tcPr>
          <w:p w14:paraId="0BC99AD3"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gain (loss) recognized from interest rate derivative contracts in the consolidated statement of income</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AD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AD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vAlign w:val="bottom"/>
          </w:tcPr>
          <w:p w14:paraId="0BC99AD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AD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AD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AD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vAlign w:val="bottom"/>
          </w:tcPr>
          <w:p w14:paraId="0BC99AD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AD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AD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AD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vAlign w:val="bottom"/>
          </w:tcPr>
          <w:p w14:paraId="0BC99ADE" w14:textId="77777777" w:rsidR="009F0928" w:rsidRDefault="009F0928">
            <w:pPr>
              <w:textAlignment w:val="bottom"/>
              <w:rPr>
                <w:rFonts w:ascii="Times New Roman" w:hAnsi="Times New Roman"/>
                <w:sz w:val="20"/>
                <w:szCs w:val="20"/>
              </w:rPr>
            </w:pPr>
          </w:p>
        </w:tc>
      </w:tr>
    </w:tbl>
    <w:p w14:paraId="0BC99AE0" w14:textId="77777777" w:rsidR="009F0928" w:rsidRDefault="009F0928">
      <w:pPr>
        <w:spacing w:line="288" w:lineRule="auto"/>
        <w:jc w:val="both"/>
        <w:rPr>
          <w:rFonts w:ascii="Times New Roman" w:hAnsi="Times New Roman"/>
          <w:sz w:val="20"/>
          <w:szCs w:val="20"/>
        </w:rPr>
      </w:pPr>
    </w:p>
    <w:p w14:paraId="0BC99AE1" w14:textId="77777777" w:rsidR="009F0928" w:rsidRDefault="002112BD">
      <w:pPr>
        <w:spacing w:line="288" w:lineRule="auto"/>
        <w:ind w:firstLine="720"/>
        <w:rPr>
          <w:rFonts w:ascii="Times New Roman" w:hAnsi="Times New Roman"/>
          <w:sz w:val="20"/>
          <w:szCs w:val="20"/>
        </w:rPr>
      </w:pPr>
      <w:r>
        <w:rPr>
          <w:rFonts w:ascii="Arial" w:eastAsia="宋体" w:hAnsi="Arial" w:cs="Arial"/>
          <w:sz w:val="20"/>
          <w:szCs w:val="20"/>
        </w:rPr>
        <w:t xml:space="preserve">The following table provides a summary of the total gain </w:t>
      </w:r>
      <w:r>
        <w:rPr>
          <w:rFonts w:ascii="Arial" w:eastAsia="宋体" w:hAnsi="Arial" w:cs="Arial"/>
          <w:sz w:val="20"/>
          <w:szCs w:val="20"/>
        </w:rPr>
        <w:t>recognized in the consolidated statement of income due to changes in the fair value of the warrant (in millions): </w:t>
      </w:r>
    </w:p>
    <w:tbl>
      <w:tblPr>
        <w:tblW w:w="5000" w:type="pct"/>
        <w:jc w:val="center"/>
        <w:tblCellMar>
          <w:left w:w="0" w:type="dxa"/>
          <w:right w:w="0" w:type="dxa"/>
        </w:tblCellMar>
        <w:tblLook w:val="04A0" w:firstRow="1" w:lastRow="0" w:firstColumn="1" w:lastColumn="0" w:noHBand="0" w:noVBand="1"/>
      </w:tblPr>
      <w:tblGrid>
        <w:gridCol w:w="4862"/>
        <w:gridCol w:w="141"/>
        <w:gridCol w:w="875"/>
        <w:gridCol w:w="44"/>
        <w:gridCol w:w="130"/>
        <w:gridCol w:w="141"/>
        <w:gridCol w:w="875"/>
        <w:gridCol w:w="44"/>
        <w:gridCol w:w="130"/>
        <w:gridCol w:w="143"/>
        <w:gridCol w:w="876"/>
        <w:gridCol w:w="45"/>
      </w:tblGrid>
      <w:tr w:rsidR="009F0928" w14:paraId="0BC99AE3" w14:textId="77777777">
        <w:trPr>
          <w:jc w:val="center"/>
        </w:trPr>
        <w:tc>
          <w:tcPr>
            <w:tcW w:w="0" w:type="auto"/>
            <w:gridSpan w:val="12"/>
            <w:shd w:val="clear" w:color="auto" w:fill="auto"/>
            <w:vAlign w:val="center"/>
          </w:tcPr>
          <w:p w14:paraId="0BC99AE2" w14:textId="77777777" w:rsidR="009F0928" w:rsidRDefault="009F0928">
            <w:pPr>
              <w:rPr>
                <w:rFonts w:ascii="Times New Roman" w:hAnsi="Times New Roman"/>
                <w:sz w:val="20"/>
                <w:szCs w:val="20"/>
              </w:rPr>
            </w:pPr>
          </w:p>
        </w:tc>
      </w:tr>
      <w:tr w:rsidR="009F0928" w14:paraId="0BC99AF0" w14:textId="77777777">
        <w:trPr>
          <w:jc w:val="center"/>
        </w:trPr>
        <w:tc>
          <w:tcPr>
            <w:tcW w:w="2950" w:type="pct"/>
            <w:shd w:val="clear" w:color="auto" w:fill="auto"/>
            <w:vAlign w:val="center"/>
          </w:tcPr>
          <w:p w14:paraId="0BC99AE4" w14:textId="77777777" w:rsidR="009F0928" w:rsidRDefault="009F0928">
            <w:pPr>
              <w:rPr>
                <w:rFonts w:ascii="Times New Roman" w:hAnsi="Times New Roman"/>
                <w:sz w:val="20"/>
                <w:szCs w:val="20"/>
              </w:rPr>
            </w:pPr>
          </w:p>
        </w:tc>
        <w:tc>
          <w:tcPr>
            <w:tcW w:w="50" w:type="pct"/>
            <w:shd w:val="clear" w:color="auto" w:fill="auto"/>
            <w:vAlign w:val="center"/>
          </w:tcPr>
          <w:p w14:paraId="0BC99AE5" w14:textId="77777777" w:rsidR="009F0928" w:rsidRDefault="009F0928">
            <w:pPr>
              <w:rPr>
                <w:rFonts w:ascii="Times New Roman" w:hAnsi="Times New Roman"/>
                <w:sz w:val="20"/>
                <w:szCs w:val="20"/>
              </w:rPr>
            </w:pPr>
          </w:p>
        </w:tc>
        <w:tc>
          <w:tcPr>
            <w:tcW w:w="550" w:type="pct"/>
            <w:shd w:val="clear" w:color="auto" w:fill="auto"/>
            <w:vAlign w:val="center"/>
          </w:tcPr>
          <w:p w14:paraId="0BC99AE6" w14:textId="77777777" w:rsidR="009F0928" w:rsidRDefault="009F0928">
            <w:pPr>
              <w:rPr>
                <w:rFonts w:ascii="Times New Roman" w:hAnsi="Times New Roman"/>
                <w:sz w:val="20"/>
                <w:szCs w:val="20"/>
              </w:rPr>
            </w:pPr>
          </w:p>
        </w:tc>
        <w:tc>
          <w:tcPr>
            <w:tcW w:w="50" w:type="pct"/>
            <w:shd w:val="clear" w:color="auto" w:fill="auto"/>
            <w:vAlign w:val="center"/>
          </w:tcPr>
          <w:p w14:paraId="0BC99AE7" w14:textId="77777777" w:rsidR="009F0928" w:rsidRDefault="009F0928">
            <w:pPr>
              <w:rPr>
                <w:rFonts w:ascii="Times New Roman" w:hAnsi="Times New Roman"/>
                <w:sz w:val="20"/>
                <w:szCs w:val="20"/>
              </w:rPr>
            </w:pPr>
          </w:p>
        </w:tc>
        <w:tc>
          <w:tcPr>
            <w:tcW w:w="50" w:type="pct"/>
            <w:shd w:val="clear" w:color="auto" w:fill="auto"/>
            <w:vAlign w:val="center"/>
          </w:tcPr>
          <w:p w14:paraId="0BC99AE8" w14:textId="77777777" w:rsidR="009F0928" w:rsidRDefault="009F0928">
            <w:pPr>
              <w:rPr>
                <w:rFonts w:ascii="Times New Roman" w:hAnsi="Times New Roman"/>
                <w:sz w:val="20"/>
                <w:szCs w:val="20"/>
              </w:rPr>
            </w:pPr>
          </w:p>
        </w:tc>
        <w:tc>
          <w:tcPr>
            <w:tcW w:w="50" w:type="pct"/>
            <w:shd w:val="clear" w:color="auto" w:fill="auto"/>
            <w:vAlign w:val="center"/>
          </w:tcPr>
          <w:p w14:paraId="0BC99AE9" w14:textId="77777777" w:rsidR="009F0928" w:rsidRDefault="009F0928">
            <w:pPr>
              <w:rPr>
                <w:rFonts w:ascii="Times New Roman" w:hAnsi="Times New Roman"/>
                <w:sz w:val="20"/>
                <w:szCs w:val="20"/>
              </w:rPr>
            </w:pPr>
          </w:p>
        </w:tc>
        <w:tc>
          <w:tcPr>
            <w:tcW w:w="550" w:type="pct"/>
            <w:shd w:val="clear" w:color="auto" w:fill="auto"/>
            <w:vAlign w:val="center"/>
          </w:tcPr>
          <w:p w14:paraId="0BC99AEA" w14:textId="77777777" w:rsidR="009F0928" w:rsidRDefault="009F0928">
            <w:pPr>
              <w:rPr>
                <w:rFonts w:ascii="Times New Roman" w:hAnsi="Times New Roman"/>
                <w:sz w:val="20"/>
                <w:szCs w:val="20"/>
              </w:rPr>
            </w:pPr>
          </w:p>
        </w:tc>
        <w:tc>
          <w:tcPr>
            <w:tcW w:w="50" w:type="pct"/>
            <w:shd w:val="clear" w:color="auto" w:fill="auto"/>
            <w:vAlign w:val="center"/>
          </w:tcPr>
          <w:p w14:paraId="0BC99AEB" w14:textId="77777777" w:rsidR="009F0928" w:rsidRDefault="009F0928">
            <w:pPr>
              <w:rPr>
                <w:rFonts w:ascii="Times New Roman" w:hAnsi="Times New Roman"/>
                <w:sz w:val="20"/>
                <w:szCs w:val="20"/>
              </w:rPr>
            </w:pPr>
          </w:p>
        </w:tc>
        <w:tc>
          <w:tcPr>
            <w:tcW w:w="50" w:type="pct"/>
            <w:shd w:val="clear" w:color="auto" w:fill="auto"/>
            <w:vAlign w:val="center"/>
          </w:tcPr>
          <w:p w14:paraId="0BC99AEC" w14:textId="77777777" w:rsidR="009F0928" w:rsidRDefault="009F0928">
            <w:pPr>
              <w:rPr>
                <w:rFonts w:ascii="Times New Roman" w:hAnsi="Times New Roman"/>
                <w:sz w:val="20"/>
                <w:szCs w:val="20"/>
              </w:rPr>
            </w:pPr>
          </w:p>
        </w:tc>
        <w:tc>
          <w:tcPr>
            <w:tcW w:w="50" w:type="pct"/>
            <w:shd w:val="clear" w:color="auto" w:fill="auto"/>
            <w:vAlign w:val="center"/>
          </w:tcPr>
          <w:p w14:paraId="0BC99AED" w14:textId="77777777" w:rsidR="009F0928" w:rsidRDefault="009F0928">
            <w:pPr>
              <w:rPr>
                <w:rFonts w:ascii="Times New Roman" w:hAnsi="Times New Roman"/>
                <w:sz w:val="20"/>
                <w:szCs w:val="20"/>
              </w:rPr>
            </w:pPr>
          </w:p>
        </w:tc>
        <w:tc>
          <w:tcPr>
            <w:tcW w:w="550" w:type="pct"/>
            <w:shd w:val="clear" w:color="auto" w:fill="auto"/>
            <w:vAlign w:val="center"/>
          </w:tcPr>
          <w:p w14:paraId="0BC99AEE" w14:textId="77777777" w:rsidR="009F0928" w:rsidRDefault="009F0928">
            <w:pPr>
              <w:rPr>
                <w:rFonts w:ascii="Times New Roman" w:hAnsi="Times New Roman"/>
                <w:sz w:val="20"/>
                <w:szCs w:val="20"/>
              </w:rPr>
            </w:pPr>
          </w:p>
        </w:tc>
        <w:tc>
          <w:tcPr>
            <w:tcW w:w="50" w:type="pct"/>
            <w:shd w:val="clear" w:color="auto" w:fill="auto"/>
            <w:vAlign w:val="center"/>
          </w:tcPr>
          <w:p w14:paraId="0BC99AEF" w14:textId="77777777" w:rsidR="009F0928" w:rsidRDefault="009F0928">
            <w:pPr>
              <w:rPr>
                <w:rFonts w:ascii="Times New Roman" w:hAnsi="Times New Roman"/>
                <w:sz w:val="20"/>
                <w:szCs w:val="20"/>
              </w:rPr>
            </w:pPr>
          </w:p>
        </w:tc>
      </w:tr>
      <w:tr w:rsidR="009F0928" w14:paraId="0BC99AF3" w14:textId="77777777">
        <w:trPr>
          <w:jc w:val="center"/>
        </w:trPr>
        <w:tc>
          <w:tcPr>
            <w:tcW w:w="0" w:type="auto"/>
            <w:shd w:val="clear" w:color="auto" w:fill="auto"/>
            <w:tcMar>
              <w:top w:w="40" w:type="dxa"/>
              <w:left w:w="40" w:type="dxa"/>
              <w:bottom w:w="40" w:type="dxa"/>
              <w:right w:w="40" w:type="dxa"/>
            </w:tcMar>
            <w:vAlign w:val="bottom"/>
          </w:tcPr>
          <w:p w14:paraId="0BC99AF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9AF2"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w:t>
            </w:r>
          </w:p>
        </w:tc>
      </w:tr>
      <w:tr w:rsidR="009F0928" w14:paraId="0BC99AFA" w14:textId="77777777">
        <w:trPr>
          <w:jc w:val="center"/>
        </w:trPr>
        <w:tc>
          <w:tcPr>
            <w:tcW w:w="0" w:type="auto"/>
            <w:shd w:val="clear" w:color="auto" w:fill="auto"/>
            <w:tcMar>
              <w:top w:w="40" w:type="dxa"/>
              <w:left w:w="40" w:type="dxa"/>
              <w:bottom w:w="40" w:type="dxa"/>
              <w:right w:w="40" w:type="dxa"/>
            </w:tcMar>
            <w:vAlign w:val="bottom"/>
          </w:tcPr>
          <w:p w14:paraId="0BC99AF4"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AF5"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9A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AF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9AF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AF9"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2017</w:t>
            </w:r>
          </w:p>
        </w:tc>
      </w:tr>
      <w:tr w:rsidR="009F0928" w14:paraId="0BC99B07" w14:textId="77777777">
        <w:trPr>
          <w:jc w:val="center"/>
        </w:trPr>
        <w:tc>
          <w:tcPr>
            <w:tcW w:w="0" w:type="auto"/>
            <w:shd w:val="clear" w:color="auto" w:fill="E2E2E2"/>
            <w:tcMar>
              <w:top w:w="40" w:type="dxa"/>
              <w:left w:w="40" w:type="dxa"/>
              <w:bottom w:w="40" w:type="dxa"/>
              <w:right w:w="40" w:type="dxa"/>
            </w:tcMar>
            <w:vAlign w:val="bottom"/>
          </w:tcPr>
          <w:p w14:paraId="0BC99AFB"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Gain attributable to changes in the fair value of warrant </w:t>
            </w:r>
            <w:r>
              <w:rPr>
                <w:rFonts w:ascii="Arial" w:eastAsia="宋体" w:hAnsi="Arial" w:cs="Arial"/>
                <w:sz w:val="18"/>
                <w:szCs w:val="18"/>
              </w:rPr>
              <w:t>recognized in interest and other, net</w:t>
            </w:r>
          </w:p>
        </w:tc>
        <w:tc>
          <w:tcPr>
            <w:tcW w:w="0" w:type="auto"/>
            <w:shd w:val="clear" w:color="auto" w:fill="E2E2E2"/>
            <w:tcMar>
              <w:top w:w="40" w:type="dxa"/>
              <w:left w:w="40" w:type="dxa"/>
              <w:bottom w:w="40" w:type="dxa"/>
            </w:tcMar>
            <w:vAlign w:val="bottom"/>
          </w:tcPr>
          <w:p w14:paraId="0BC99AF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AF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133</w:t>
            </w:r>
          </w:p>
        </w:tc>
        <w:tc>
          <w:tcPr>
            <w:tcW w:w="0" w:type="auto"/>
            <w:shd w:val="clear" w:color="auto" w:fill="E2E2E2"/>
            <w:vAlign w:val="bottom"/>
          </w:tcPr>
          <w:p w14:paraId="0BC99AF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AF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B0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B0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104</w:t>
            </w:r>
          </w:p>
        </w:tc>
        <w:tc>
          <w:tcPr>
            <w:tcW w:w="0" w:type="auto"/>
            <w:shd w:val="clear" w:color="auto" w:fill="E2E2E2"/>
            <w:vAlign w:val="bottom"/>
          </w:tcPr>
          <w:p w14:paraId="0BC99B0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B0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B0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B0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9B06" w14:textId="77777777" w:rsidR="009F0928" w:rsidRDefault="009F0928">
            <w:pPr>
              <w:textAlignment w:val="bottom"/>
              <w:rPr>
                <w:rFonts w:ascii="Times New Roman" w:hAnsi="Times New Roman"/>
                <w:sz w:val="20"/>
                <w:szCs w:val="20"/>
              </w:rPr>
            </w:pPr>
          </w:p>
        </w:tc>
      </w:tr>
    </w:tbl>
    <w:p w14:paraId="0BC99B08" w14:textId="77777777" w:rsidR="009F0928" w:rsidRDefault="009F0928">
      <w:pPr>
        <w:spacing w:line="288" w:lineRule="auto"/>
        <w:jc w:val="center"/>
        <w:rPr>
          <w:rFonts w:ascii="Times New Roman" w:hAnsi="Times New Roman"/>
          <w:sz w:val="20"/>
          <w:szCs w:val="20"/>
        </w:rPr>
      </w:pPr>
    </w:p>
    <w:p w14:paraId="0BC99B09" w14:textId="77777777" w:rsidR="009F0928" w:rsidRDefault="009F0928">
      <w:pPr>
        <w:spacing w:line="288" w:lineRule="auto"/>
        <w:jc w:val="both"/>
        <w:rPr>
          <w:rFonts w:ascii="Times New Roman" w:hAnsi="Times New Roman"/>
          <w:sz w:val="20"/>
          <w:szCs w:val="20"/>
        </w:rPr>
      </w:pPr>
    </w:p>
    <w:p w14:paraId="0BC99B0A"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Notional Amounts of Derivative Contracts</w:t>
      </w:r>
    </w:p>
    <w:p w14:paraId="0BC99B0B" w14:textId="77777777" w:rsidR="009F0928" w:rsidRDefault="009F0928">
      <w:pPr>
        <w:spacing w:line="288" w:lineRule="auto"/>
        <w:ind w:firstLine="720"/>
        <w:jc w:val="both"/>
        <w:rPr>
          <w:rFonts w:ascii="Times New Roman" w:hAnsi="Times New Roman"/>
          <w:sz w:val="20"/>
          <w:szCs w:val="20"/>
        </w:rPr>
      </w:pPr>
    </w:p>
    <w:p w14:paraId="0BC99B0C"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Derivative transactions are measured in terms of the notional amount, but this amount is not recorded on the balance sheet and is not, when </w:t>
      </w:r>
      <w:r>
        <w:rPr>
          <w:rFonts w:ascii="Arial" w:eastAsia="宋体" w:hAnsi="Arial" w:cs="Arial"/>
          <w:sz w:val="20"/>
          <w:szCs w:val="20"/>
        </w:rPr>
        <w:t>viewed in isolation, a meaningful measure of the risk profile of the instruments. The notional amount is generally not exchanged, but is used only as the basis on which the value of foreign exchange payments under these contracts are determined. The follow</w:t>
      </w:r>
      <w:r>
        <w:rPr>
          <w:rFonts w:ascii="Arial" w:eastAsia="宋体" w:hAnsi="Arial" w:cs="Arial"/>
          <w:sz w:val="20"/>
          <w:szCs w:val="20"/>
        </w:rPr>
        <w:t>ing table provides the notional amounts of our outstanding derivatives as of December 31, 2019 and 2018 (in millions):</w:t>
      </w:r>
    </w:p>
    <w:tbl>
      <w:tblPr>
        <w:tblW w:w="5000" w:type="pct"/>
        <w:tblCellMar>
          <w:left w:w="0" w:type="dxa"/>
          <w:right w:w="0" w:type="dxa"/>
        </w:tblCellMar>
        <w:tblLook w:val="04A0" w:firstRow="1" w:lastRow="0" w:firstColumn="1" w:lastColumn="0" w:noHBand="0" w:noVBand="1"/>
      </w:tblPr>
      <w:tblGrid>
        <w:gridCol w:w="6030"/>
        <w:gridCol w:w="141"/>
        <w:gridCol w:w="881"/>
        <w:gridCol w:w="50"/>
        <w:gridCol w:w="130"/>
        <w:gridCol w:w="141"/>
        <w:gridCol w:w="882"/>
        <w:gridCol w:w="51"/>
      </w:tblGrid>
      <w:tr w:rsidR="009F0928" w14:paraId="0BC99B0E" w14:textId="77777777">
        <w:tc>
          <w:tcPr>
            <w:tcW w:w="0" w:type="auto"/>
            <w:gridSpan w:val="8"/>
            <w:shd w:val="clear" w:color="auto" w:fill="auto"/>
            <w:vAlign w:val="center"/>
          </w:tcPr>
          <w:p w14:paraId="0BC99B0D" w14:textId="77777777" w:rsidR="009F0928" w:rsidRDefault="009F0928">
            <w:pPr>
              <w:rPr>
                <w:rFonts w:ascii="Times New Roman" w:hAnsi="Times New Roman"/>
                <w:sz w:val="20"/>
                <w:szCs w:val="20"/>
              </w:rPr>
            </w:pPr>
          </w:p>
        </w:tc>
      </w:tr>
      <w:tr w:rsidR="009F0928" w14:paraId="0BC99B17" w14:textId="77777777">
        <w:tc>
          <w:tcPr>
            <w:tcW w:w="3650" w:type="pct"/>
            <w:shd w:val="clear" w:color="auto" w:fill="auto"/>
            <w:vAlign w:val="center"/>
          </w:tcPr>
          <w:p w14:paraId="0BC99B0F" w14:textId="77777777" w:rsidR="009F0928" w:rsidRDefault="009F0928">
            <w:pPr>
              <w:rPr>
                <w:rFonts w:ascii="Times New Roman" w:hAnsi="Times New Roman"/>
                <w:sz w:val="20"/>
                <w:szCs w:val="20"/>
              </w:rPr>
            </w:pPr>
          </w:p>
        </w:tc>
        <w:tc>
          <w:tcPr>
            <w:tcW w:w="50" w:type="pct"/>
            <w:shd w:val="clear" w:color="auto" w:fill="auto"/>
            <w:vAlign w:val="center"/>
          </w:tcPr>
          <w:p w14:paraId="0BC99B10" w14:textId="77777777" w:rsidR="009F0928" w:rsidRDefault="009F0928">
            <w:pPr>
              <w:rPr>
                <w:rFonts w:ascii="Times New Roman" w:hAnsi="Times New Roman"/>
                <w:sz w:val="20"/>
                <w:szCs w:val="20"/>
              </w:rPr>
            </w:pPr>
          </w:p>
        </w:tc>
        <w:tc>
          <w:tcPr>
            <w:tcW w:w="550" w:type="pct"/>
            <w:shd w:val="clear" w:color="auto" w:fill="auto"/>
            <w:vAlign w:val="center"/>
          </w:tcPr>
          <w:p w14:paraId="0BC99B11" w14:textId="77777777" w:rsidR="009F0928" w:rsidRDefault="009F0928">
            <w:pPr>
              <w:rPr>
                <w:rFonts w:ascii="Times New Roman" w:hAnsi="Times New Roman"/>
                <w:sz w:val="20"/>
                <w:szCs w:val="20"/>
              </w:rPr>
            </w:pPr>
          </w:p>
        </w:tc>
        <w:tc>
          <w:tcPr>
            <w:tcW w:w="50" w:type="pct"/>
            <w:shd w:val="clear" w:color="auto" w:fill="auto"/>
            <w:vAlign w:val="center"/>
          </w:tcPr>
          <w:p w14:paraId="0BC99B12" w14:textId="77777777" w:rsidR="009F0928" w:rsidRDefault="009F0928">
            <w:pPr>
              <w:rPr>
                <w:rFonts w:ascii="Times New Roman" w:hAnsi="Times New Roman"/>
                <w:sz w:val="20"/>
                <w:szCs w:val="20"/>
              </w:rPr>
            </w:pPr>
          </w:p>
        </w:tc>
        <w:tc>
          <w:tcPr>
            <w:tcW w:w="50" w:type="pct"/>
            <w:shd w:val="clear" w:color="auto" w:fill="auto"/>
            <w:vAlign w:val="center"/>
          </w:tcPr>
          <w:p w14:paraId="0BC99B13" w14:textId="77777777" w:rsidR="009F0928" w:rsidRDefault="009F0928">
            <w:pPr>
              <w:rPr>
                <w:rFonts w:ascii="Times New Roman" w:hAnsi="Times New Roman"/>
                <w:sz w:val="20"/>
                <w:szCs w:val="20"/>
              </w:rPr>
            </w:pPr>
          </w:p>
        </w:tc>
        <w:tc>
          <w:tcPr>
            <w:tcW w:w="50" w:type="pct"/>
            <w:shd w:val="clear" w:color="auto" w:fill="auto"/>
            <w:vAlign w:val="center"/>
          </w:tcPr>
          <w:p w14:paraId="0BC99B14" w14:textId="77777777" w:rsidR="009F0928" w:rsidRDefault="009F0928">
            <w:pPr>
              <w:rPr>
                <w:rFonts w:ascii="Times New Roman" w:hAnsi="Times New Roman"/>
                <w:sz w:val="20"/>
                <w:szCs w:val="20"/>
              </w:rPr>
            </w:pPr>
          </w:p>
        </w:tc>
        <w:tc>
          <w:tcPr>
            <w:tcW w:w="550" w:type="pct"/>
            <w:shd w:val="clear" w:color="auto" w:fill="auto"/>
            <w:vAlign w:val="center"/>
          </w:tcPr>
          <w:p w14:paraId="0BC99B15" w14:textId="77777777" w:rsidR="009F0928" w:rsidRDefault="009F0928">
            <w:pPr>
              <w:rPr>
                <w:rFonts w:ascii="Times New Roman" w:hAnsi="Times New Roman"/>
                <w:sz w:val="20"/>
                <w:szCs w:val="20"/>
              </w:rPr>
            </w:pPr>
          </w:p>
        </w:tc>
        <w:tc>
          <w:tcPr>
            <w:tcW w:w="50" w:type="pct"/>
            <w:shd w:val="clear" w:color="auto" w:fill="auto"/>
            <w:vAlign w:val="center"/>
          </w:tcPr>
          <w:p w14:paraId="0BC99B16" w14:textId="77777777" w:rsidR="009F0928" w:rsidRDefault="009F0928">
            <w:pPr>
              <w:rPr>
                <w:rFonts w:ascii="Times New Roman" w:hAnsi="Times New Roman"/>
                <w:sz w:val="20"/>
                <w:szCs w:val="20"/>
              </w:rPr>
            </w:pPr>
          </w:p>
        </w:tc>
      </w:tr>
      <w:tr w:rsidR="009F0928" w14:paraId="0BC99B1A" w14:textId="77777777">
        <w:tc>
          <w:tcPr>
            <w:tcW w:w="0" w:type="auto"/>
            <w:shd w:val="clear" w:color="auto" w:fill="auto"/>
            <w:tcMar>
              <w:top w:w="40" w:type="dxa"/>
              <w:left w:w="40" w:type="dxa"/>
              <w:bottom w:w="40" w:type="dxa"/>
              <w:right w:w="40" w:type="dxa"/>
            </w:tcMar>
            <w:vAlign w:val="bottom"/>
          </w:tcPr>
          <w:p w14:paraId="0BC99B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BC99B19"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w:t>
            </w:r>
          </w:p>
        </w:tc>
      </w:tr>
      <w:tr w:rsidR="009F0928" w14:paraId="0BC99B1F" w14:textId="77777777">
        <w:tc>
          <w:tcPr>
            <w:tcW w:w="0" w:type="auto"/>
            <w:shd w:val="clear" w:color="auto" w:fill="auto"/>
            <w:tcMar>
              <w:top w:w="40" w:type="dxa"/>
              <w:left w:w="40" w:type="dxa"/>
              <w:bottom w:w="40" w:type="dxa"/>
              <w:right w:w="40" w:type="dxa"/>
            </w:tcMar>
            <w:vAlign w:val="bottom"/>
          </w:tcPr>
          <w:p w14:paraId="0BC99B1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B1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0BC99B1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B1E"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r>
      <w:tr w:rsidR="009F0928" w14:paraId="0BC99B28" w14:textId="77777777">
        <w:tc>
          <w:tcPr>
            <w:tcW w:w="0" w:type="auto"/>
            <w:shd w:val="clear" w:color="auto" w:fill="E2E2E2"/>
            <w:tcMar>
              <w:top w:w="40" w:type="dxa"/>
              <w:left w:w="40" w:type="dxa"/>
              <w:bottom w:w="40" w:type="dxa"/>
              <w:right w:w="40" w:type="dxa"/>
            </w:tcMar>
            <w:vAlign w:val="bottom"/>
          </w:tcPr>
          <w:p w14:paraId="0BC99B20" w14:textId="77777777" w:rsidR="009F0928" w:rsidRDefault="002112BD">
            <w:pPr>
              <w:textAlignment w:val="bottom"/>
              <w:rPr>
                <w:rFonts w:ascii="Times New Roman" w:hAnsi="Times New Roman"/>
                <w:sz w:val="18"/>
                <w:szCs w:val="18"/>
              </w:rPr>
            </w:pPr>
            <w:r>
              <w:rPr>
                <w:rFonts w:ascii="Arial" w:eastAsia="宋体" w:hAnsi="Arial" w:cs="Arial"/>
                <w:sz w:val="18"/>
                <w:szCs w:val="18"/>
              </w:rPr>
              <w:t>Foreign exchange contracts designated as cash flow hedges</w:t>
            </w:r>
          </w:p>
        </w:tc>
        <w:tc>
          <w:tcPr>
            <w:tcW w:w="0" w:type="auto"/>
            <w:shd w:val="clear" w:color="auto" w:fill="E2E2E2"/>
            <w:tcMar>
              <w:top w:w="40" w:type="dxa"/>
              <w:left w:w="40" w:type="dxa"/>
              <w:bottom w:w="40" w:type="dxa"/>
            </w:tcMar>
            <w:vAlign w:val="bottom"/>
          </w:tcPr>
          <w:p w14:paraId="0BC99B2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B2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1,983</w:t>
            </w:r>
          </w:p>
        </w:tc>
        <w:tc>
          <w:tcPr>
            <w:tcW w:w="0" w:type="auto"/>
            <w:shd w:val="clear" w:color="auto" w:fill="E2E2E2"/>
            <w:vAlign w:val="bottom"/>
          </w:tcPr>
          <w:p w14:paraId="0BC99B2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B2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B2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B2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1,510</w:t>
            </w:r>
          </w:p>
        </w:tc>
        <w:tc>
          <w:tcPr>
            <w:tcW w:w="0" w:type="auto"/>
            <w:shd w:val="clear" w:color="auto" w:fill="E2E2E2"/>
            <w:vAlign w:val="bottom"/>
          </w:tcPr>
          <w:p w14:paraId="0BC99B27" w14:textId="77777777" w:rsidR="009F0928" w:rsidRDefault="009F0928">
            <w:pPr>
              <w:textAlignment w:val="bottom"/>
              <w:rPr>
                <w:rFonts w:ascii="Times New Roman" w:hAnsi="Times New Roman"/>
                <w:sz w:val="20"/>
                <w:szCs w:val="20"/>
              </w:rPr>
            </w:pPr>
          </w:p>
        </w:tc>
      </w:tr>
      <w:tr w:rsidR="009F0928" w14:paraId="0BC99B2F" w14:textId="77777777">
        <w:tc>
          <w:tcPr>
            <w:tcW w:w="0" w:type="auto"/>
            <w:shd w:val="clear" w:color="auto" w:fill="auto"/>
            <w:tcMar>
              <w:top w:w="40" w:type="dxa"/>
              <w:left w:w="40" w:type="dxa"/>
              <w:bottom w:w="40" w:type="dxa"/>
              <w:right w:w="40" w:type="dxa"/>
            </w:tcMar>
            <w:vAlign w:val="bottom"/>
          </w:tcPr>
          <w:p w14:paraId="0BC99B29"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Foreign </w:t>
            </w:r>
            <w:r>
              <w:rPr>
                <w:rFonts w:ascii="Arial" w:eastAsia="宋体" w:hAnsi="Arial" w:cs="Arial"/>
                <w:sz w:val="18"/>
                <w:szCs w:val="18"/>
              </w:rPr>
              <w:t>exchange contracts designated as net investment hedges</w:t>
            </w:r>
          </w:p>
        </w:tc>
        <w:tc>
          <w:tcPr>
            <w:tcW w:w="0" w:type="auto"/>
            <w:gridSpan w:val="2"/>
            <w:shd w:val="clear" w:color="auto" w:fill="auto"/>
            <w:tcMar>
              <w:top w:w="40" w:type="dxa"/>
              <w:left w:w="40" w:type="dxa"/>
              <w:bottom w:w="40" w:type="dxa"/>
            </w:tcMar>
            <w:vAlign w:val="bottom"/>
          </w:tcPr>
          <w:p w14:paraId="0BC99B2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200</w:t>
            </w:r>
          </w:p>
        </w:tc>
        <w:tc>
          <w:tcPr>
            <w:tcW w:w="0" w:type="auto"/>
            <w:shd w:val="clear" w:color="auto" w:fill="auto"/>
            <w:vAlign w:val="bottom"/>
          </w:tcPr>
          <w:p w14:paraId="0BC99B2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B2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B2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804</w:t>
            </w:r>
          </w:p>
        </w:tc>
        <w:tc>
          <w:tcPr>
            <w:tcW w:w="0" w:type="auto"/>
            <w:shd w:val="clear" w:color="auto" w:fill="auto"/>
            <w:vAlign w:val="bottom"/>
          </w:tcPr>
          <w:p w14:paraId="0BC99B2E" w14:textId="77777777" w:rsidR="009F0928" w:rsidRDefault="009F0928">
            <w:pPr>
              <w:textAlignment w:val="bottom"/>
              <w:rPr>
                <w:rFonts w:ascii="Times New Roman" w:hAnsi="Times New Roman"/>
                <w:sz w:val="20"/>
                <w:szCs w:val="20"/>
              </w:rPr>
            </w:pPr>
          </w:p>
        </w:tc>
      </w:tr>
      <w:tr w:rsidR="009F0928" w14:paraId="0BC99B36" w14:textId="77777777">
        <w:tc>
          <w:tcPr>
            <w:tcW w:w="0" w:type="auto"/>
            <w:shd w:val="clear" w:color="auto" w:fill="E2E2E2"/>
            <w:tcMar>
              <w:top w:w="40" w:type="dxa"/>
              <w:left w:w="40" w:type="dxa"/>
              <w:bottom w:w="40" w:type="dxa"/>
              <w:right w:w="40" w:type="dxa"/>
            </w:tcMar>
            <w:vAlign w:val="bottom"/>
          </w:tcPr>
          <w:p w14:paraId="0BC99B30" w14:textId="77777777" w:rsidR="009F0928" w:rsidRDefault="002112BD">
            <w:pPr>
              <w:textAlignment w:val="bottom"/>
              <w:rPr>
                <w:rFonts w:ascii="Times New Roman" w:hAnsi="Times New Roman"/>
                <w:sz w:val="18"/>
                <w:szCs w:val="18"/>
              </w:rPr>
            </w:pPr>
            <w:r>
              <w:rPr>
                <w:rFonts w:ascii="Arial" w:eastAsia="宋体" w:hAnsi="Arial" w:cs="Arial"/>
                <w:sz w:val="18"/>
                <w:szCs w:val="18"/>
              </w:rPr>
              <w:t>Foreign exchange contracts not designated as hedging instruments</w:t>
            </w:r>
          </w:p>
        </w:tc>
        <w:tc>
          <w:tcPr>
            <w:tcW w:w="0" w:type="auto"/>
            <w:gridSpan w:val="2"/>
            <w:shd w:val="clear" w:color="auto" w:fill="E2E2E2"/>
            <w:tcMar>
              <w:top w:w="40" w:type="dxa"/>
              <w:left w:w="40" w:type="dxa"/>
              <w:bottom w:w="40" w:type="dxa"/>
            </w:tcMar>
            <w:vAlign w:val="bottom"/>
          </w:tcPr>
          <w:p w14:paraId="0BC99B3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2,710</w:t>
            </w:r>
          </w:p>
        </w:tc>
        <w:tc>
          <w:tcPr>
            <w:tcW w:w="0" w:type="auto"/>
            <w:shd w:val="clear" w:color="auto" w:fill="E2E2E2"/>
            <w:vAlign w:val="bottom"/>
          </w:tcPr>
          <w:p w14:paraId="0BC99B3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B3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B3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3,517</w:t>
            </w:r>
          </w:p>
        </w:tc>
        <w:tc>
          <w:tcPr>
            <w:tcW w:w="0" w:type="auto"/>
            <w:shd w:val="clear" w:color="auto" w:fill="E2E2E2"/>
            <w:vAlign w:val="bottom"/>
          </w:tcPr>
          <w:p w14:paraId="0BC99B35" w14:textId="77777777" w:rsidR="009F0928" w:rsidRDefault="009F0928">
            <w:pPr>
              <w:textAlignment w:val="bottom"/>
              <w:rPr>
                <w:rFonts w:ascii="Times New Roman" w:hAnsi="Times New Roman"/>
                <w:sz w:val="20"/>
                <w:szCs w:val="20"/>
              </w:rPr>
            </w:pPr>
          </w:p>
        </w:tc>
      </w:tr>
      <w:tr w:rsidR="009F0928" w14:paraId="0BC99B3D" w14:textId="77777777">
        <w:tc>
          <w:tcPr>
            <w:tcW w:w="0" w:type="auto"/>
            <w:shd w:val="clear" w:color="auto" w:fill="auto"/>
            <w:tcMar>
              <w:top w:w="40" w:type="dxa"/>
              <w:left w:w="40" w:type="dxa"/>
              <w:bottom w:w="40" w:type="dxa"/>
              <w:right w:w="40" w:type="dxa"/>
            </w:tcMar>
            <w:vAlign w:val="bottom"/>
          </w:tcPr>
          <w:p w14:paraId="0BC99B37" w14:textId="77777777" w:rsidR="009F0928" w:rsidRDefault="002112BD">
            <w:pPr>
              <w:textAlignment w:val="bottom"/>
              <w:rPr>
                <w:rFonts w:ascii="Times New Roman" w:hAnsi="Times New Roman"/>
                <w:sz w:val="18"/>
                <w:szCs w:val="18"/>
              </w:rPr>
            </w:pPr>
            <w:r>
              <w:rPr>
                <w:rFonts w:ascii="Arial" w:eastAsia="宋体" w:hAnsi="Arial" w:cs="Arial"/>
                <w:sz w:val="18"/>
                <w:szCs w:val="18"/>
              </w:rPr>
              <w:t>Interest rate contracts designated as fair value hedges</w:t>
            </w:r>
          </w:p>
        </w:tc>
        <w:tc>
          <w:tcPr>
            <w:tcW w:w="0" w:type="auto"/>
            <w:gridSpan w:val="2"/>
            <w:shd w:val="clear" w:color="auto" w:fill="auto"/>
            <w:tcMar>
              <w:top w:w="40" w:type="dxa"/>
              <w:left w:w="40" w:type="dxa"/>
              <w:bottom w:w="40" w:type="dxa"/>
            </w:tcMar>
            <w:vAlign w:val="bottom"/>
          </w:tcPr>
          <w:p w14:paraId="0BC99B3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B3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B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B3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2,400</w:t>
            </w:r>
          </w:p>
        </w:tc>
        <w:tc>
          <w:tcPr>
            <w:tcW w:w="0" w:type="auto"/>
            <w:shd w:val="clear" w:color="auto" w:fill="auto"/>
            <w:vAlign w:val="bottom"/>
          </w:tcPr>
          <w:p w14:paraId="0BC99B3C" w14:textId="77777777" w:rsidR="009F0928" w:rsidRDefault="009F0928">
            <w:pPr>
              <w:textAlignment w:val="bottom"/>
              <w:rPr>
                <w:rFonts w:ascii="Times New Roman" w:hAnsi="Times New Roman"/>
                <w:sz w:val="20"/>
                <w:szCs w:val="20"/>
              </w:rPr>
            </w:pPr>
          </w:p>
        </w:tc>
      </w:tr>
      <w:tr w:rsidR="009F0928" w14:paraId="0BC99B46" w14:textId="77777777">
        <w:tc>
          <w:tcPr>
            <w:tcW w:w="0" w:type="auto"/>
            <w:shd w:val="clear" w:color="auto" w:fill="E2E2E2"/>
            <w:tcMar>
              <w:top w:w="40" w:type="dxa"/>
              <w:left w:w="400" w:type="dxa"/>
              <w:bottom w:w="40" w:type="dxa"/>
              <w:right w:w="40" w:type="dxa"/>
            </w:tcMar>
            <w:vAlign w:val="bottom"/>
          </w:tcPr>
          <w:p w14:paraId="0BC99B3E" w14:textId="77777777" w:rsidR="009F0928" w:rsidRDefault="002112BD">
            <w:pPr>
              <w:textAlignment w:val="bottom"/>
              <w:rPr>
                <w:rFonts w:ascii="Times New Roman" w:hAnsi="Times New Roman"/>
                <w:sz w:val="18"/>
                <w:szCs w:val="18"/>
              </w:rPr>
            </w:pPr>
            <w:r>
              <w:rPr>
                <w:rFonts w:ascii="Arial" w:eastAsia="宋体" w:hAnsi="Arial" w:cs="Arial"/>
                <w:sz w:val="18"/>
                <w:szCs w:val="18"/>
              </w:rPr>
              <w:t>Total</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B3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B4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4,893</w:t>
            </w:r>
          </w:p>
        </w:tc>
        <w:tc>
          <w:tcPr>
            <w:tcW w:w="0" w:type="auto"/>
            <w:tcBorders>
              <w:top w:val="single" w:sz="8" w:space="0" w:color="000000"/>
              <w:bottom w:val="double" w:sz="6" w:space="0" w:color="000000"/>
            </w:tcBorders>
            <w:shd w:val="clear" w:color="auto" w:fill="E2E2E2"/>
            <w:vAlign w:val="bottom"/>
          </w:tcPr>
          <w:p w14:paraId="0BC99B4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B4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B4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B4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8,231</w:t>
            </w:r>
          </w:p>
        </w:tc>
        <w:tc>
          <w:tcPr>
            <w:tcW w:w="0" w:type="auto"/>
            <w:tcBorders>
              <w:top w:val="single" w:sz="8" w:space="0" w:color="000000"/>
              <w:bottom w:val="double" w:sz="6" w:space="0" w:color="000000"/>
            </w:tcBorders>
            <w:shd w:val="clear" w:color="auto" w:fill="E2E2E2"/>
            <w:vAlign w:val="bottom"/>
          </w:tcPr>
          <w:p w14:paraId="0BC99B45" w14:textId="77777777" w:rsidR="009F0928" w:rsidRDefault="009F0928">
            <w:pPr>
              <w:textAlignment w:val="bottom"/>
              <w:rPr>
                <w:rFonts w:ascii="Times New Roman" w:hAnsi="Times New Roman"/>
                <w:sz w:val="20"/>
                <w:szCs w:val="20"/>
              </w:rPr>
            </w:pPr>
          </w:p>
        </w:tc>
      </w:tr>
    </w:tbl>
    <w:p w14:paraId="0BC99B47" w14:textId="77777777" w:rsidR="009F0928" w:rsidRDefault="009F0928">
      <w:pPr>
        <w:spacing w:line="288" w:lineRule="auto"/>
        <w:jc w:val="both"/>
        <w:rPr>
          <w:rFonts w:ascii="Times New Roman" w:hAnsi="Times New Roman"/>
          <w:sz w:val="20"/>
          <w:szCs w:val="20"/>
        </w:rPr>
      </w:pPr>
    </w:p>
    <w:p w14:paraId="0BC99B48" w14:textId="77777777" w:rsidR="009F0928" w:rsidRDefault="009F0928">
      <w:pPr>
        <w:spacing w:line="288" w:lineRule="auto"/>
        <w:jc w:val="both"/>
        <w:rPr>
          <w:rFonts w:ascii="Times New Roman" w:hAnsi="Times New Roman"/>
          <w:sz w:val="20"/>
          <w:szCs w:val="20"/>
        </w:rPr>
      </w:pPr>
    </w:p>
    <w:p w14:paraId="0BC99B49" w14:textId="77777777" w:rsidR="009F0928" w:rsidRDefault="009F0928">
      <w:pPr>
        <w:rPr>
          <w:rFonts w:ascii="Times New Roman" w:hAnsi="Times New Roman"/>
          <w:sz w:val="20"/>
          <w:szCs w:val="20"/>
        </w:rPr>
      </w:pPr>
    </w:p>
    <w:p w14:paraId="0BC99B4A"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F-26</w:t>
      </w:r>
    </w:p>
    <w:p w14:paraId="0BC99B4B" w14:textId="77777777" w:rsidR="009F0928" w:rsidRDefault="002112BD">
      <w:r>
        <w:rPr>
          <w:rFonts w:ascii="Times New Roman" w:hAnsi="Times New Roman"/>
          <w:sz w:val="18"/>
          <w:szCs w:val="18"/>
        </w:rPr>
        <w:pict w14:anchorId="0BC9B514">
          <v:rect id="_x0000_i1112" style="width:415.3pt;height:1.5pt" o:hralign="center" o:hrstd="t" o:hr="t" fillcolor="#a0a0a0" stroked="f"/>
        </w:pict>
      </w:r>
    </w:p>
    <w:p w14:paraId="0BC99B4C"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B4D"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9B4E" w14:textId="77777777" w:rsidR="009F0928" w:rsidRDefault="009F0928">
      <w:pPr>
        <w:spacing w:line="288" w:lineRule="auto"/>
        <w:jc w:val="center"/>
        <w:rPr>
          <w:rFonts w:ascii="Times New Roman" w:hAnsi="Times New Roman"/>
          <w:sz w:val="20"/>
          <w:szCs w:val="20"/>
        </w:rPr>
      </w:pPr>
    </w:p>
    <w:p w14:paraId="0BC99B4F" w14:textId="77777777" w:rsidR="009F0928" w:rsidRDefault="009F0928">
      <w:pPr>
        <w:rPr>
          <w:rFonts w:ascii="Times New Roman" w:hAnsi="Times New Roman"/>
          <w:sz w:val="20"/>
          <w:szCs w:val="20"/>
        </w:rPr>
      </w:pPr>
    </w:p>
    <w:p w14:paraId="0BC99B50"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Credit Risk </w:t>
      </w:r>
    </w:p>
    <w:p w14:paraId="0BC99B51" w14:textId="77777777" w:rsidR="009F0928" w:rsidRDefault="009F0928">
      <w:pPr>
        <w:spacing w:line="288" w:lineRule="auto"/>
        <w:jc w:val="both"/>
        <w:rPr>
          <w:rFonts w:ascii="Times New Roman" w:hAnsi="Times New Roman"/>
          <w:sz w:val="20"/>
          <w:szCs w:val="20"/>
        </w:rPr>
      </w:pPr>
    </w:p>
    <w:p w14:paraId="0BC99B5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Our derivatives expose us to credit risk to the extent that the counterparties may be unable to meet the terms of the arrangement. We seek to mitigate such risk by limiting our counterparties to, and by spreading the risk across, major financial institutio</w:t>
      </w:r>
      <w:r>
        <w:rPr>
          <w:rFonts w:ascii="Arial" w:eastAsia="宋体" w:hAnsi="Arial" w:cs="Arial"/>
          <w:sz w:val="20"/>
          <w:szCs w:val="20"/>
        </w:rPr>
        <w:t>ns. In addition, the potential risk of loss with any one counterparty resulting from this type of credit risk is monitored on an ongoing basis. To further limit credit risk, we also enter into collateral security arrangements related to certain interest ra</w:t>
      </w:r>
      <w:r>
        <w:rPr>
          <w:rFonts w:ascii="Arial" w:eastAsia="宋体" w:hAnsi="Arial" w:cs="Arial"/>
          <w:sz w:val="20"/>
          <w:szCs w:val="20"/>
        </w:rPr>
        <w:t>te derivative instruments whereby collateral is posted between counterparties if the fair value of the derivative instrument exceeds certain thresholds. Additional collateral would be required in the event of a significant credit downgrade by either party.</w:t>
      </w:r>
      <w:r>
        <w:rPr>
          <w:rFonts w:ascii="Arial" w:eastAsia="宋体" w:hAnsi="Arial" w:cs="Arial"/>
          <w:sz w:val="20"/>
          <w:szCs w:val="20"/>
        </w:rPr>
        <w:t xml:space="preserve"> We are not required to pledge, nor are we entitled to receive, collateral related to our foreign exchange derivative transactions. </w:t>
      </w:r>
    </w:p>
    <w:p w14:paraId="0BC99B53" w14:textId="77777777" w:rsidR="009F0928" w:rsidRDefault="009F0928">
      <w:pPr>
        <w:spacing w:line="288" w:lineRule="auto"/>
        <w:jc w:val="both"/>
        <w:rPr>
          <w:rFonts w:ascii="Times New Roman" w:hAnsi="Times New Roman"/>
          <w:sz w:val="20"/>
          <w:szCs w:val="20"/>
        </w:rPr>
      </w:pPr>
    </w:p>
    <w:p w14:paraId="0BC99B54"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Note 8 – Fair Value Measurement of Assets and Liabilities</w:t>
      </w:r>
    </w:p>
    <w:p w14:paraId="0BC99B55" w14:textId="77777777" w:rsidR="009F0928" w:rsidRDefault="009F0928">
      <w:pPr>
        <w:spacing w:line="288" w:lineRule="auto"/>
        <w:jc w:val="both"/>
        <w:rPr>
          <w:rFonts w:ascii="Times New Roman" w:hAnsi="Times New Roman"/>
          <w:sz w:val="20"/>
          <w:szCs w:val="20"/>
        </w:rPr>
      </w:pPr>
    </w:p>
    <w:p w14:paraId="0BC99B5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tables present our financial assets and liabiliti</w:t>
      </w:r>
      <w:r>
        <w:rPr>
          <w:rFonts w:ascii="Arial" w:eastAsia="宋体" w:hAnsi="Arial" w:cs="Arial"/>
          <w:sz w:val="20"/>
          <w:szCs w:val="20"/>
        </w:rPr>
        <w:t>es measured at fair value on a recurring basis as of December 31, 2019 and 2018 (in millions):</w:t>
      </w:r>
    </w:p>
    <w:tbl>
      <w:tblPr>
        <w:tblW w:w="5000" w:type="pct"/>
        <w:jc w:val="center"/>
        <w:tblCellMar>
          <w:left w:w="0" w:type="dxa"/>
          <w:right w:w="0" w:type="dxa"/>
        </w:tblCellMar>
        <w:tblLook w:val="04A0" w:firstRow="1" w:lastRow="0" w:firstColumn="1" w:lastColumn="0" w:noHBand="0" w:noVBand="1"/>
      </w:tblPr>
      <w:tblGrid>
        <w:gridCol w:w="2057"/>
        <w:gridCol w:w="141"/>
        <w:gridCol w:w="966"/>
        <w:gridCol w:w="69"/>
        <w:gridCol w:w="129"/>
        <w:gridCol w:w="141"/>
        <w:gridCol w:w="1267"/>
        <w:gridCol w:w="90"/>
        <w:gridCol w:w="129"/>
        <w:gridCol w:w="141"/>
        <w:gridCol w:w="1272"/>
        <w:gridCol w:w="91"/>
        <w:gridCol w:w="129"/>
        <w:gridCol w:w="141"/>
        <w:gridCol w:w="1447"/>
        <w:gridCol w:w="96"/>
      </w:tblGrid>
      <w:tr w:rsidR="009F0928" w14:paraId="0BC99B58" w14:textId="77777777">
        <w:trPr>
          <w:jc w:val="center"/>
        </w:trPr>
        <w:tc>
          <w:tcPr>
            <w:tcW w:w="0" w:type="auto"/>
            <w:gridSpan w:val="16"/>
            <w:shd w:val="clear" w:color="auto" w:fill="auto"/>
            <w:vAlign w:val="center"/>
          </w:tcPr>
          <w:p w14:paraId="0BC99B57" w14:textId="77777777" w:rsidR="009F0928" w:rsidRDefault="009F0928">
            <w:pPr>
              <w:rPr>
                <w:rFonts w:ascii="Times New Roman" w:hAnsi="Times New Roman"/>
                <w:sz w:val="20"/>
                <w:szCs w:val="20"/>
              </w:rPr>
            </w:pPr>
          </w:p>
        </w:tc>
      </w:tr>
      <w:tr w:rsidR="009F0928" w14:paraId="0BC99B69" w14:textId="77777777">
        <w:trPr>
          <w:jc w:val="center"/>
        </w:trPr>
        <w:tc>
          <w:tcPr>
            <w:tcW w:w="1600" w:type="pct"/>
            <w:shd w:val="clear" w:color="auto" w:fill="auto"/>
            <w:vAlign w:val="center"/>
          </w:tcPr>
          <w:p w14:paraId="0BC99B59" w14:textId="77777777" w:rsidR="009F0928" w:rsidRDefault="009F0928">
            <w:pPr>
              <w:rPr>
                <w:rFonts w:ascii="Times New Roman" w:hAnsi="Times New Roman"/>
                <w:sz w:val="20"/>
                <w:szCs w:val="20"/>
              </w:rPr>
            </w:pPr>
          </w:p>
        </w:tc>
        <w:tc>
          <w:tcPr>
            <w:tcW w:w="50" w:type="pct"/>
            <w:shd w:val="clear" w:color="auto" w:fill="auto"/>
            <w:vAlign w:val="center"/>
          </w:tcPr>
          <w:p w14:paraId="0BC99B5A" w14:textId="77777777" w:rsidR="009F0928" w:rsidRDefault="009F0928">
            <w:pPr>
              <w:rPr>
                <w:rFonts w:ascii="Times New Roman" w:hAnsi="Times New Roman"/>
                <w:sz w:val="20"/>
                <w:szCs w:val="20"/>
              </w:rPr>
            </w:pPr>
          </w:p>
        </w:tc>
        <w:tc>
          <w:tcPr>
            <w:tcW w:w="700" w:type="pct"/>
            <w:shd w:val="clear" w:color="auto" w:fill="auto"/>
            <w:vAlign w:val="center"/>
          </w:tcPr>
          <w:p w14:paraId="0BC99B5B" w14:textId="77777777" w:rsidR="009F0928" w:rsidRDefault="009F0928">
            <w:pPr>
              <w:rPr>
                <w:rFonts w:ascii="Times New Roman" w:hAnsi="Times New Roman"/>
                <w:sz w:val="20"/>
                <w:szCs w:val="20"/>
              </w:rPr>
            </w:pPr>
          </w:p>
        </w:tc>
        <w:tc>
          <w:tcPr>
            <w:tcW w:w="50" w:type="pct"/>
            <w:shd w:val="clear" w:color="auto" w:fill="auto"/>
            <w:vAlign w:val="center"/>
          </w:tcPr>
          <w:p w14:paraId="0BC99B5C" w14:textId="77777777" w:rsidR="009F0928" w:rsidRDefault="009F0928">
            <w:pPr>
              <w:rPr>
                <w:rFonts w:ascii="Times New Roman" w:hAnsi="Times New Roman"/>
                <w:sz w:val="20"/>
                <w:szCs w:val="20"/>
              </w:rPr>
            </w:pPr>
          </w:p>
        </w:tc>
        <w:tc>
          <w:tcPr>
            <w:tcW w:w="50" w:type="pct"/>
            <w:shd w:val="clear" w:color="auto" w:fill="auto"/>
            <w:vAlign w:val="center"/>
          </w:tcPr>
          <w:p w14:paraId="0BC99B5D" w14:textId="77777777" w:rsidR="009F0928" w:rsidRDefault="009F0928">
            <w:pPr>
              <w:rPr>
                <w:rFonts w:ascii="Times New Roman" w:hAnsi="Times New Roman"/>
                <w:sz w:val="20"/>
                <w:szCs w:val="20"/>
              </w:rPr>
            </w:pPr>
          </w:p>
        </w:tc>
        <w:tc>
          <w:tcPr>
            <w:tcW w:w="50" w:type="pct"/>
            <w:shd w:val="clear" w:color="auto" w:fill="auto"/>
            <w:vAlign w:val="center"/>
          </w:tcPr>
          <w:p w14:paraId="0BC99B5E" w14:textId="77777777" w:rsidR="009F0928" w:rsidRDefault="009F0928">
            <w:pPr>
              <w:rPr>
                <w:rFonts w:ascii="Times New Roman" w:hAnsi="Times New Roman"/>
                <w:sz w:val="20"/>
                <w:szCs w:val="20"/>
              </w:rPr>
            </w:pPr>
          </w:p>
        </w:tc>
        <w:tc>
          <w:tcPr>
            <w:tcW w:w="700" w:type="pct"/>
            <w:shd w:val="clear" w:color="auto" w:fill="auto"/>
            <w:vAlign w:val="center"/>
          </w:tcPr>
          <w:p w14:paraId="0BC99B5F" w14:textId="77777777" w:rsidR="009F0928" w:rsidRDefault="009F0928">
            <w:pPr>
              <w:rPr>
                <w:rFonts w:ascii="Times New Roman" w:hAnsi="Times New Roman"/>
                <w:sz w:val="20"/>
                <w:szCs w:val="20"/>
              </w:rPr>
            </w:pPr>
          </w:p>
        </w:tc>
        <w:tc>
          <w:tcPr>
            <w:tcW w:w="50" w:type="pct"/>
            <w:shd w:val="clear" w:color="auto" w:fill="auto"/>
            <w:vAlign w:val="center"/>
          </w:tcPr>
          <w:p w14:paraId="0BC99B60" w14:textId="77777777" w:rsidR="009F0928" w:rsidRDefault="009F0928">
            <w:pPr>
              <w:rPr>
                <w:rFonts w:ascii="Times New Roman" w:hAnsi="Times New Roman"/>
                <w:sz w:val="20"/>
                <w:szCs w:val="20"/>
              </w:rPr>
            </w:pPr>
          </w:p>
        </w:tc>
        <w:tc>
          <w:tcPr>
            <w:tcW w:w="50" w:type="pct"/>
            <w:shd w:val="clear" w:color="auto" w:fill="auto"/>
            <w:vAlign w:val="center"/>
          </w:tcPr>
          <w:p w14:paraId="0BC99B61" w14:textId="77777777" w:rsidR="009F0928" w:rsidRDefault="009F0928">
            <w:pPr>
              <w:rPr>
                <w:rFonts w:ascii="Times New Roman" w:hAnsi="Times New Roman"/>
                <w:sz w:val="20"/>
                <w:szCs w:val="20"/>
              </w:rPr>
            </w:pPr>
          </w:p>
        </w:tc>
        <w:tc>
          <w:tcPr>
            <w:tcW w:w="50" w:type="pct"/>
            <w:shd w:val="clear" w:color="auto" w:fill="auto"/>
            <w:vAlign w:val="center"/>
          </w:tcPr>
          <w:p w14:paraId="0BC99B62" w14:textId="77777777" w:rsidR="009F0928" w:rsidRDefault="009F0928">
            <w:pPr>
              <w:rPr>
                <w:rFonts w:ascii="Times New Roman" w:hAnsi="Times New Roman"/>
                <w:sz w:val="20"/>
                <w:szCs w:val="20"/>
              </w:rPr>
            </w:pPr>
          </w:p>
        </w:tc>
        <w:tc>
          <w:tcPr>
            <w:tcW w:w="700" w:type="pct"/>
            <w:shd w:val="clear" w:color="auto" w:fill="auto"/>
            <w:vAlign w:val="center"/>
          </w:tcPr>
          <w:p w14:paraId="0BC99B63" w14:textId="77777777" w:rsidR="009F0928" w:rsidRDefault="009F0928">
            <w:pPr>
              <w:rPr>
                <w:rFonts w:ascii="Times New Roman" w:hAnsi="Times New Roman"/>
                <w:sz w:val="20"/>
                <w:szCs w:val="20"/>
              </w:rPr>
            </w:pPr>
          </w:p>
        </w:tc>
        <w:tc>
          <w:tcPr>
            <w:tcW w:w="50" w:type="pct"/>
            <w:shd w:val="clear" w:color="auto" w:fill="auto"/>
            <w:vAlign w:val="center"/>
          </w:tcPr>
          <w:p w14:paraId="0BC99B64" w14:textId="77777777" w:rsidR="009F0928" w:rsidRDefault="009F0928">
            <w:pPr>
              <w:rPr>
                <w:rFonts w:ascii="Times New Roman" w:hAnsi="Times New Roman"/>
                <w:sz w:val="20"/>
                <w:szCs w:val="20"/>
              </w:rPr>
            </w:pPr>
          </w:p>
        </w:tc>
        <w:tc>
          <w:tcPr>
            <w:tcW w:w="50" w:type="pct"/>
            <w:shd w:val="clear" w:color="auto" w:fill="auto"/>
            <w:vAlign w:val="center"/>
          </w:tcPr>
          <w:p w14:paraId="0BC99B65" w14:textId="77777777" w:rsidR="009F0928" w:rsidRDefault="009F0928">
            <w:pPr>
              <w:rPr>
                <w:rFonts w:ascii="Times New Roman" w:hAnsi="Times New Roman"/>
                <w:sz w:val="20"/>
                <w:szCs w:val="20"/>
              </w:rPr>
            </w:pPr>
          </w:p>
        </w:tc>
        <w:tc>
          <w:tcPr>
            <w:tcW w:w="50" w:type="pct"/>
            <w:shd w:val="clear" w:color="auto" w:fill="auto"/>
            <w:vAlign w:val="center"/>
          </w:tcPr>
          <w:p w14:paraId="0BC99B66" w14:textId="77777777" w:rsidR="009F0928" w:rsidRDefault="009F0928">
            <w:pPr>
              <w:rPr>
                <w:rFonts w:ascii="Times New Roman" w:hAnsi="Times New Roman"/>
                <w:sz w:val="20"/>
                <w:szCs w:val="20"/>
              </w:rPr>
            </w:pPr>
          </w:p>
        </w:tc>
        <w:tc>
          <w:tcPr>
            <w:tcW w:w="750" w:type="pct"/>
            <w:shd w:val="clear" w:color="auto" w:fill="auto"/>
            <w:vAlign w:val="center"/>
          </w:tcPr>
          <w:p w14:paraId="0BC99B67" w14:textId="77777777" w:rsidR="009F0928" w:rsidRDefault="009F0928">
            <w:pPr>
              <w:rPr>
                <w:rFonts w:ascii="Times New Roman" w:hAnsi="Times New Roman"/>
                <w:sz w:val="20"/>
                <w:szCs w:val="20"/>
              </w:rPr>
            </w:pPr>
          </w:p>
        </w:tc>
        <w:tc>
          <w:tcPr>
            <w:tcW w:w="50" w:type="pct"/>
            <w:shd w:val="clear" w:color="auto" w:fill="auto"/>
            <w:vAlign w:val="center"/>
          </w:tcPr>
          <w:p w14:paraId="0BC99B68" w14:textId="77777777" w:rsidR="009F0928" w:rsidRDefault="009F0928">
            <w:pPr>
              <w:rPr>
                <w:rFonts w:ascii="Times New Roman" w:hAnsi="Times New Roman"/>
                <w:sz w:val="20"/>
                <w:szCs w:val="20"/>
              </w:rPr>
            </w:pPr>
          </w:p>
        </w:tc>
      </w:tr>
      <w:tr w:rsidR="009F0928" w14:paraId="0BC99B72" w14:textId="77777777">
        <w:trPr>
          <w:jc w:val="center"/>
        </w:trPr>
        <w:tc>
          <w:tcPr>
            <w:tcW w:w="0" w:type="auto"/>
            <w:shd w:val="clear" w:color="auto" w:fill="auto"/>
            <w:tcMar>
              <w:top w:w="40" w:type="dxa"/>
              <w:left w:w="40" w:type="dxa"/>
              <w:bottom w:w="40" w:type="dxa"/>
              <w:right w:w="40" w:type="dxa"/>
            </w:tcMar>
            <w:vAlign w:val="bottom"/>
          </w:tcPr>
          <w:p w14:paraId="0BC99B6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B6B"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 2019</w:t>
            </w:r>
          </w:p>
        </w:tc>
        <w:tc>
          <w:tcPr>
            <w:tcW w:w="0" w:type="auto"/>
            <w:shd w:val="clear" w:color="auto" w:fill="auto"/>
            <w:tcMar>
              <w:top w:w="40" w:type="dxa"/>
              <w:left w:w="40" w:type="dxa"/>
              <w:bottom w:w="40" w:type="dxa"/>
              <w:right w:w="40" w:type="dxa"/>
            </w:tcMar>
            <w:vAlign w:val="bottom"/>
          </w:tcPr>
          <w:p w14:paraId="0BC99B6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B6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Quoted Prices in</w:t>
            </w:r>
            <w:r>
              <w:rPr>
                <w:rFonts w:ascii="Arial" w:eastAsia="宋体" w:hAnsi="Arial" w:cs="Arial"/>
                <w:b/>
                <w:bCs/>
                <w:sz w:val="16"/>
                <w:szCs w:val="16"/>
              </w:rPr>
              <w:br/>
              <w:t>Active Markets for</w:t>
            </w:r>
            <w:r>
              <w:rPr>
                <w:rFonts w:ascii="Arial" w:eastAsia="宋体" w:hAnsi="Arial" w:cs="Arial"/>
                <w:b/>
                <w:bCs/>
                <w:sz w:val="16"/>
                <w:szCs w:val="16"/>
              </w:rPr>
              <w:br/>
              <w:t>Identical Assets</w:t>
            </w:r>
            <w:r>
              <w:rPr>
                <w:rFonts w:ascii="Arial" w:eastAsia="宋体" w:hAnsi="Arial" w:cs="Arial"/>
                <w:b/>
                <w:bCs/>
                <w:sz w:val="16"/>
                <w:szCs w:val="16"/>
              </w:rPr>
              <w:br/>
              <w:t xml:space="preserve">(Level 1) </w:t>
            </w:r>
          </w:p>
        </w:tc>
        <w:tc>
          <w:tcPr>
            <w:tcW w:w="0" w:type="auto"/>
            <w:shd w:val="clear" w:color="auto" w:fill="auto"/>
            <w:tcMar>
              <w:top w:w="40" w:type="dxa"/>
              <w:left w:w="40" w:type="dxa"/>
              <w:bottom w:w="40" w:type="dxa"/>
              <w:right w:w="40" w:type="dxa"/>
            </w:tcMar>
            <w:vAlign w:val="bottom"/>
          </w:tcPr>
          <w:p w14:paraId="0BC99B6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B6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Significant Other</w:t>
            </w:r>
            <w:r>
              <w:rPr>
                <w:rFonts w:ascii="Arial" w:eastAsia="宋体" w:hAnsi="Arial" w:cs="Arial"/>
                <w:b/>
                <w:bCs/>
                <w:sz w:val="16"/>
                <w:szCs w:val="16"/>
              </w:rPr>
              <w:br/>
              <w:t>Observable Inputs</w:t>
            </w:r>
            <w:r>
              <w:rPr>
                <w:rFonts w:ascii="Arial" w:eastAsia="宋体" w:hAnsi="Arial" w:cs="Arial"/>
                <w:b/>
                <w:bCs/>
                <w:sz w:val="16"/>
                <w:szCs w:val="16"/>
              </w:rPr>
              <w:br/>
              <w:t>(Level 2)</w:t>
            </w:r>
          </w:p>
        </w:tc>
        <w:tc>
          <w:tcPr>
            <w:tcW w:w="0" w:type="auto"/>
            <w:shd w:val="clear" w:color="auto" w:fill="auto"/>
            <w:tcMar>
              <w:top w:w="40" w:type="dxa"/>
              <w:left w:w="40" w:type="dxa"/>
              <w:bottom w:w="40" w:type="dxa"/>
              <w:right w:w="40" w:type="dxa"/>
            </w:tcMar>
            <w:vAlign w:val="bottom"/>
          </w:tcPr>
          <w:p w14:paraId="0BC99B7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B71"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Significant </w:t>
            </w:r>
            <w:r>
              <w:rPr>
                <w:rFonts w:ascii="Arial" w:eastAsia="宋体" w:hAnsi="Arial" w:cs="Arial"/>
                <w:b/>
                <w:bCs/>
                <w:sz w:val="16"/>
                <w:szCs w:val="16"/>
              </w:rPr>
              <w:br/>
              <w:t>Unobservable Inputs</w:t>
            </w:r>
            <w:r>
              <w:rPr>
                <w:rFonts w:ascii="Arial" w:eastAsia="宋体" w:hAnsi="Arial" w:cs="Arial"/>
                <w:b/>
                <w:bCs/>
                <w:sz w:val="16"/>
                <w:szCs w:val="16"/>
              </w:rPr>
              <w:br/>
              <w:t>(Level 3)</w:t>
            </w:r>
          </w:p>
        </w:tc>
      </w:tr>
      <w:tr w:rsidR="009F0928" w14:paraId="0BC99B7B" w14:textId="77777777">
        <w:trPr>
          <w:jc w:val="center"/>
        </w:trPr>
        <w:tc>
          <w:tcPr>
            <w:tcW w:w="0" w:type="auto"/>
            <w:shd w:val="clear" w:color="auto" w:fill="E2E2E2"/>
            <w:tcMar>
              <w:top w:w="40" w:type="dxa"/>
              <w:left w:w="40" w:type="dxa"/>
              <w:bottom w:w="40" w:type="dxa"/>
              <w:right w:w="40" w:type="dxa"/>
            </w:tcMar>
            <w:vAlign w:val="bottom"/>
          </w:tcPr>
          <w:p w14:paraId="0BC99B73" w14:textId="77777777" w:rsidR="009F0928" w:rsidRDefault="002112BD">
            <w:pPr>
              <w:textAlignment w:val="bottom"/>
              <w:rPr>
                <w:rFonts w:ascii="Times New Roman" w:hAnsi="Times New Roman"/>
                <w:sz w:val="18"/>
                <w:szCs w:val="18"/>
              </w:rPr>
            </w:pPr>
            <w:r>
              <w:rPr>
                <w:rFonts w:ascii="Arial" w:eastAsia="宋体" w:hAnsi="Arial" w:cs="Arial"/>
                <w:sz w:val="18"/>
                <w:szCs w:val="18"/>
              </w:rPr>
              <w:t>Assets:</w:t>
            </w:r>
          </w:p>
        </w:tc>
        <w:tc>
          <w:tcPr>
            <w:tcW w:w="0" w:type="auto"/>
            <w:gridSpan w:val="3"/>
            <w:shd w:val="clear" w:color="auto" w:fill="E2E2E2"/>
            <w:tcMar>
              <w:top w:w="40" w:type="dxa"/>
              <w:left w:w="40" w:type="dxa"/>
              <w:bottom w:w="40" w:type="dxa"/>
              <w:right w:w="40" w:type="dxa"/>
            </w:tcMar>
            <w:vAlign w:val="bottom"/>
          </w:tcPr>
          <w:p w14:paraId="0BC99B74"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right w:w="40" w:type="dxa"/>
            </w:tcMar>
            <w:vAlign w:val="bottom"/>
          </w:tcPr>
          <w:p w14:paraId="0BC99B7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B76"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right w:w="40" w:type="dxa"/>
            </w:tcMar>
            <w:vAlign w:val="bottom"/>
          </w:tcPr>
          <w:p w14:paraId="0BC99B7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B78"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right w:w="40" w:type="dxa"/>
            </w:tcMar>
            <w:vAlign w:val="bottom"/>
          </w:tcPr>
          <w:p w14:paraId="0BC99B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B7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B8C" w14:textId="77777777">
        <w:trPr>
          <w:jc w:val="center"/>
        </w:trPr>
        <w:tc>
          <w:tcPr>
            <w:tcW w:w="0" w:type="auto"/>
            <w:shd w:val="clear" w:color="auto" w:fill="auto"/>
            <w:tcMar>
              <w:top w:w="40" w:type="dxa"/>
              <w:left w:w="400" w:type="dxa"/>
              <w:bottom w:w="40" w:type="dxa"/>
              <w:right w:w="40" w:type="dxa"/>
            </w:tcMar>
            <w:vAlign w:val="bottom"/>
          </w:tcPr>
          <w:p w14:paraId="0BC99B7C" w14:textId="77777777" w:rsidR="009F0928" w:rsidRDefault="002112BD">
            <w:pPr>
              <w:textAlignment w:val="bottom"/>
              <w:rPr>
                <w:rFonts w:ascii="Times New Roman" w:hAnsi="Times New Roman"/>
                <w:sz w:val="18"/>
                <w:szCs w:val="18"/>
              </w:rPr>
            </w:pPr>
            <w:r>
              <w:rPr>
                <w:rFonts w:ascii="Arial" w:eastAsia="宋体" w:hAnsi="Arial" w:cs="Arial"/>
                <w:sz w:val="18"/>
                <w:szCs w:val="18"/>
              </w:rPr>
              <w:t>Cash and cash equivalents</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BC99B7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0BC99B7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975</w:t>
            </w:r>
          </w:p>
        </w:tc>
        <w:tc>
          <w:tcPr>
            <w:tcW w:w="0" w:type="auto"/>
            <w:tcBorders>
              <w:top w:val="single" w:sz="8" w:space="0" w:color="000000"/>
              <w:bottom w:val="single" w:sz="8" w:space="0" w:color="000000"/>
            </w:tcBorders>
            <w:shd w:val="clear" w:color="auto" w:fill="auto"/>
            <w:vAlign w:val="bottom"/>
          </w:tcPr>
          <w:p w14:paraId="0BC99B7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B8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BC99B8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0BC99B8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975</w:t>
            </w:r>
          </w:p>
        </w:tc>
        <w:tc>
          <w:tcPr>
            <w:tcW w:w="0" w:type="auto"/>
            <w:tcBorders>
              <w:top w:val="single" w:sz="8" w:space="0" w:color="000000"/>
              <w:bottom w:val="single" w:sz="8" w:space="0" w:color="000000"/>
            </w:tcBorders>
            <w:shd w:val="clear" w:color="auto" w:fill="auto"/>
            <w:vAlign w:val="bottom"/>
          </w:tcPr>
          <w:p w14:paraId="0BC99B8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B8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BC99B8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0BC99B8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auto"/>
            <w:vAlign w:val="bottom"/>
          </w:tcPr>
          <w:p w14:paraId="0BC99B8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B8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BC99B8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0BC99B8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auto"/>
            <w:vAlign w:val="bottom"/>
          </w:tcPr>
          <w:p w14:paraId="0BC99B8B" w14:textId="77777777" w:rsidR="009F0928" w:rsidRDefault="009F0928">
            <w:pPr>
              <w:textAlignment w:val="bottom"/>
              <w:rPr>
                <w:rFonts w:ascii="Times New Roman" w:hAnsi="Times New Roman"/>
                <w:sz w:val="20"/>
                <w:szCs w:val="20"/>
              </w:rPr>
            </w:pPr>
          </w:p>
        </w:tc>
      </w:tr>
      <w:tr w:rsidR="009F0928" w14:paraId="0BC99B95" w14:textId="77777777">
        <w:trPr>
          <w:jc w:val="center"/>
        </w:trPr>
        <w:tc>
          <w:tcPr>
            <w:tcW w:w="0" w:type="auto"/>
            <w:shd w:val="clear" w:color="auto" w:fill="E2E2E2"/>
            <w:tcMar>
              <w:top w:w="40" w:type="dxa"/>
              <w:left w:w="400" w:type="dxa"/>
              <w:bottom w:w="40" w:type="dxa"/>
              <w:right w:w="40" w:type="dxa"/>
            </w:tcMar>
            <w:vAlign w:val="bottom"/>
          </w:tcPr>
          <w:p w14:paraId="0BC99B8D" w14:textId="77777777" w:rsidR="009F0928" w:rsidRDefault="002112BD">
            <w:pPr>
              <w:textAlignment w:val="bottom"/>
              <w:rPr>
                <w:rFonts w:ascii="Times New Roman" w:hAnsi="Times New Roman"/>
                <w:sz w:val="18"/>
                <w:szCs w:val="18"/>
              </w:rPr>
            </w:pPr>
            <w:r>
              <w:rPr>
                <w:rFonts w:ascii="Arial" w:eastAsia="宋体" w:hAnsi="Arial" w:cs="Arial"/>
                <w:sz w:val="18"/>
                <w:szCs w:val="18"/>
              </w:rPr>
              <w:t>Short-</w:t>
            </w:r>
            <w:r>
              <w:rPr>
                <w:rFonts w:ascii="Arial" w:eastAsia="宋体" w:hAnsi="Arial" w:cs="Arial"/>
                <w:sz w:val="18"/>
                <w:szCs w:val="18"/>
              </w:rPr>
              <w:t>term investments:</w:t>
            </w:r>
          </w:p>
        </w:tc>
        <w:tc>
          <w:tcPr>
            <w:tcW w:w="0" w:type="auto"/>
            <w:gridSpan w:val="3"/>
            <w:shd w:val="clear" w:color="auto" w:fill="E2E2E2"/>
            <w:tcMar>
              <w:top w:w="40" w:type="dxa"/>
              <w:left w:w="40" w:type="dxa"/>
              <w:bottom w:w="40" w:type="dxa"/>
              <w:right w:w="40" w:type="dxa"/>
            </w:tcMar>
            <w:vAlign w:val="bottom"/>
          </w:tcPr>
          <w:p w14:paraId="0BC99B8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B8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B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B9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B9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B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B9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BA2" w14:textId="77777777">
        <w:trPr>
          <w:jc w:val="center"/>
        </w:trPr>
        <w:tc>
          <w:tcPr>
            <w:tcW w:w="0" w:type="auto"/>
            <w:shd w:val="clear" w:color="auto" w:fill="auto"/>
            <w:tcMar>
              <w:top w:w="40" w:type="dxa"/>
              <w:left w:w="1040" w:type="dxa"/>
              <w:bottom w:w="40" w:type="dxa"/>
              <w:right w:w="40" w:type="dxa"/>
            </w:tcMar>
            <w:vAlign w:val="bottom"/>
          </w:tcPr>
          <w:p w14:paraId="0BC99B96" w14:textId="77777777" w:rsidR="009F0928" w:rsidRDefault="002112BD">
            <w:pPr>
              <w:textAlignment w:val="bottom"/>
              <w:rPr>
                <w:rFonts w:ascii="Times New Roman" w:hAnsi="Times New Roman"/>
                <w:sz w:val="18"/>
                <w:szCs w:val="18"/>
              </w:rPr>
            </w:pPr>
            <w:r>
              <w:rPr>
                <w:rFonts w:ascii="Arial" w:eastAsia="宋体" w:hAnsi="Arial" w:cs="Arial"/>
                <w:sz w:val="18"/>
                <w:szCs w:val="18"/>
              </w:rPr>
              <w:t>Restricted cash</w:t>
            </w:r>
          </w:p>
        </w:tc>
        <w:tc>
          <w:tcPr>
            <w:tcW w:w="0" w:type="auto"/>
            <w:gridSpan w:val="2"/>
            <w:shd w:val="clear" w:color="auto" w:fill="auto"/>
            <w:tcMar>
              <w:top w:w="40" w:type="dxa"/>
              <w:left w:w="40" w:type="dxa"/>
              <w:bottom w:w="40" w:type="dxa"/>
            </w:tcMar>
            <w:vAlign w:val="bottom"/>
          </w:tcPr>
          <w:p w14:paraId="0BC99B9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w:t>
            </w:r>
          </w:p>
        </w:tc>
        <w:tc>
          <w:tcPr>
            <w:tcW w:w="0" w:type="auto"/>
            <w:shd w:val="clear" w:color="auto" w:fill="auto"/>
            <w:vAlign w:val="bottom"/>
          </w:tcPr>
          <w:p w14:paraId="0BC99B9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B9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B9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w:t>
            </w:r>
          </w:p>
        </w:tc>
        <w:tc>
          <w:tcPr>
            <w:tcW w:w="0" w:type="auto"/>
            <w:shd w:val="clear" w:color="auto" w:fill="auto"/>
            <w:vAlign w:val="bottom"/>
          </w:tcPr>
          <w:p w14:paraId="0BC99B9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B9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B9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B9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B9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BA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BA1" w14:textId="77777777" w:rsidR="009F0928" w:rsidRDefault="009F0928">
            <w:pPr>
              <w:textAlignment w:val="bottom"/>
              <w:rPr>
                <w:rFonts w:ascii="Times New Roman" w:hAnsi="Times New Roman"/>
                <w:sz w:val="20"/>
                <w:szCs w:val="20"/>
              </w:rPr>
            </w:pPr>
          </w:p>
        </w:tc>
      </w:tr>
      <w:tr w:rsidR="009F0928" w14:paraId="0BC99BAF" w14:textId="77777777">
        <w:trPr>
          <w:jc w:val="center"/>
        </w:trPr>
        <w:tc>
          <w:tcPr>
            <w:tcW w:w="0" w:type="auto"/>
            <w:shd w:val="clear" w:color="auto" w:fill="E2E2E2"/>
            <w:tcMar>
              <w:top w:w="40" w:type="dxa"/>
              <w:left w:w="1040" w:type="dxa"/>
              <w:bottom w:w="40" w:type="dxa"/>
              <w:right w:w="40" w:type="dxa"/>
            </w:tcMar>
            <w:vAlign w:val="bottom"/>
          </w:tcPr>
          <w:p w14:paraId="0BC99BA3" w14:textId="77777777" w:rsidR="009F0928" w:rsidRDefault="002112BD">
            <w:pPr>
              <w:textAlignment w:val="bottom"/>
              <w:rPr>
                <w:rFonts w:ascii="Times New Roman" w:hAnsi="Times New Roman"/>
                <w:sz w:val="18"/>
                <w:szCs w:val="18"/>
              </w:rPr>
            </w:pPr>
            <w:r>
              <w:rPr>
                <w:rFonts w:ascii="Arial" w:eastAsia="宋体" w:hAnsi="Arial" w:cs="Arial"/>
                <w:sz w:val="18"/>
                <w:szCs w:val="18"/>
              </w:rPr>
              <w:t>Corporate debt securities</w:t>
            </w:r>
          </w:p>
        </w:tc>
        <w:tc>
          <w:tcPr>
            <w:tcW w:w="0" w:type="auto"/>
            <w:gridSpan w:val="2"/>
            <w:shd w:val="clear" w:color="auto" w:fill="E2E2E2"/>
            <w:tcMar>
              <w:top w:w="40" w:type="dxa"/>
              <w:left w:w="40" w:type="dxa"/>
              <w:bottom w:w="40" w:type="dxa"/>
            </w:tcMar>
            <w:vAlign w:val="bottom"/>
          </w:tcPr>
          <w:p w14:paraId="0BC99BA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1,654</w:t>
            </w:r>
          </w:p>
        </w:tc>
        <w:tc>
          <w:tcPr>
            <w:tcW w:w="0" w:type="auto"/>
            <w:shd w:val="clear" w:color="auto" w:fill="E2E2E2"/>
            <w:vAlign w:val="bottom"/>
          </w:tcPr>
          <w:p w14:paraId="0BC99BA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B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BA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9BA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B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BA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1,654</w:t>
            </w:r>
          </w:p>
        </w:tc>
        <w:tc>
          <w:tcPr>
            <w:tcW w:w="0" w:type="auto"/>
            <w:shd w:val="clear" w:color="auto" w:fill="E2E2E2"/>
            <w:vAlign w:val="bottom"/>
          </w:tcPr>
          <w:p w14:paraId="0BC99BA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BA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BA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9BAE" w14:textId="77777777" w:rsidR="009F0928" w:rsidRDefault="009F0928">
            <w:pPr>
              <w:textAlignment w:val="bottom"/>
              <w:rPr>
                <w:rFonts w:ascii="Times New Roman" w:hAnsi="Times New Roman"/>
                <w:sz w:val="20"/>
                <w:szCs w:val="20"/>
              </w:rPr>
            </w:pPr>
          </w:p>
        </w:tc>
      </w:tr>
      <w:tr w:rsidR="009F0928" w14:paraId="0BC99BBC" w14:textId="77777777">
        <w:trPr>
          <w:jc w:val="center"/>
        </w:trPr>
        <w:tc>
          <w:tcPr>
            <w:tcW w:w="0" w:type="auto"/>
            <w:shd w:val="clear" w:color="auto" w:fill="auto"/>
            <w:tcMar>
              <w:top w:w="40" w:type="dxa"/>
              <w:left w:w="1040" w:type="dxa"/>
              <w:bottom w:w="40" w:type="dxa"/>
              <w:right w:w="40" w:type="dxa"/>
            </w:tcMar>
            <w:vAlign w:val="bottom"/>
          </w:tcPr>
          <w:p w14:paraId="0BC99BB0" w14:textId="77777777" w:rsidR="009F0928" w:rsidRDefault="002112BD">
            <w:pPr>
              <w:textAlignment w:val="bottom"/>
              <w:rPr>
                <w:rFonts w:ascii="Times New Roman" w:hAnsi="Times New Roman"/>
                <w:sz w:val="18"/>
                <w:szCs w:val="18"/>
              </w:rPr>
            </w:pPr>
            <w:r>
              <w:rPr>
                <w:rFonts w:ascii="Arial" w:eastAsia="宋体" w:hAnsi="Arial" w:cs="Arial"/>
                <w:sz w:val="18"/>
                <w:szCs w:val="18"/>
              </w:rPr>
              <w:t>Government and agency securities</w:t>
            </w:r>
          </w:p>
        </w:tc>
        <w:tc>
          <w:tcPr>
            <w:tcW w:w="0" w:type="auto"/>
            <w:gridSpan w:val="2"/>
            <w:shd w:val="clear" w:color="auto" w:fill="auto"/>
            <w:tcMar>
              <w:top w:w="40" w:type="dxa"/>
              <w:left w:w="40" w:type="dxa"/>
              <w:bottom w:w="40" w:type="dxa"/>
            </w:tcMar>
            <w:vAlign w:val="bottom"/>
          </w:tcPr>
          <w:p w14:paraId="0BC99BB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175</w:t>
            </w:r>
          </w:p>
        </w:tc>
        <w:tc>
          <w:tcPr>
            <w:tcW w:w="0" w:type="auto"/>
            <w:shd w:val="clear" w:color="auto" w:fill="auto"/>
            <w:vAlign w:val="bottom"/>
          </w:tcPr>
          <w:p w14:paraId="0BC99BB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B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BB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BB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B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BB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175</w:t>
            </w:r>
          </w:p>
        </w:tc>
        <w:tc>
          <w:tcPr>
            <w:tcW w:w="0" w:type="auto"/>
            <w:shd w:val="clear" w:color="auto" w:fill="auto"/>
            <w:vAlign w:val="bottom"/>
          </w:tcPr>
          <w:p w14:paraId="0BC99BB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BB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BB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BBB" w14:textId="77777777" w:rsidR="009F0928" w:rsidRDefault="009F0928">
            <w:pPr>
              <w:textAlignment w:val="bottom"/>
              <w:rPr>
                <w:rFonts w:ascii="Times New Roman" w:hAnsi="Times New Roman"/>
                <w:sz w:val="20"/>
                <w:szCs w:val="20"/>
              </w:rPr>
            </w:pPr>
          </w:p>
        </w:tc>
      </w:tr>
      <w:tr w:rsidR="009F0928" w14:paraId="0BC99BC9" w14:textId="77777777">
        <w:trPr>
          <w:jc w:val="center"/>
        </w:trPr>
        <w:tc>
          <w:tcPr>
            <w:tcW w:w="0" w:type="auto"/>
            <w:shd w:val="clear" w:color="auto" w:fill="E2E2E2"/>
            <w:tcMar>
              <w:top w:w="40" w:type="dxa"/>
              <w:left w:w="400" w:type="dxa"/>
              <w:bottom w:w="40" w:type="dxa"/>
              <w:right w:w="40" w:type="dxa"/>
            </w:tcMar>
            <w:vAlign w:val="bottom"/>
          </w:tcPr>
          <w:p w14:paraId="0BC99BBD"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short-term investments</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BB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1,850</w:t>
            </w:r>
          </w:p>
        </w:tc>
        <w:tc>
          <w:tcPr>
            <w:tcW w:w="0" w:type="auto"/>
            <w:tcBorders>
              <w:top w:val="single" w:sz="8" w:space="0" w:color="000000"/>
              <w:bottom w:val="single" w:sz="8" w:space="0" w:color="000000"/>
            </w:tcBorders>
            <w:shd w:val="clear" w:color="auto" w:fill="E2E2E2"/>
            <w:vAlign w:val="bottom"/>
          </w:tcPr>
          <w:p w14:paraId="0BC99BB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B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BC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w:t>
            </w:r>
          </w:p>
        </w:tc>
        <w:tc>
          <w:tcPr>
            <w:tcW w:w="0" w:type="auto"/>
            <w:tcBorders>
              <w:top w:val="single" w:sz="8" w:space="0" w:color="000000"/>
              <w:bottom w:val="single" w:sz="8" w:space="0" w:color="000000"/>
            </w:tcBorders>
            <w:shd w:val="clear" w:color="auto" w:fill="E2E2E2"/>
            <w:vAlign w:val="bottom"/>
          </w:tcPr>
          <w:p w14:paraId="0BC99BC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BC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BC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1,829</w:t>
            </w:r>
          </w:p>
        </w:tc>
        <w:tc>
          <w:tcPr>
            <w:tcW w:w="0" w:type="auto"/>
            <w:tcBorders>
              <w:top w:val="single" w:sz="8" w:space="0" w:color="000000"/>
              <w:bottom w:val="single" w:sz="8" w:space="0" w:color="000000"/>
            </w:tcBorders>
            <w:shd w:val="clear" w:color="auto" w:fill="E2E2E2"/>
            <w:vAlign w:val="bottom"/>
          </w:tcPr>
          <w:p w14:paraId="0BC99BC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BC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BC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E2E2E2"/>
            <w:vAlign w:val="bottom"/>
          </w:tcPr>
          <w:p w14:paraId="0BC99BC8" w14:textId="77777777" w:rsidR="009F0928" w:rsidRDefault="009F0928">
            <w:pPr>
              <w:textAlignment w:val="bottom"/>
              <w:rPr>
                <w:rFonts w:ascii="Times New Roman" w:hAnsi="Times New Roman"/>
                <w:sz w:val="20"/>
                <w:szCs w:val="20"/>
              </w:rPr>
            </w:pPr>
          </w:p>
        </w:tc>
      </w:tr>
      <w:tr w:rsidR="009F0928" w14:paraId="0BC99BD6" w14:textId="77777777">
        <w:trPr>
          <w:jc w:val="center"/>
        </w:trPr>
        <w:tc>
          <w:tcPr>
            <w:tcW w:w="0" w:type="auto"/>
            <w:shd w:val="clear" w:color="auto" w:fill="auto"/>
            <w:tcMar>
              <w:top w:w="40" w:type="dxa"/>
              <w:left w:w="400" w:type="dxa"/>
              <w:bottom w:w="40" w:type="dxa"/>
              <w:right w:w="40" w:type="dxa"/>
            </w:tcMar>
            <w:vAlign w:val="bottom"/>
          </w:tcPr>
          <w:p w14:paraId="0BC99BCA" w14:textId="77777777" w:rsidR="009F0928" w:rsidRDefault="002112BD">
            <w:pPr>
              <w:textAlignment w:val="bottom"/>
              <w:rPr>
                <w:rFonts w:ascii="Times New Roman" w:hAnsi="Times New Roman"/>
                <w:sz w:val="18"/>
                <w:szCs w:val="18"/>
              </w:rPr>
            </w:pPr>
            <w:r>
              <w:rPr>
                <w:rFonts w:ascii="Arial" w:eastAsia="宋体" w:hAnsi="Arial" w:cs="Arial"/>
                <w:sz w:val="18"/>
                <w:szCs w:val="18"/>
              </w:rPr>
              <w:t>Derivatives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9BC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349</w:t>
            </w:r>
          </w:p>
        </w:tc>
        <w:tc>
          <w:tcPr>
            <w:tcW w:w="0" w:type="auto"/>
            <w:tcBorders>
              <w:top w:val="single" w:sz="8" w:space="0" w:color="000000"/>
              <w:bottom w:val="single" w:sz="8" w:space="0" w:color="000000"/>
            </w:tcBorders>
            <w:shd w:val="clear" w:color="auto" w:fill="auto"/>
            <w:vAlign w:val="bottom"/>
          </w:tcPr>
          <w:p w14:paraId="0BC99BC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BC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9BC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auto"/>
            <w:vAlign w:val="bottom"/>
          </w:tcPr>
          <w:p w14:paraId="0BC99BC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B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9BD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68</w:t>
            </w:r>
          </w:p>
        </w:tc>
        <w:tc>
          <w:tcPr>
            <w:tcW w:w="0" w:type="auto"/>
            <w:tcBorders>
              <w:top w:val="single" w:sz="8" w:space="0" w:color="000000"/>
              <w:bottom w:val="single" w:sz="8" w:space="0" w:color="000000"/>
            </w:tcBorders>
            <w:shd w:val="clear" w:color="auto" w:fill="auto"/>
            <w:vAlign w:val="bottom"/>
          </w:tcPr>
          <w:p w14:paraId="0BC99BD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B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9BD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281</w:t>
            </w:r>
          </w:p>
        </w:tc>
        <w:tc>
          <w:tcPr>
            <w:tcW w:w="0" w:type="auto"/>
            <w:tcBorders>
              <w:top w:val="single" w:sz="8" w:space="0" w:color="000000"/>
              <w:bottom w:val="single" w:sz="8" w:space="0" w:color="000000"/>
            </w:tcBorders>
            <w:shd w:val="clear" w:color="auto" w:fill="auto"/>
            <w:vAlign w:val="bottom"/>
          </w:tcPr>
          <w:p w14:paraId="0BC99BD5" w14:textId="77777777" w:rsidR="009F0928" w:rsidRDefault="009F0928">
            <w:pPr>
              <w:textAlignment w:val="bottom"/>
              <w:rPr>
                <w:rFonts w:ascii="Times New Roman" w:hAnsi="Times New Roman"/>
                <w:sz w:val="20"/>
                <w:szCs w:val="20"/>
              </w:rPr>
            </w:pPr>
          </w:p>
        </w:tc>
      </w:tr>
      <w:tr w:rsidR="009F0928" w14:paraId="0BC99BDF" w14:textId="77777777">
        <w:trPr>
          <w:jc w:val="center"/>
        </w:trPr>
        <w:tc>
          <w:tcPr>
            <w:tcW w:w="0" w:type="auto"/>
            <w:shd w:val="clear" w:color="auto" w:fill="E2E2E2"/>
            <w:tcMar>
              <w:top w:w="40" w:type="dxa"/>
              <w:left w:w="400" w:type="dxa"/>
              <w:bottom w:w="40" w:type="dxa"/>
              <w:right w:w="40" w:type="dxa"/>
            </w:tcMar>
            <w:vAlign w:val="bottom"/>
          </w:tcPr>
          <w:p w14:paraId="0BC99BD7" w14:textId="77777777" w:rsidR="009F0928" w:rsidRDefault="002112BD">
            <w:pPr>
              <w:textAlignment w:val="bottom"/>
              <w:rPr>
                <w:rFonts w:ascii="Times New Roman" w:hAnsi="Times New Roman"/>
                <w:sz w:val="18"/>
                <w:szCs w:val="18"/>
              </w:rPr>
            </w:pPr>
            <w:r>
              <w:rPr>
                <w:rFonts w:ascii="Arial" w:eastAsia="宋体" w:hAnsi="Arial" w:cs="Arial"/>
                <w:sz w:val="18"/>
                <w:szCs w:val="18"/>
              </w:rPr>
              <w:t>Long-term investments:</w:t>
            </w:r>
          </w:p>
        </w:tc>
        <w:tc>
          <w:tcPr>
            <w:tcW w:w="0" w:type="auto"/>
            <w:gridSpan w:val="3"/>
            <w:shd w:val="clear" w:color="auto" w:fill="E2E2E2"/>
            <w:tcMar>
              <w:top w:w="40" w:type="dxa"/>
              <w:left w:w="40" w:type="dxa"/>
              <w:bottom w:w="40" w:type="dxa"/>
              <w:right w:w="40" w:type="dxa"/>
            </w:tcMar>
            <w:vAlign w:val="bottom"/>
          </w:tcPr>
          <w:p w14:paraId="0BC99BD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B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BD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BD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BD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BD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B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BEC" w14:textId="77777777">
        <w:trPr>
          <w:jc w:val="center"/>
        </w:trPr>
        <w:tc>
          <w:tcPr>
            <w:tcW w:w="0" w:type="auto"/>
            <w:shd w:val="clear" w:color="auto" w:fill="auto"/>
            <w:tcMar>
              <w:top w:w="40" w:type="dxa"/>
              <w:left w:w="1040" w:type="dxa"/>
              <w:bottom w:w="40" w:type="dxa"/>
              <w:right w:w="40" w:type="dxa"/>
            </w:tcMar>
            <w:vAlign w:val="bottom"/>
          </w:tcPr>
          <w:p w14:paraId="0BC99BE0" w14:textId="77777777" w:rsidR="009F0928" w:rsidRDefault="002112BD">
            <w:pPr>
              <w:textAlignment w:val="bottom"/>
              <w:rPr>
                <w:rFonts w:ascii="Times New Roman" w:hAnsi="Times New Roman"/>
                <w:sz w:val="18"/>
                <w:szCs w:val="18"/>
              </w:rPr>
            </w:pPr>
            <w:r>
              <w:rPr>
                <w:rFonts w:ascii="Arial" w:eastAsia="宋体" w:hAnsi="Arial" w:cs="Arial"/>
                <w:sz w:val="18"/>
                <w:szCs w:val="18"/>
              </w:rPr>
              <w:t>Corporate debt securities</w:t>
            </w:r>
          </w:p>
        </w:tc>
        <w:tc>
          <w:tcPr>
            <w:tcW w:w="0" w:type="auto"/>
            <w:gridSpan w:val="2"/>
            <w:shd w:val="clear" w:color="auto" w:fill="auto"/>
            <w:tcMar>
              <w:top w:w="40" w:type="dxa"/>
              <w:left w:w="40" w:type="dxa"/>
              <w:bottom w:w="40" w:type="dxa"/>
            </w:tcMar>
            <w:vAlign w:val="bottom"/>
          </w:tcPr>
          <w:p w14:paraId="0BC99BE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961</w:t>
            </w:r>
          </w:p>
        </w:tc>
        <w:tc>
          <w:tcPr>
            <w:tcW w:w="0" w:type="auto"/>
            <w:shd w:val="clear" w:color="auto" w:fill="auto"/>
            <w:vAlign w:val="bottom"/>
          </w:tcPr>
          <w:p w14:paraId="0BC99BE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B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BE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BE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B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BE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961</w:t>
            </w:r>
          </w:p>
        </w:tc>
        <w:tc>
          <w:tcPr>
            <w:tcW w:w="0" w:type="auto"/>
            <w:shd w:val="clear" w:color="auto" w:fill="auto"/>
            <w:vAlign w:val="bottom"/>
          </w:tcPr>
          <w:p w14:paraId="0BC99BE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BE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BE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BEB" w14:textId="77777777" w:rsidR="009F0928" w:rsidRDefault="009F0928">
            <w:pPr>
              <w:textAlignment w:val="bottom"/>
              <w:rPr>
                <w:rFonts w:ascii="Times New Roman" w:hAnsi="Times New Roman"/>
                <w:sz w:val="20"/>
                <w:szCs w:val="20"/>
              </w:rPr>
            </w:pPr>
          </w:p>
        </w:tc>
      </w:tr>
      <w:tr w:rsidR="009F0928" w14:paraId="0BC99BF9" w14:textId="77777777">
        <w:trPr>
          <w:jc w:val="center"/>
        </w:trPr>
        <w:tc>
          <w:tcPr>
            <w:tcW w:w="0" w:type="auto"/>
            <w:shd w:val="clear" w:color="auto" w:fill="E2E2E2"/>
            <w:tcMar>
              <w:top w:w="40" w:type="dxa"/>
              <w:left w:w="400" w:type="dxa"/>
              <w:bottom w:w="40" w:type="dxa"/>
              <w:right w:w="40" w:type="dxa"/>
            </w:tcMar>
            <w:vAlign w:val="bottom"/>
          </w:tcPr>
          <w:p w14:paraId="0BC99BED"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long-term investments</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BE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961</w:t>
            </w:r>
          </w:p>
        </w:tc>
        <w:tc>
          <w:tcPr>
            <w:tcW w:w="0" w:type="auto"/>
            <w:tcBorders>
              <w:top w:val="single" w:sz="8" w:space="0" w:color="000000"/>
              <w:bottom w:val="single" w:sz="8" w:space="0" w:color="000000"/>
            </w:tcBorders>
            <w:shd w:val="clear" w:color="auto" w:fill="E2E2E2"/>
            <w:vAlign w:val="bottom"/>
          </w:tcPr>
          <w:p w14:paraId="0BC99BE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BF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BF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E2E2E2"/>
            <w:vAlign w:val="bottom"/>
          </w:tcPr>
          <w:p w14:paraId="0BC99BF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BF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BF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961</w:t>
            </w:r>
          </w:p>
        </w:tc>
        <w:tc>
          <w:tcPr>
            <w:tcW w:w="0" w:type="auto"/>
            <w:tcBorders>
              <w:top w:val="single" w:sz="8" w:space="0" w:color="000000"/>
              <w:bottom w:val="single" w:sz="8" w:space="0" w:color="000000"/>
            </w:tcBorders>
            <w:shd w:val="clear" w:color="auto" w:fill="E2E2E2"/>
            <w:vAlign w:val="bottom"/>
          </w:tcPr>
          <w:p w14:paraId="0BC99BF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B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BF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E2E2E2"/>
            <w:vAlign w:val="bottom"/>
          </w:tcPr>
          <w:p w14:paraId="0BC99BF8" w14:textId="77777777" w:rsidR="009F0928" w:rsidRDefault="009F0928">
            <w:pPr>
              <w:textAlignment w:val="bottom"/>
              <w:rPr>
                <w:rFonts w:ascii="Times New Roman" w:hAnsi="Times New Roman"/>
                <w:sz w:val="20"/>
                <w:szCs w:val="20"/>
              </w:rPr>
            </w:pPr>
          </w:p>
        </w:tc>
      </w:tr>
      <w:tr w:rsidR="009F0928" w14:paraId="0BC99C0A" w14:textId="77777777">
        <w:trPr>
          <w:jc w:val="center"/>
        </w:trPr>
        <w:tc>
          <w:tcPr>
            <w:tcW w:w="0" w:type="auto"/>
            <w:shd w:val="clear" w:color="auto" w:fill="auto"/>
            <w:tcMar>
              <w:top w:w="40" w:type="dxa"/>
              <w:left w:w="400" w:type="dxa"/>
              <w:bottom w:w="40" w:type="dxa"/>
              <w:right w:w="40" w:type="dxa"/>
            </w:tcMar>
            <w:vAlign w:val="bottom"/>
          </w:tcPr>
          <w:p w14:paraId="0BC99BFA"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financial assets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BF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BF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4,135</w:t>
            </w:r>
          </w:p>
        </w:tc>
        <w:tc>
          <w:tcPr>
            <w:tcW w:w="0" w:type="auto"/>
            <w:tcBorders>
              <w:top w:val="single" w:sz="8" w:space="0" w:color="000000"/>
              <w:bottom w:val="double" w:sz="6" w:space="0" w:color="000000"/>
            </w:tcBorders>
            <w:shd w:val="clear" w:color="auto" w:fill="auto"/>
            <w:vAlign w:val="bottom"/>
          </w:tcPr>
          <w:p w14:paraId="0BC99BF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BF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BF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C0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996</w:t>
            </w:r>
          </w:p>
        </w:tc>
        <w:tc>
          <w:tcPr>
            <w:tcW w:w="0" w:type="auto"/>
            <w:tcBorders>
              <w:top w:val="single" w:sz="8" w:space="0" w:color="000000"/>
              <w:bottom w:val="double" w:sz="6" w:space="0" w:color="000000"/>
            </w:tcBorders>
            <w:shd w:val="clear" w:color="auto" w:fill="auto"/>
            <w:vAlign w:val="bottom"/>
          </w:tcPr>
          <w:p w14:paraId="0BC99C0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0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C0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C0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2,858</w:t>
            </w:r>
          </w:p>
        </w:tc>
        <w:tc>
          <w:tcPr>
            <w:tcW w:w="0" w:type="auto"/>
            <w:tcBorders>
              <w:top w:val="single" w:sz="8" w:space="0" w:color="000000"/>
              <w:bottom w:val="double" w:sz="6" w:space="0" w:color="000000"/>
            </w:tcBorders>
            <w:shd w:val="clear" w:color="auto" w:fill="auto"/>
            <w:vAlign w:val="bottom"/>
          </w:tcPr>
          <w:p w14:paraId="0BC99C0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0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C0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C0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281</w:t>
            </w:r>
          </w:p>
        </w:tc>
        <w:tc>
          <w:tcPr>
            <w:tcW w:w="0" w:type="auto"/>
            <w:tcBorders>
              <w:top w:val="single" w:sz="8" w:space="0" w:color="000000"/>
              <w:bottom w:val="double" w:sz="6" w:space="0" w:color="000000"/>
            </w:tcBorders>
            <w:shd w:val="clear" w:color="auto" w:fill="auto"/>
            <w:vAlign w:val="bottom"/>
          </w:tcPr>
          <w:p w14:paraId="0BC99C09" w14:textId="77777777" w:rsidR="009F0928" w:rsidRDefault="009F0928">
            <w:pPr>
              <w:textAlignment w:val="bottom"/>
              <w:rPr>
                <w:rFonts w:ascii="Times New Roman" w:hAnsi="Times New Roman"/>
                <w:sz w:val="20"/>
                <w:szCs w:val="20"/>
              </w:rPr>
            </w:pPr>
          </w:p>
        </w:tc>
      </w:tr>
      <w:tr w:rsidR="009F0928" w14:paraId="0BC99C13" w14:textId="77777777">
        <w:trPr>
          <w:jc w:val="center"/>
        </w:trPr>
        <w:tc>
          <w:tcPr>
            <w:tcW w:w="0" w:type="auto"/>
            <w:shd w:val="clear" w:color="auto" w:fill="E2E2E2"/>
            <w:tcMar>
              <w:top w:w="40" w:type="dxa"/>
              <w:left w:w="40" w:type="dxa"/>
              <w:bottom w:w="40" w:type="dxa"/>
              <w:right w:w="40" w:type="dxa"/>
            </w:tcMar>
            <w:vAlign w:val="bottom"/>
          </w:tcPr>
          <w:p w14:paraId="0BC99C0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C0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C0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C0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C0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C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C1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C1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C1C" w14:textId="77777777">
        <w:trPr>
          <w:jc w:val="center"/>
        </w:trPr>
        <w:tc>
          <w:tcPr>
            <w:tcW w:w="0" w:type="auto"/>
            <w:shd w:val="clear" w:color="auto" w:fill="auto"/>
            <w:tcMar>
              <w:top w:w="40" w:type="dxa"/>
              <w:left w:w="40" w:type="dxa"/>
              <w:bottom w:w="40" w:type="dxa"/>
              <w:right w:w="40" w:type="dxa"/>
            </w:tcMar>
            <w:vAlign w:val="bottom"/>
          </w:tcPr>
          <w:p w14:paraId="0BC99C14" w14:textId="77777777" w:rsidR="009F0928" w:rsidRDefault="002112BD">
            <w:pPr>
              <w:textAlignment w:val="bottom"/>
              <w:rPr>
                <w:rFonts w:ascii="Times New Roman" w:hAnsi="Times New Roman"/>
                <w:sz w:val="18"/>
                <w:szCs w:val="18"/>
              </w:rPr>
            </w:pPr>
            <w:r>
              <w:rPr>
                <w:rFonts w:ascii="Arial" w:eastAsia="宋体" w:hAnsi="Arial" w:cs="Arial"/>
                <w:sz w:val="18"/>
                <w:szCs w:val="18"/>
              </w:rPr>
              <w:t>Liabilities:</w:t>
            </w:r>
          </w:p>
        </w:tc>
        <w:tc>
          <w:tcPr>
            <w:tcW w:w="0" w:type="auto"/>
            <w:gridSpan w:val="3"/>
            <w:shd w:val="clear" w:color="auto" w:fill="auto"/>
            <w:tcMar>
              <w:top w:w="40" w:type="dxa"/>
              <w:left w:w="40" w:type="dxa"/>
              <w:bottom w:w="40" w:type="dxa"/>
              <w:right w:w="40" w:type="dxa"/>
            </w:tcMar>
            <w:vAlign w:val="bottom"/>
          </w:tcPr>
          <w:p w14:paraId="0BC99C1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C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C1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C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C1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C1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C1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C2D" w14:textId="77777777">
        <w:trPr>
          <w:jc w:val="center"/>
        </w:trPr>
        <w:tc>
          <w:tcPr>
            <w:tcW w:w="0" w:type="auto"/>
            <w:shd w:val="clear" w:color="auto" w:fill="E2E2E2"/>
            <w:tcMar>
              <w:top w:w="40" w:type="dxa"/>
              <w:left w:w="400" w:type="dxa"/>
              <w:bottom w:w="40" w:type="dxa"/>
              <w:right w:w="40" w:type="dxa"/>
            </w:tcMar>
            <w:vAlign w:val="bottom"/>
          </w:tcPr>
          <w:p w14:paraId="0BC99C1D" w14:textId="77777777" w:rsidR="009F0928" w:rsidRDefault="002112BD">
            <w:pPr>
              <w:textAlignment w:val="bottom"/>
              <w:rPr>
                <w:rFonts w:ascii="Times New Roman" w:hAnsi="Times New Roman"/>
                <w:sz w:val="18"/>
                <w:szCs w:val="18"/>
              </w:rPr>
            </w:pPr>
            <w:r>
              <w:rPr>
                <w:rFonts w:ascii="Arial" w:eastAsia="宋体" w:hAnsi="Arial" w:cs="Arial"/>
                <w:sz w:val="18"/>
                <w:szCs w:val="18"/>
              </w:rPr>
              <w:t>Derivatives</w:t>
            </w:r>
          </w:p>
        </w:tc>
        <w:tc>
          <w:tcPr>
            <w:tcW w:w="0" w:type="auto"/>
            <w:tcBorders>
              <w:bottom w:val="double" w:sz="6" w:space="0" w:color="000000"/>
            </w:tcBorders>
            <w:shd w:val="clear" w:color="auto" w:fill="E2E2E2"/>
            <w:tcMar>
              <w:top w:w="40" w:type="dxa"/>
              <w:left w:w="40" w:type="dxa"/>
              <w:bottom w:w="40" w:type="dxa"/>
            </w:tcMar>
            <w:vAlign w:val="bottom"/>
          </w:tcPr>
          <w:p w14:paraId="0BC99C1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9C1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w:t>
            </w:r>
          </w:p>
        </w:tc>
        <w:tc>
          <w:tcPr>
            <w:tcW w:w="0" w:type="auto"/>
            <w:tcBorders>
              <w:bottom w:val="double" w:sz="6" w:space="0" w:color="000000"/>
            </w:tcBorders>
            <w:shd w:val="clear" w:color="auto" w:fill="E2E2E2"/>
            <w:vAlign w:val="bottom"/>
          </w:tcPr>
          <w:p w14:paraId="0BC99C2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C2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9C2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9C2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vAlign w:val="bottom"/>
          </w:tcPr>
          <w:p w14:paraId="0BC99C2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C2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9C2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9C2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w:t>
            </w:r>
          </w:p>
        </w:tc>
        <w:tc>
          <w:tcPr>
            <w:tcW w:w="0" w:type="auto"/>
            <w:tcBorders>
              <w:bottom w:val="double" w:sz="6" w:space="0" w:color="000000"/>
            </w:tcBorders>
            <w:shd w:val="clear" w:color="auto" w:fill="E2E2E2"/>
            <w:vAlign w:val="bottom"/>
          </w:tcPr>
          <w:p w14:paraId="0BC99C2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C2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9C2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9C2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vAlign w:val="bottom"/>
          </w:tcPr>
          <w:p w14:paraId="0BC99C2C" w14:textId="77777777" w:rsidR="009F0928" w:rsidRDefault="009F0928">
            <w:pPr>
              <w:textAlignment w:val="bottom"/>
              <w:rPr>
                <w:rFonts w:ascii="Times New Roman" w:hAnsi="Times New Roman"/>
                <w:sz w:val="20"/>
                <w:szCs w:val="20"/>
              </w:rPr>
            </w:pPr>
          </w:p>
        </w:tc>
      </w:tr>
    </w:tbl>
    <w:p w14:paraId="0BC99C2E" w14:textId="77777777" w:rsidR="009F0928" w:rsidRDefault="009F0928">
      <w:pPr>
        <w:spacing w:line="288" w:lineRule="auto"/>
        <w:ind w:firstLine="640"/>
        <w:jc w:val="both"/>
        <w:rPr>
          <w:rFonts w:ascii="Times New Roman" w:hAnsi="Times New Roman"/>
          <w:sz w:val="20"/>
          <w:szCs w:val="20"/>
        </w:rPr>
      </w:pPr>
    </w:p>
    <w:p w14:paraId="0BC99C2F" w14:textId="77777777" w:rsidR="009F0928" w:rsidRDefault="009F0928">
      <w:pPr>
        <w:rPr>
          <w:rFonts w:ascii="Times New Roman" w:hAnsi="Times New Roman"/>
          <w:sz w:val="20"/>
          <w:szCs w:val="20"/>
        </w:rPr>
      </w:pPr>
    </w:p>
    <w:p w14:paraId="0BC99C30"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F-27</w:t>
      </w:r>
    </w:p>
    <w:p w14:paraId="0BC99C31" w14:textId="77777777" w:rsidR="009F0928" w:rsidRDefault="002112BD">
      <w:r>
        <w:rPr>
          <w:rFonts w:ascii="Times New Roman" w:hAnsi="Times New Roman"/>
          <w:sz w:val="18"/>
          <w:szCs w:val="18"/>
        </w:rPr>
        <w:pict w14:anchorId="0BC9B515">
          <v:rect id="_x0000_i1113" style="width:415.3pt;height:1.5pt" o:hralign="center" o:hrstd="t" o:hr="t" fillcolor="#a0a0a0" stroked="f"/>
        </w:pict>
      </w:r>
    </w:p>
    <w:p w14:paraId="0BC99C32"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C33"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9C34" w14:textId="77777777" w:rsidR="009F0928" w:rsidRDefault="009F0928">
      <w:pPr>
        <w:spacing w:line="288" w:lineRule="auto"/>
        <w:jc w:val="center"/>
        <w:rPr>
          <w:rFonts w:ascii="Times New Roman" w:hAnsi="Times New Roman"/>
          <w:sz w:val="20"/>
          <w:szCs w:val="20"/>
        </w:rPr>
      </w:pPr>
    </w:p>
    <w:p w14:paraId="0BC99C35" w14:textId="77777777" w:rsidR="009F0928" w:rsidRDefault="009F0928">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974"/>
        <w:gridCol w:w="142"/>
        <w:gridCol w:w="980"/>
        <w:gridCol w:w="70"/>
        <w:gridCol w:w="130"/>
        <w:gridCol w:w="142"/>
        <w:gridCol w:w="1285"/>
        <w:gridCol w:w="91"/>
        <w:gridCol w:w="130"/>
        <w:gridCol w:w="142"/>
        <w:gridCol w:w="1291"/>
        <w:gridCol w:w="92"/>
        <w:gridCol w:w="130"/>
        <w:gridCol w:w="142"/>
        <w:gridCol w:w="1468"/>
        <w:gridCol w:w="97"/>
      </w:tblGrid>
      <w:tr w:rsidR="009F0928" w14:paraId="0BC99C37" w14:textId="77777777">
        <w:tc>
          <w:tcPr>
            <w:tcW w:w="0" w:type="auto"/>
            <w:gridSpan w:val="16"/>
            <w:shd w:val="clear" w:color="auto" w:fill="auto"/>
            <w:vAlign w:val="center"/>
          </w:tcPr>
          <w:p w14:paraId="0BC99C36" w14:textId="77777777" w:rsidR="009F0928" w:rsidRDefault="009F0928">
            <w:pPr>
              <w:rPr>
                <w:rFonts w:ascii="Times New Roman" w:hAnsi="Times New Roman"/>
                <w:sz w:val="20"/>
                <w:szCs w:val="20"/>
              </w:rPr>
            </w:pPr>
          </w:p>
        </w:tc>
      </w:tr>
      <w:tr w:rsidR="009F0928" w14:paraId="0BC99C48" w14:textId="77777777">
        <w:tc>
          <w:tcPr>
            <w:tcW w:w="1600" w:type="pct"/>
            <w:shd w:val="clear" w:color="auto" w:fill="auto"/>
            <w:vAlign w:val="center"/>
          </w:tcPr>
          <w:p w14:paraId="0BC99C38" w14:textId="77777777" w:rsidR="009F0928" w:rsidRDefault="009F0928">
            <w:pPr>
              <w:rPr>
                <w:rFonts w:ascii="Times New Roman" w:hAnsi="Times New Roman"/>
                <w:sz w:val="20"/>
                <w:szCs w:val="20"/>
              </w:rPr>
            </w:pPr>
          </w:p>
        </w:tc>
        <w:tc>
          <w:tcPr>
            <w:tcW w:w="50" w:type="pct"/>
            <w:shd w:val="clear" w:color="auto" w:fill="auto"/>
            <w:vAlign w:val="center"/>
          </w:tcPr>
          <w:p w14:paraId="0BC99C39" w14:textId="77777777" w:rsidR="009F0928" w:rsidRDefault="009F0928">
            <w:pPr>
              <w:rPr>
                <w:rFonts w:ascii="Times New Roman" w:hAnsi="Times New Roman"/>
                <w:sz w:val="20"/>
                <w:szCs w:val="20"/>
              </w:rPr>
            </w:pPr>
          </w:p>
        </w:tc>
        <w:tc>
          <w:tcPr>
            <w:tcW w:w="700" w:type="pct"/>
            <w:shd w:val="clear" w:color="auto" w:fill="auto"/>
            <w:vAlign w:val="center"/>
          </w:tcPr>
          <w:p w14:paraId="0BC99C3A" w14:textId="77777777" w:rsidR="009F0928" w:rsidRDefault="009F0928">
            <w:pPr>
              <w:rPr>
                <w:rFonts w:ascii="Times New Roman" w:hAnsi="Times New Roman"/>
                <w:sz w:val="20"/>
                <w:szCs w:val="20"/>
              </w:rPr>
            </w:pPr>
          </w:p>
        </w:tc>
        <w:tc>
          <w:tcPr>
            <w:tcW w:w="50" w:type="pct"/>
            <w:shd w:val="clear" w:color="auto" w:fill="auto"/>
            <w:vAlign w:val="center"/>
          </w:tcPr>
          <w:p w14:paraId="0BC99C3B" w14:textId="77777777" w:rsidR="009F0928" w:rsidRDefault="009F0928">
            <w:pPr>
              <w:rPr>
                <w:rFonts w:ascii="Times New Roman" w:hAnsi="Times New Roman"/>
                <w:sz w:val="20"/>
                <w:szCs w:val="20"/>
              </w:rPr>
            </w:pPr>
          </w:p>
        </w:tc>
        <w:tc>
          <w:tcPr>
            <w:tcW w:w="50" w:type="pct"/>
            <w:shd w:val="clear" w:color="auto" w:fill="auto"/>
            <w:vAlign w:val="center"/>
          </w:tcPr>
          <w:p w14:paraId="0BC99C3C" w14:textId="77777777" w:rsidR="009F0928" w:rsidRDefault="009F0928">
            <w:pPr>
              <w:rPr>
                <w:rFonts w:ascii="Times New Roman" w:hAnsi="Times New Roman"/>
                <w:sz w:val="20"/>
                <w:szCs w:val="20"/>
              </w:rPr>
            </w:pPr>
          </w:p>
        </w:tc>
        <w:tc>
          <w:tcPr>
            <w:tcW w:w="50" w:type="pct"/>
            <w:shd w:val="clear" w:color="auto" w:fill="auto"/>
            <w:vAlign w:val="center"/>
          </w:tcPr>
          <w:p w14:paraId="0BC99C3D" w14:textId="77777777" w:rsidR="009F0928" w:rsidRDefault="009F0928">
            <w:pPr>
              <w:rPr>
                <w:rFonts w:ascii="Times New Roman" w:hAnsi="Times New Roman"/>
                <w:sz w:val="20"/>
                <w:szCs w:val="20"/>
              </w:rPr>
            </w:pPr>
          </w:p>
        </w:tc>
        <w:tc>
          <w:tcPr>
            <w:tcW w:w="700" w:type="pct"/>
            <w:shd w:val="clear" w:color="auto" w:fill="auto"/>
            <w:vAlign w:val="center"/>
          </w:tcPr>
          <w:p w14:paraId="0BC99C3E" w14:textId="77777777" w:rsidR="009F0928" w:rsidRDefault="009F0928">
            <w:pPr>
              <w:rPr>
                <w:rFonts w:ascii="Times New Roman" w:hAnsi="Times New Roman"/>
                <w:sz w:val="20"/>
                <w:szCs w:val="20"/>
              </w:rPr>
            </w:pPr>
          </w:p>
        </w:tc>
        <w:tc>
          <w:tcPr>
            <w:tcW w:w="50" w:type="pct"/>
            <w:shd w:val="clear" w:color="auto" w:fill="auto"/>
            <w:vAlign w:val="center"/>
          </w:tcPr>
          <w:p w14:paraId="0BC99C3F" w14:textId="77777777" w:rsidR="009F0928" w:rsidRDefault="009F0928">
            <w:pPr>
              <w:rPr>
                <w:rFonts w:ascii="Times New Roman" w:hAnsi="Times New Roman"/>
                <w:sz w:val="20"/>
                <w:szCs w:val="20"/>
              </w:rPr>
            </w:pPr>
          </w:p>
        </w:tc>
        <w:tc>
          <w:tcPr>
            <w:tcW w:w="50" w:type="pct"/>
            <w:shd w:val="clear" w:color="auto" w:fill="auto"/>
            <w:vAlign w:val="center"/>
          </w:tcPr>
          <w:p w14:paraId="0BC99C40" w14:textId="77777777" w:rsidR="009F0928" w:rsidRDefault="009F0928">
            <w:pPr>
              <w:rPr>
                <w:rFonts w:ascii="Times New Roman" w:hAnsi="Times New Roman"/>
                <w:sz w:val="20"/>
                <w:szCs w:val="20"/>
              </w:rPr>
            </w:pPr>
          </w:p>
        </w:tc>
        <w:tc>
          <w:tcPr>
            <w:tcW w:w="50" w:type="pct"/>
            <w:shd w:val="clear" w:color="auto" w:fill="auto"/>
            <w:vAlign w:val="center"/>
          </w:tcPr>
          <w:p w14:paraId="0BC99C41" w14:textId="77777777" w:rsidR="009F0928" w:rsidRDefault="009F0928">
            <w:pPr>
              <w:rPr>
                <w:rFonts w:ascii="Times New Roman" w:hAnsi="Times New Roman"/>
                <w:sz w:val="20"/>
                <w:szCs w:val="20"/>
              </w:rPr>
            </w:pPr>
          </w:p>
        </w:tc>
        <w:tc>
          <w:tcPr>
            <w:tcW w:w="700" w:type="pct"/>
            <w:shd w:val="clear" w:color="auto" w:fill="auto"/>
            <w:vAlign w:val="center"/>
          </w:tcPr>
          <w:p w14:paraId="0BC99C42" w14:textId="77777777" w:rsidR="009F0928" w:rsidRDefault="009F0928">
            <w:pPr>
              <w:rPr>
                <w:rFonts w:ascii="Times New Roman" w:hAnsi="Times New Roman"/>
                <w:sz w:val="20"/>
                <w:szCs w:val="20"/>
              </w:rPr>
            </w:pPr>
          </w:p>
        </w:tc>
        <w:tc>
          <w:tcPr>
            <w:tcW w:w="50" w:type="pct"/>
            <w:shd w:val="clear" w:color="auto" w:fill="auto"/>
            <w:vAlign w:val="center"/>
          </w:tcPr>
          <w:p w14:paraId="0BC99C43" w14:textId="77777777" w:rsidR="009F0928" w:rsidRDefault="009F0928">
            <w:pPr>
              <w:rPr>
                <w:rFonts w:ascii="Times New Roman" w:hAnsi="Times New Roman"/>
                <w:sz w:val="20"/>
                <w:szCs w:val="20"/>
              </w:rPr>
            </w:pPr>
          </w:p>
        </w:tc>
        <w:tc>
          <w:tcPr>
            <w:tcW w:w="50" w:type="pct"/>
            <w:shd w:val="clear" w:color="auto" w:fill="auto"/>
            <w:vAlign w:val="center"/>
          </w:tcPr>
          <w:p w14:paraId="0BC99C44" w14:textId="77777777" w:rsidR="009F0928" w:rsidRDefault="009F0928">
            <w:pPr>
              <w:rPr>
                <w:rFonts w:ascii="Times New Roman" w:hAnsi="Times New Roman"/>
                <w:sz w:val="20"/>
                <w:szCs w:val="20"/>
              </w:rPr>
            </w:pPr>
          </w:p>
        </w:tc>
        <w:tc>
          <w:tcPr>
            <w:tcW w:w="50" w:type="pct"/>
            <w:shd w:val="clear" w:color="auto" w:fill="auto"/>
            <w:vAlign w:val="center"/>
          </w:tcPr>
          <w:p w14:paraId="0BC99C45" w14:textId="77777777" w:rsidR="009F0928" w:rsidRDefault="009F0928">
            <w:pPr>
              <w:rPr>
                <w:rFonts w:ascii="Times New Roman" w:hAnsi="Times New Roman"/>
                <w:sz w:val="20"/>
                <w:szCs w:val="20"/>
              </w:rPr>
            </w:pPr>
          </w:p>
        </w:tc>
        <w:tc>
          <w:tcPr>
            <w:tcW w:w="750" w:type="pct"/>
            <w:shd w:val="clear" w:color="auto" w:fill="auto"/>
            <w:vAlign w:val="center"/>
          </w:tcPr>
          <w:p w14:paraId="0BC99C46" w14:textId="77777777" w:rsidR="009F0928" w:rsidRDefault="009F0928">
            <w:pPr>
              <w:rPr>
                <w:rFonts w:ascii="Times New Roman" w:hAnsi="Times New Roman"/>
                <w:sz w:val="20"/>
                <w:szCs w:val="20"/>
              </w:rPr>
            </w:pPr>
          </w:p>
        </w:tc>
        <w:tc>
          <w:tcPr>
            <w:tcW w:w="50" w:type="pct"/>
            <w:shd w:val="clear" w:color="auto" w:fill="auto"/>
            <w:vAlign w:val="center"/>
          </w:tcPr>
          <w:p w14:paraId="0BC99C47" w14:textId="77777777" w:rsidR="009F0928" w:rsidRDefault="009F0928">
            <w:pPr>
              <w:rPr>
                <w:rFonts w:ascii="Times New Roman" w:hAnsi="Times New Roman"/>
                <w:sz w:val="20"/>
                <w:szCs w:val="20"/>
              </w:rPr>
            </w:pPr>
          </w:p>
        </w:tc>
      </w:tr>
      <w:tr w:rsidR="009F0928" w14:paraId="0BC99C56" w14:textId="77777777">
        <w:tc>
          <w:tcPr>
            <w:tcW w:w="0" w:type="auto"/>
            <w:shd w:val="clear" w:color="auto" w:fill="auto"/>
            <w:tcMar>
              <w:top w:w="40" w:type="dxa"/>
              <w:left w:w="40" w:type="dxa"/>
              <w:bottom w:w="40" w:type="dxa"/>
              <w:right w:w="40" w:type="dxa"/>
            </w:tcMar>
            <w:vAlign w:val="bottom"/>
          </w:tcPr>
          <w:p w14:paraId="0BC99C4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C4A"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 2018</w:t>
            </w:r>
          </w:p>
        </w:tc>
        <w:tc>
          <w:tcPr>
            <w:tcW w:w="0" w:type="auto"/>
            <w:shd w:val="clear" w:color="auto" w:fill="auto"/>
            <w:tcMar>
              <w:top w:w="40" w:type="dxa"/>
              <w:left w:w="40" w:type="dxa"/>
              <w:bottom w:w="40" w:type="dxa"/>
              <w:right w:w="40" w:type="dxa"/>
            </w:tcMar>
            <w:vAlign w:val="bottom"/>
          </w:tcPr>
          <w:p w14:paraId="0BC99C4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C4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Quoted Prices in</w:t>
            </w:r>
          </w:p>
          <w:p w14:paraId="0BC99C4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Active Markets for</w:t>
            </w:r>
          </w:p>
          <w:p w14:paraId="0BC99C4E"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Identical Assets</w:t>
            </w:r>
          </w:p>
          <w:p w14:paraId="0BC99C4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(Level 1)</w:t>
            </w: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9C5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C51"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Significant Other</w:t>
            </w:r>
          </w:p>
          <w:p w14:paraId="0BC99C52"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Observable Inputs</w:t>
            </w:r>
          </w:p>
          <w:p w14:paraId="0BC99C5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(Level 2)</w:t>
            </w:r>
          </w:p>
        </w:tc>
        <w:tc>
          <w:tcPr>
            <w:tcW w:w="0" w:type="auto"/>
            <w:shd w:val="clear" w:color="auto" w:fill="auto"/>
            <w:tcMar>
              <w:top w:w="40" w:type="dxa"/>
              <w:left w:w="40" w:type="dxa"/>
              <w:bottom w:w="40" w:type="dxa"/>
              <w:right w:w="40" w:type="dxa"/>
            </w:tcMar>
            <w:vAlign w:val="bottom"/>
          </w:tcPr>
          <w:p w14:paraId="0BC99C5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C55"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Significant </w:t>
            </w:r>
            <w:r>
              <w:rPr>
                <w:rFonts w:ascii="Arial" w:eastAsia="宋体" w:hAnsi="Arial" w:cs="Arial"/>
                <w:b/>
                <w:bCs/>
                <w:sz w:val="16"/>
                <w:szCs w:val="16"/>
              </w:rPr>
              <w:br/>
            </w:r>
            <w:r>
              <w:rPr>
                <w:rFonts w:ascii="Arial" w:eastAsia="宋体" w:hAnsi="Arial" w:cs="Arial"/>
                <w:b/>
                <w:bCs/>
                <w:sz w:val="16"/>
                <w:szCs w:val="16"/>
              </w:rPr>
              <w:t>Unobservable Inputs</w:t>
            </w:r>
            <w:r>
              <w:rPr>
                <w:rFonts w:ascii="Arial" w:eastAsia="宋体" w:hAnsi="Arial" w:cs="Arial"/>
                <w:b/>
                <w:bCs/>
                <w:sz w:val="16"/>
                <w:szCs w:val="16"/>
              </w:rPr>
              <w:br/>
              <w:t>(Level 3)</w:t>
            </w:r>
          </w:p>
        </w:tc>
      </w:tr>
      <w:tr w:rsidR="009F0928" w14:paraId="0BC99C5F" w14:textId="77777777">
        <w:tc>
          <w:tcPr>
            <w:tcW w:w="0" w:type="auto"/>
            <w:shd w:val="clear" w:color="auto" w:fill="E2E2E2"/>
            <w:tcMar>
              <w:top w:w="40" w:type="dxa"/>
              <w:left w:w="40" w:type="dxa"/>
              <w:bottom w:w="40" w:type="dxa"/>
              <w:right w:w="40" w:type="dxa"/>
            </w:tcMar>
            <w:vAlign w:val="bottom"/>
          </w:tcPr>
          <w:p w14:paraId="0BC99C57" w14:textId="77777777" w:rsidR="009F0928" w:rsidRDefault="002112BD">
            <w:pPr>
              <w:textAlignment w:val="bottom"/>
              <w:rPr>
                <w:rFonts w:ascii="Times New Roman" w:hAnsi="Times New Roman"/>
                <w:sz w:val="18"/>
                <w:szCs w:val="18"/>
              </w:rPr>
            </w:pPr>
            <w:r>
              <w:rPr>
                <w:rFonts w:ascii="Arial" w:eastAsia="宋体" w:hAnsi="Arial" w:cs="Arial"/>
                <w:b/>
                <w:bCs/>
                <w:i/>
                <w:iCs/>
                <w:sz w:val="18"/>
                <w:szCs w:val="18"/>
              </w:rPr>
              <w:t>Assets:</w:t>
            </w:r>
          </w:p>
        </w:tc>
        <w:tc>
          <w:tcPr>
            <w:tcW w:w="0" w:type="auto"/>
            <w:gridSpan w:val="3"/>
            <w:shd w:val="clear" w:color="auto" w:fill="E2E2E2"/>
            <w:tcMar>
              <w:top w:w="40" w:type="dxa"/>
              <w:left w:w="40" w:type="dxa"/>
              <w:bottom w:w="40" w:type="dxa"/>
              <w:right w:w="40" w:type="dxa"/>
            </w:tcMar>
            <w:vAlign w:val="bottom"/>
          </w:tcPr>
          <w:p w14:paraId="0BC99C58"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right w:w="40" w:type="dxa"/>
            </w:tcMar>
            <w:vAlign w:val="bottom"/>
          </w:tcPr>
          <w:p w14:paraId="0BC99C5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C5A"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right w:w="40" w:type="dxa"/>
            </w:tcMar>
            <w:vAlign w:val="bottom"/>
          </w:tcPr>
          <w:p w14:paraId="0BC99C5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C5C"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right w:w="40" w:type="dxa"/>
            </w:tcMar>
            <w:vAlign w:val="bottom"/>
          </w:tcPr>
          <w:p w14:paraId="0BC99C5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C5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C70" w14:textId="77777777">
        <w:tc>
          <w:tcPr>
            <w:tcW w:w="0" w:type="auto"/>
            <w:shd w:val="clear" w:color="auto" w:fill="auto"/>
            <w:tcMar>
              <w:top w:w="40" w:type="dxa"/>
              <w:left w:w="40" w:type="dxa"/>
              <w:bottom w:w="40" w:type="dxa"/>
              <w:right w:w="40" w:type="dxa"/>
            </w:tcMar>
            <w:vAlign w:val="bottom"/>
          </w:tcPr>
          <w:p w14:paraId="0BC99C60" w14:textId="77777777" w:rsidR="009F0928" w:rsidRDefault="002112BD">
            <w:pPr>
              <w:textAlignment w:val="bottom"/>
              <w:rPr>
                <w:rFonts w:ascii="Times New Roman" w:hAnsi="Times New Roman"/>
                <w:sz w:val="18"/>
                <w:szCs w:val="18"/>
              </w:rPr>
            </w:pPr>
            <w:r>
              <w:rPr>
                <w:rFonts w:ascii="Arial" w:eastAsia="宋体" w:hAnsi="Arial" w:cs="Arial"/>
                <w:sz w:val="18"/>
                <w:szCs w:val="18"/>
              </w:rPr>
              <w:t>Cash and cash equivalents</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BC99C6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0BC99C6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2,202</w:t>
            </w:r>
          </w:p>
        </w:tc>
        <w:tc>
          <w:tcPr>
            <w:tcW w:w="0" w:type="auto"/>
            <w:tcBorders>
              <w:top w:val="single" w:sz="8" w:space="0" w:color="000000"/>
              <w:bottom w:val="single" w:sz="8" w:space="0" w:color="000000"/>
            </w:tcBorders>
            <w:shd w:val="clear" w:color="auto" w:fill="auto"/>
            <w:vAlign w:val="bottom"/>
          </w:tcPr>
          <w:p w14:paraId="0BC99C6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6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BC99C6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0BC99C6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2,052</w:t>
            </w:r>
          </w:p>
        </w:tc>
        <w:tc>
          <w:tcPr>
            <w:tcW w:w="0" w:type="auto"/>
            <w:tcBorders>
              <w:top w:val="single" w:sz="8" w:space="0" w:color="000000"/>
              <w:bottom w:val="single" w:sz="8" w:space="0" w:color="000000"/>
            </w:tcBorders>
            <w:shd w:val="clear" w:color="auto" w:fill="auto"/>
            <w:vAlign w:val="bottom"/>
          </w:tcPr>
          <w:p w14:paraId="0BC99C6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6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BC99C6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0BC99C6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150</w:t>
            </w:r>
          </w:p>
        </w:tc>
        <w:tc>
          <w:tcPr>
            <w:tcW w:w="0" w:type="auto"/>
            <w:tcBorders>
              <w:top w:val="single" w:sz="8" w:space="0" w:color="000000"/>
              <w:bottom w:val="single" w:sz="8" w:space="0" w:color="000000"/>
            </w:tcBorders>
            <w:shd w:val="clear" w:color="auto" w:fill="auto"/>
            <w:vAlign w:val="bottom"/>
          </w:tcPr>
          <w:p w14:paraId="0BC99C6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6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0BC99C6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0BC99C6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auto"/>
            <w:vAlign w:val="bottom"/>
          </w:tcPr>
          <w:p w14:paraId="0BC99C6F" w14:textId="77777777" w:rsidR="009F0928" w:rsidRDefault="009F0928">
            <w:pPr>
              <w:textAlignment w:val="bottom"/>
              <w:rPr>
                <w:rFonts w:ascii="Times New Roman" w:hAnsi="Times New Roman"/>
                <w:sz w:val="20"/>
                <w:szCs w:val="20"/>
              </w:rPr>
            </w:pPr>
          </w:p>
        </w:tc>
      </w:tr>
      <w:tr w:rsidR="009F0928" w14:paraId="0BC99C79" w14:textId="77777777">
        <w:tc>
          <w:tcPr>
            <w:tcW w:w="0" w:type="auto"/>
            <w:shd w:val="clear" w:color="auto" w:fill="E2E2E2"/>
            <w:tcMar>
              <w:top w:w="40" w:type="dxa"/>
              <w:left w:w="40" w:type="dxa"/>
              <w:bottom w:w="40" w:type="dxa"/>
              <w:right w:w="40" w:type="dxa"/>
            </w:tcMar>
            <w:vAlign w:val="bottom"/>
          </w:tcPr>
          <w:p w14:paraId="0BC99C71" w14:textId="77777777" w:rsidR="009F0928" w:rsidRDefault="002112BD">
            <w:pPr>
              <w:textAlignment w:val="bottom"/>
              <w:rPr>
                <w:rFonts w:ascii="Times New Roman" w:hAnsi="Times New Roman"/>
                <w:sz w:val="18"/>
                <w:szCs w:val="18"/>
              </w:rPr>
            </w:pPr>
            <w:r>
              <w:rPr>
                <w:rFonts w:ascii="Arial" w:eastAsia="宋体" w:hAnsi="Arial" w:cs="Arial"/>
                <w:sz w:val="18"/>
                <w:szCs w:val="18"/>
              </w:rPr>
              <w:t>Short-term investments:</w:t>
            </w:r>
          </w:p>
        </w:tc>
        <w:tc>
          <w:tcPr>
            <w:tcW w:w="0" w:type="auto"/>
            <w:gridSpan w:val="3"/>
            <w:shd w:val="clear" w:color="auto" w:fill="E2E2E2"/>
            <w:tcMar>
              <w:top w:w="40" w:type="dxa"/>
              <w:left w:w="40" w:type="dxa"/>
              <w:bottom w:w="40" w:type="dxa"/>
              <w:right w:w="40" w:type="dxa"/>
            </w:tcMar>
            <w:vAlign w:val="bottom"/>
          </w:tcPr>
          <w:p w14:paraId="0BC99C7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C7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C7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C7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C7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C7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C7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C86" w14:textId="77777777">
        <w:tc>
          <w:tcPr>
            <w:tcW w:w="0" w:type="auto"/>
            <w:shd w:val="clear" w:color="auto" w:fill="auto"/>
            <w:tcMar>
              <w:top w:w="40" w:type="dxa"/>
              <w:left w:w="720" w:type="dxa"/>
              <w:bottom w:w="40" w:type="dxa"/>
              <w:right w:w="40" w:type="dxa"/>
            </w:tcMar>
            <w:vAlign w:val="bottom"/>
          </w:tcPr>
          <w:p w14:paraId="0BC99C7A" w14:textId="77777777" w:rsidR="009F0928" w:rsidRDefault="002112BD">
            <w:pPr>
              <w:textAlignment w:val="bottom"/>
              <w:rPr>
                <w:rFonts w:ascii="Times New Roman" w:hAnsi="Times New Roman"/>
                <w:sz w:val="18"/>
                <w:szCs w:val="18"/>
              </w:rPr>
            </w:pPr>
            <w:r>
              <w:rPr>
                <w:rFonts w:ascii="Arial" w:eastAsia="宋体" w:hAnsi="Arial" w:cs="Arial"/>
                <w:sz w:val="18"/>
                <w:szCs w:val="18"/>
              </w:rPr>
              <w:t>Restricted cash</w:t>
            </w:r>
          </w:p>
        </w:tc>
        <w:tc>
          <w:tcPr>
            <w:tcW w:w="0" w:type="auto"/>
            <w:gridSpan w:val="2"/>
            <w:shd w:val="clear" w:color="auto" w:fill="auto"/>
            <w:tcMar>
              <w:top w:w="40" w:type="dxa"/>
              <w:left w:w="40" w:type="dxa"/>
              <w:bottom w:w="40" w:type="dxa"/>
            </w:tcMar>
            <w:vAlign w:val="bottom"/>
          </w:tcPr>
          <w:p w14:paraId="0BC99C7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w:t>
            </w:r>
          </w:p>
        </w:tc>
        <w:tc>
          <w:tcPr>
            <w:tcW w:w="0" w:type="auto"/>
            <w:shd w:val="clear" w:color="auto" w:fill="auto"/>
            <w:vAlign w:val="bottom"/>
          </w:tcPr>
          <w:p w14:paraId="0BC99C7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7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C7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w:t>
            </w:r>
          </w:p>
        </w:tc>
        <w:tc>
          <w:tcPr>
            <w:tcW w:w="0" w:type="auto"/>
            <w:shd w:val="clear" w:color="auto" w:fill="auto"/>
            <w:vAlign w:val="bottom"/>
          </w:tcPr>
          <w:p w14:paraId="0BC99C7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8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C8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C8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8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C8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C85" w14:textId="77777777" w:rsidR="009F0928" w:rsidRDefault="009F0928">
            <w:pPr>
              <w:textAlignment w:val="bottom"/>
              <w:rPr>
                <w:rFonts w:ascii="Times New Roman" w:hAnsi="Times New Roman"/>
                <w:sz w:val="20"/>
                <w:szCs w:val="20"/>
              </w:rPr>
            </w:pPr>
          </w:p>
        </w:tc>
      </w:tr>
      <w:tr w:rsidR="009F0928" w14:paraId="0BC99C93" w14:textId="77777777">
        <w:tc>
          <w:tcPr>
            <w:tcW w:w="0" w:type="auto"/>
            <w:shd w:val="clear" w:color="auto" w:fill="E2E2E2"/>
            <w:tcMar>
              <w:top w:w="40" w:type="dxa"/>
              <w:left w:w="720" w:type="dxa"/>
              <w:bottom w:w="40" w:type="dxa"/>
              <w:right w:w="40" w:type="dxa"/>
            </w:tcMar>
            <w:vAlign w:val="bottom"/>
          </w:tcPr>
          <w:p w14:paraId="0BC99C87" w14:textId="77777777" w:rsidR="009F0928" w:rsidRDefault="002112BD">
            <w:pPr>
              <w:textAlignment w:val="bottom"/>
              <w:rPr>
                <w:rFonts w:ascii="Times New Roman" w:hAnsi="Times New Roman"/>
                <w:sz w:val="18"/>
                <w:szCs w:val="18"/>
              </w:rPr>
            </w:pPr>
            <w:r>
              <w:rPr>
                <w:rFonts w:ascii="Arial" w:eastAsia="宋体" w:hAnsi="Arial" w:cs="Arial"/>
                <w:sz w:val="18"/>
                <w:szCs w:val="18"/>
              </w:rPr>
              <w:t>Corporate debt securities</w:t>
            </w:r>
          </w:p>
        </w:tc>
        <w:tc>
          <w:tcPr>
            <w:tcW w:w="0" w:type="auto"/>
            <w:gridSpan w:val="2"/>
            <w:shd w:val="clear" w:color="auto" w:fill="E2E2E2"/>
            <w:tcMar>
              <w:top w:w="40" w:type="dxa"/>
              <w:left w:w="40" w:type="dxa"/>
              <w:bottom w:w="40" w:type="dxa"/>
            </w:tcMar>
            <w:vAlign w:val="bottom"/>
          </w:tcPr>
          <w:p w14:paraId="0BC99C8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2,606</w:t>
            </w:r>
          </w:p>
        </w:tc>
        <w:tc>
          <w:tcPr>
            <w:tcW w:w="0" w:type="auto"/>
            <w:shd w:val="clear" w:color="auto" w:fill="E2E2E2"/>
            <w:vAlign w:val="bottom"/>
          </w:tcPr>
          <w:p w14:paraId="0BC99C8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C8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C8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9C8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C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C8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2,606</w:t>
            </w:r>
          </w:p>
        </w:tc>
        <w:tc>
          <w:tcPr>
            <w:tcW w:w="0" w:type="auto"/>
            <w:shd w:val="clear" w:color="auto" w:fill="E2E2E2"/>
            <w:vAlign w:val="bottom"/>
          </w:tcPr>
          <w:p w14:paraId="0BC99C8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C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C9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9C92" w14:textId="77777777" w:rsidR="009F0928" w:rsidRDefault="009F0928">
            <w:pPr>
              <w:textAlignment w:val="bottom"/>
              <w:rPr>
                <w:rFonts w:ascii="Times New Roman" w:hAnsi="Times New Roman"/>
                <w:sz w:val="20"/>
                <w:szCs w:val="20"/>
              </w:rPr>
            </w:pPr>
          </w:p>
        </w:tc>
      </w:tr>
      <w:tr w:rsidR="009F0928" w14:paraId="0BC99CA0" w14:textId="77777777">
        <w:tc>
          <w:tcPr>
            <w:tcW w:w="0" w:type="auto"/>
            <w:shd w:val="clear" w:color="auto" w:fill="auto"/>
            <w:tcMar>
              <w:top w:w="40" w:type="dxa"/>
              <w:left w:w="720" w:type="dxa"/>
              <w:bottom w:w="40" w:type="dxa"/>
              <w:right w:w="40" w:type="dxa"/>
            </w:tcMar>
            <w:vAlign w:val="bottom"/>
          </w:tcPr>
          <w:p w14:paraId="0BC99C94" w14:textId="77777777" w:rsidR="009F0928" w:rsidRDefault="002112BD">
            <w:pPr>
              <w:textAlignment w:val="bottom"/>
              <w:rPr>
                <w:rFonts w:ascii="Times New Roman" w:hAnsi="Times New Roman"/>
                <w:sz w:val="18"/>
                <w:szCs w:val="18"/>
              </w:rPr>
            </w:pPr>
            <w:r>
              <w:rPr>
                <w:rFonts w:ascii="Arial" w:eastAsia="宋体" w:hAnsi="Arial" w:cs="Arial"/>
                <w:sz w:val="18"/>
                <w:szCs w:val="18"/>
              </w:rPr>
              <w:t>Government and agency securities</w:t>
            </w:r>
          </w:p>
        </w:tc>
        <w:tc>
          <w:tcPr>
            <w:tcW w:w="0" w:type="auto"/>
            <w:gridSpan w:val="2"/>
            <w:shd w:val="clear" w:color="auto" w:fill="auto"/>
            <w:tcMar>
              <w:top w:w="40" w:type="dxa"/>
              <w:left w:w="40" w:type="dxa"/>
              <w:bottom w:w="40" w:type="dxa"/>
            </w:tcMar>
            <w:vAlign w:val="bottom"/>
          </w:tcPr>
          <w:p w14:paraId="0BC99C9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90</w:t>
            </w:r>
          </w:p>
        </w:tc>
        <w:tc>
          <w:tcPr>
            <w:tcW w:w="0" w:type="auto"/>
            <w:shd w:val="clear" w:color="auto" w:fill="auto"/>
            <w:vAlign w:val="bottom"/>
          </w:tcPr>
          <w:p w14:paraId="0BC99C9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C9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C9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9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C9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90</w:t>
            </w:r>
          </w:p>
        </w:tc>
        <w:tc>
          <w:tcPr>
            <w:tcW w:w="0" w:type="auto"/>
            <w:shd w:val="clear" w:color="auto" w:fill="auto"/>
            <w:vAlign w:val="bottom"/>
          </w:tcPr>
          <w:p w14:paraId="0BC99C9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9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C9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C9F" w14:textId="77777777" w:rsidR="009F0928" w:rsidRDefault="009F0928">
            <w:pPr>
              <w:textAlignment w:val="bottom"/>
              <w:rPr>
                <w:rFonts w:ascii="Times New Roman" w:hAnsi="Times New Roman"/>
                <w:sz w:val="20"/>
                <w:szCs w:val="20"/>
              </w:rPr>
            </w:pPr>
          </w:p>
        </w:tc>
      </w:tr>
      <w:tr w:rsidR="009F0928" w14:paraId="0BC99CAD" w14:textId="77777777">
        <w:tc>
          <w:tcPr>
            <w:tcW w:w="0" w:type="auto"/>
            <w:shd w:val="clear" w:color="auto" w:fill="E2E2E2"/>
            <w:tcMar>
              <w:top w:w="40" w:type="dxa"/>
              <w:left w:w="40" w:type="dxa"/>
              <w:bottom w:w="40" w:type="dxa"/>
              <w:right w:w="40" w:type="dxa"/>
            </w:tcMar>
            <w:vAlign w:val="bottom"/>
          </w:tcPr>
          <w:p w14:paraId="0BC99CA1"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short-term investments</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CA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2,713</w:t>
            </w:r>
          </w:p>
        </w:tc>
        <w:tc>
          <w:tcPr>
            <w:tcW w:w="0" w:type="auto"/>
            <w:tcBorders>
              <w:top w:val="single" w:sz="8" w:space="0" w:color="000000"/>
              <w:bottom w:val="single" w:sz="8" w:space="0" w:color="000000"/>
            </w:tcBorders>
            <w:shd w:val="clear" w:color="auto" w:fill="E2E2E2"/>
            <w:vAlign w:val="bottom"/>
          </w:tcPr>
          <w:p w14:paraId="0BC99CA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CA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CA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w:t>
            </w:r>
          </w:p>
        </w:tc>
        <w:tc>
          <w:tcPr>
            <w:tcW w:w="0" w:type="auto"/>
            <w:tcBorders>
              <w:top w:val="single" w:sz="8" w:space="0" w:color="000000"/>
              <w:bottom w:val="single" w:sz="8" w:space="0" w:color="000000"/>
            </w:tcBorders>
            <w:shd w:val="clear" w:color="auto" w:fill="E2E2E2"/>
            <w:vAlign w:val="bottom"/>
          </w:tcPr>
          <w:p w14:paraId="0BC99CA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CA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CA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2,696</w:t>
            </w:r>
          </w:p>
        </w:tc>
        <w:tc>
          <w:tcPr>
            <w:tcW w:w="0" w:type="auto"/>
            <w:tcBorders>
              <w:top w:val="single" w:sz="8" w:space="0" w:color="000000"/>
              <w:bottom w:val="single" w:sz="8" w:space="0" w:color="000000"/>
            </w:tcBorders>
            <w:shd w:val="clear" w:color="auto" w:fill="E2E2E2"/>
            <w:vAlign w:val="bottom"/>
          </w:tcPr>
          <w:p w14:paraId="0BC99CA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CA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CA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E2E2E2"/>
            <w:vAlign w:val="bottom"/>
          </w:tcPr>
          <w:p w14:paraId="0BC99CAC" w14:textId="77777777" w:rsidR="009F0928" w:rsidRDefault="009F0928">
            <w:pPr>
              <w:textAlignment w:val="bottom"/>
              <w:rPr>
                <w:rFonts w:ascii="Times New Roman" w:hAnsi="Times New Roman"/>
                <w:sz w:val="20"/>
                <w:szCs w:val="20"/>
              </w:rPr>
            </w:pPr>
          </w:p>
        </w:tc>
      </w:tr>
      <w:tr w:rsidR="009F0928" w14:paraId="0BC99CBA" w14:textId="77777777">
        <w:tc>
          <w:tcPr>
            <w:tcW w:w="0" w:type="auto"/>
            <w:shd w:val="clear" w:color="auto" w:fill="auto"/>
            <w:tcMar>
              <w:top w:w="40" w:type="dxa"/>
              <w:left w:w="40" w:type="dxa"/>
              <w:bottom w:w="40" w:type="dxa"/>
              <w:right w:w="40" w:type="dxa"/>
            </w:tcMar>
            <w:vAlign w:val="bottom"/>
          </w:tcPr>
          <w:p w14:paraId="0BC99CAE" w14:textId="77777777" w:rsidR="009F0928" w:rsidRDefault="002112BD">
            <w:pPr>
              <w:textAlignment w:val="bottom"/>
              <w:rPr>
                <w:rFonts w:ascii="Times New Roman" w:hAnsi="Times New Roman"/>
                <w:sz w:val="18"/>
                <w:szCs w:val="18"/>
              </w:rPr>
            </w:pPr>
            <w:r>
              <w:rPr>
                <w:rFonts w:ascii="Arial" w:eastAsia="宋体" w:hAnsi="Arial" w:cs="Arial"/>
                <w:sz w:val="18"/>
                <w:szCs w:val="18"/>
              </w:rPr>
              <w:t>Derivatives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9CA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262</w:t>
            </w:r>
          </w:p>
        </w:tc>
        <w:tc>
          <w:tcPr>
            <w:tcW w:w="0" w:type="auto"/>
            <w:tcBorders>
              <w:top w:val="single" w:sz="8" w:space="0" w:color="000000"/>
              <w:bottom w:val="single" w:sz="8" w:space="0" w:color="000000"/>
            </w:tcBorders>
            <w:shd w:val="clear" w:color="auto" w:fill="auto"/>
            <w:vAlign w:val="bottom"/>
          </w:tcPr>
          <w:p w14:paraId="0BC99CB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B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9CB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auto"/>
            <w:vAlign w:val="bottom"/>
          </w:tcPr>
          <w:p w14:paraId="0BC99CB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9CB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114</w:t>
            </w:r>
          </w:p>
        </w:tc>
        <w:tc>
          <w:tcPr>
            <w:tcW w:w="0" w:type="auto"/>
            <w:tcBorders>
              <w:top w:val="single" w:sz="8" w:space="0" w:color="000000"/>
              <w:bottom w:val="single" w:sz="8" w:space="0" w:color="000000"/>
            </w:tcBorders>
            <w:shd w:val="clear" w:color="auto" w:fill="auto"/>
            <w:vAlign w:val="bottom"/>
          </w:tcPr>
          <w:p w14:paraId="0BC99CB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B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9CB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148</w:t>
            </w:r>
          </w:p>
        </w:tc>
        <w:tc>
          <w:tcPr>
            <w:tcW w:w="0" w:type="auto"/>
            <w:tcBorders>
              <w:top w:val="single" w:sz="8" w:space="0" w:color="000000"/>
              <w:bottom w:val="single" w:sz="8" w:space="0" w:color="000000"/>
            </w:tcBorders>
            <w:shd w:val="clear" w:color="auto" w:fill="auto"/>
            <w:vAlign w:val="bottom"/>
          </w:tcPr>
          <w:p w14:paraId="0BC99CB9" w14:textId="77777777" w:rsidR="009F0928" w:rsidRDefault="009F0928">
            <w:pPr>
              <w:textAlignment w:val="bottom"/>
              <w:rPr>
                <w:rFonts w:ascii="Times New Roman" w:hAnsi="Times New Roman"/>
                <w:sz w:val="20"/>
                <w:szCs w:val="20"/>
              </w:rPr>
            </w:pPr>
          </w:p>
        </w:tc>
      </w:tr>
      <w:tr w:rsidR="009F0928" w14:paraId="0BC99CC3" w14:textId="77777777">
        <w:tc>
          <w:tcPr>
            <w:tcW w:w="0" w:type="auto"/>
            <w:shd w:val="clear" w:color="auto" w:fill="E2E2E2"/>
            <w:tcMar>
              <w:top w:w="40" w:type="dxa"/>
              <w:left w:w="40" w:type="dxa"/>
              <w:bottom w:w="40" w:type="dxa"/>
              <w:right w:w="40" w:type="dxa"/>
            </w:tcMar>
            <w:vAlign w:val="bottom"/>
          </w:tcPr>
          <w:p w14:paraId="0BC99CBB" w14:textId="77777777" w:rsidR="009F0928" w:rsidRDefault="002112BD">
            <w:pPr>
              <w:textAlignment w:val="bottom"/>
              <w:rPr>
                <w:rFonts w:ascii="Times New Roman" w:hAnsi="Times New Roman"/>
                <w:sz w:val="18"/>
                <w:szCs w:val="18"/>
              </w:rPr>
            </w:pPr>
            <w:r>
              <w:rPr>
                <w:rFonts w:ascii="Arial" w:eastAsia="宋体" w:hAnsi="Arial" w:cs="Arial"/>
                <w:sz w:val="18"/>
                <w:szCs w:val="18"/>
              </w:rPr>
              <w:t>Long-term investments:</w:t>
            </w:r>
          </w:p>
        </w:tc>
        <w:tc>
          <w:tcPr>
            <w:tcW w:w="0" w:type="auto"/>
            <w:gridSpan w:val="3"/>
            <w:shd w:val="clear" w:color="auto" w:fill="E2E2E2"/>
            <w:tcMar>
              <w:top w:w="40" w:type="dxa"/>
              <w:left w:w="40" w:type="dxa"/>
              <w:bottom w:w="40" w:type="dxa"/>
              <w:right w:w="40" w:type="dxa"/>
            </w:tcMar>
            <w:vAlign w:val="bottom"/>
          </w:tcPr>
          <w:p w14:paraId="0BC99CB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CB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CB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CB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C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CC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CC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CD0" w14:textId="77777777">
        <w:tc>
          <w:tcPr>
            <w:tcW w:w="0" w:type="auto"/>
            <w:shd w:val="clear" w:color="auto" w:fill="auto"/>
            <w:tcMar>
              <w:top w:w="40" w:type="dxa"/>
              <w:left w:w="720" w:type="dxa"/>
              <w:bottom w:w="40" w:type="dxa"/>
              <w:right w:w="40" w:type="dxa"/>
            </w:tcMar>
            <w:vAlign w:val="bottom"/>
          </w:tcPr>
          <w:p w14:paraId="0BC99CC4" w14:textId="77777777" w:rsidR="009F0928" w:rsidRDefault="002112BD">
            <w:pPr>
              <w:textAlignment w:val="bottom"/>
              <w:rPr>
                <w:rFonts w:ascii="Times New Roman" w:hAnsi="Times New Roman"/>
                <w:sz w:val="18"/>
                <w:szCs w:val="18"/>
              </w:rPr>
            </w:pPr>
            <w:r>
              <w:rPr>
                <w:rFonts w:ascii="Arial" w:eastAsia="宋体" w:hAnsi="Arial" w:cs="Arial"/>
                <w:sz w:val="18"/>
                <w:szCs w:val="18"/>
              </w:rPr>
              <w:t>Corporate debt securities</w:t>
            </w:r>
          </w:p>
        </w:tc>
        <w:tc>
          <w:tcPr>
            <w:tcW w:w="0" w:type="auto"/>
            <w:gridSpan w:val="2"/>
            <w:shd w:val="clear" w:color="auto" w:fill="auto"/>
            <w:tcMar>
              <w:top w:w="40" w:type="dxa"/>
              <w:left w:w="40" w:type="dxa"/>
              <w:bottom w:w="40" w:type="dxa"/>
            </w:tcMar>
            <w:vAlign w:val="bottom"/>
          </w:tcPr>
          <w:p w14:paraId="0BC99CC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3,635</w:t>
            </w:r>
          </w:p>
        </w:tc>
        <w:tc>
          <w:tcPr>
            <w:tcW w:w="0" w:type="auto"/>
            <w:shd w:val="clear" w:color="auto" w:fill="auto"/>
            <w:vAlign w:val="bottom"/>
          </w:tcPr>
          <w:p w14:paraId="0BC99CC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C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CC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CC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C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CC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3,635</w:t>
            </w:r>
          </w:p>
        </w:tc>
        <w:tc>
          <w:tcPr>
            <w:tcW w:w="0" w:type="auto"/>
            <w:shd w:val="clear" w:color="auto" w:fill="auto"/>
            <w:vAlign w:val="bottom"/>
          </w:tcPr>
          <w:p w14:paraId="0BC99CC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C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CC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CCF" w14:textId="77777777" w:rsidR="009F0928" w:rsidRDefault="009F0928">
            <w:pPr>
              <w:textAlignment w:val="bottom"/>
              <w:rPr>
                <w:rFonts w:ascii="Times New Roman" w:hAnsi="Times New Roman"/>
                <w:sz w:val="20"/>
                <w:szCs w:val="20"/>
              </w:rPr>
            </w:pPr>
          </w:p>
        </w:tc>
      </w:tr>
      <w:tr w:rsidR="009F0928" w14:paraId="0BC99CDD" w14:textId="77777777">
        <w:tc>
          <w:tcPr>
            <w:tcW w:w="0" w:type="auto"/>
            <w:shd w:val="clear" w:color="auto" w:fill="E2E2E2"/>
            <w:tcMar>
              <w:top w:w="40" w:type="dxa"/>
              <w:left w:w="40" w:type="dxa"/>
              <w:bottom w:w="40" w:type="dxa"/>
              <w:right w:w="40" w:type="dxa"/>
            </w:tcMar>
            <w:vAlign w:val="bottom"/>
          </w:tcPr>
          <w:p w14:paraId="0BC99CD1"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Total </w:t>
            </w:r>
            <w:r>
              <w:rPr>
                <w:rFonts w:ascii="Arial" w:eastAsia="宋体" w:hAnsi="Arial" w:cs="Arial"/>
                <w:sz w:val="18"/>
                <w:szCs w:val="18"/>
              </w:rPr>
              <w:t>long-term investments</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CD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3,635</w:t>
            </w:r>
          </w:p>
        </w:tc>
        <w:tc>
          <w:tcPr>
            <w:tcW w:w="0" w:type="auto"/>
            <w:tcBorders>
              <w:top w:val="single" w:sz="8" w:space="0" w:color="000000"/>
              <w:bottom w:val="single" w:sz="8" w:space="0" w:color="000000"/>
            </w:tcBorders>
            <w:shd w:val="clear" w:color="auto" w:fill="E2E2E2"/>
            <w:vAlign w:val="bottom"/>
          </w:tcPr>
          <w:p w14:paraId="0BC99CD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CD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CD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E2E2E2"/>
            <w:vAlign w:val="bottom"/>
          </w:tcPr>
          <w:p w14:paraId="0BC99CD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CD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CD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3,635</w:t>
            </w:r>
          </w:p>
        </w:tc>
        <w:tc>
          <w:tcPr>
            <w:tcW w:w="0" w:type="auto"/>
            <w:tcBorders>
              <w:top w:val="single" w:sz="8" w:space="0" w:color="000000"/>
              <w:bottom w:val="single" w:sz="8" w:space="0" w:color="000000"/>
            </w:tcBorders>
            <w:shd w:val="clear" w:color="auto" w:fill="E2E2E2"/>
            <w:vAlign w:val="bottom"/>
          </w:tcPr>
          <w:p w14:paraId="0BC99CD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CD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9CD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E2E2E2"/>
            <w:vAlign w:val="bottom"/>
          </w:tcPr>
          <w:p w14:paraId="0BC99CDC" w14:textId="77777777" w:rsidR="009F0928" w:rsidRDefault="009F0928">
            <w:pPr>
              <w:textAlignment w:val="bottom"/>
              <w:rPr>
                <w:rFonts w:ascii="Times New Roman" w:hAnsi="Times New Roman"/>
                <w:sz w:val="20"/>
                <w:szCs w:val="20"/>
              </w:rPr>
            </w:pPr>
          </w:p>
        </w:tc>
      </w:tr>
      <w:tr w:rsidR="009F0928" w14:paraId="0BC99CEE" w14:textId="77777777">
        <w:tc>
          <w:tcPr>
            <w:tcW w:w="0" w:type="auto"/>
            <w:shd w:val="clear" w:color="auto" w:fill="auto"/>
            <w:tcMar>
              <w:top w:w="40" w:type="dxa"/>
              <w:left w:w="40" w:type="dxa"/>
              <w:bottom w:w="40" w:type="dxa"/>
              <w:right w:w="40" w:type="dxa"/>
            </w:tcMar>
            <w:vAlign w:val="bottom"/>
          </w:tcPr>
          <w:p w14:paraId="0BC99CDE"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financial assets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CD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CE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8,812</w:t>
            </w:r>
          </w:p>
        </w:tc>
        <w:tc>
          <w:tcPr>
            <w:tcW w:w="0" w:type="auto"/>
            <w:tcBorders>
              <w:top w:val="single" w:sz="8" w:space="0" w:color="000000"/>
              <w:bottom w:val="double" w:sz="6" w:space="0" w:color="000000"/>
            </w:tcBorders>
            <w:shd w:val="clear" w:color="auto" w:fill="auto"/>
            <w:vAlign w:val="bottom"/>
          </w:tcPr>
          <w:p w14:paraId="0BC99CE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E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CE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CE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2,069</w:t>
            </w:r>
          </w:p>
        </w:tc>
        <w:tc>
          <w:tcPr>
            <w:tcW w:w="0" w:type="auto"/>
            <w:tcBorders>
              <w:top w:val="single" w:sz="8" w:space="0" w:color="000000"/>
              <w:bottom w:val="double" w:sz="6" w:space="0" w:color="000000"/>
            </w:tcBorders>
            <w:shd w:val="clear" w:color="auto" w:fill="auto"/>
            <w:vAlign w:val="bottom"/>
          </w:tcPr>
          <w:p w14:paraId="0BC99CE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CE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CE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6,595</w:t>
            </w:r>
          </w:p>
        </w:tc>
        <w:tc>
          <w:tcPr>
            <w:tcW w:w="0" w:type="auto"/>
            <w:tcBorders>
              <w:top w:val="single" w:sz="8" w:space="0" w:color="000000"/>
              <w:bottom w:val="double" w:sz="6" w:space="0" w:color="000000"/>
            </w:tcBorders>
            <w:shd w:val="clear" w:color="auto" w:fill="auto"/>
            <w:vAlign w:val="bottom"/>
          </w:tcPr>
          <w:p w14:paraId="0BC99CE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CE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CE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CE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148</w:t>
            </w:r>
          </w:p>
        </w:tc>
        <w:tc>
          <w:tcPr>
            <w:tcW w:w="0" w:type="auto"/>
            <w:tcBorders>
              <w:top w:val="single" w:sz="8" w:space="0" w:color="000000"/>
              <w:bottom w:val="double" w:sz="6" w:space="0" w:color="000000"/>
            </w:tcBorders>
            <w:shd w:val="clear" w:color="auto" w:fill="auto"/>
            <w:vAlign w:val="bottom"/>
          </w:tcPr>
          <w:p w14:paraId="0BC99CED" w14:textId="77777777" w:rsidR="009F0928" w:rsidRDefault="009F0928">
            <w:pPr>
              <w:textAlignment w:val="bottom"/>
              <w:rPr>
                <w:rFonts w:ascii="Times New Roman" w:hAnsi="Times New Roman"/>
                <w:sz w:val="20"/>
                <w:szCs w:val="20"/>
              </w:rPr>
            </w:pPr>
          </w:p>
        </w:tc>
      </w:tr>
      <w:tr w:rsidR="009F0928" w14:paraId="0BC99CF7" w14:textId="77777777">
        <w:tc>
          <w:tcPr>
            <w:tcW w:w="0" w:type="auto"/>
            <w:shd w:val="clear" w:color="auto" w:fill="E2E2E2"/>
            <w:tcMar>
              <w:top w:w="40" w:type="dxa"/>
              <w:left w:w="40" w:type="dxa"/>
              <w:bottom w:w="40" w:type="dxa"/>
              <w:right w:w="40" w:type="dxa"/>
            </w:tcMar>
            <w:vAlign w:val="bottom"/>
          </w:tcPr>
          <w:p w14:paraId="0BC99CE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CF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CF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CF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CF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CF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CF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C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D00" w14:textId="77777777">
        <w:tc>
          <w:tcPr>
            <w:tcW w:w="0" w:type="auto"/>
            <w:shd w:val="clear" w:color="auto" w:fill="auto"/>
            <w:tcMar>
              <w:top w:w="40" w:type="dxa"/>
              <w:left w:w="40" w:type="dxa"/>
              <w:bottom w:w="40" w:type="dxa"/>
              <w:right w:w="40" w:type="dxa"/>
            </w:tcMar>
            <w:vAlign w:val="bottom"/>
          </w:tcPr>
          <w:p w14:paraId="0BC99CF8" w14:textId="77777777" w:rsidR="009F0928" w:rsidRDefault="002112BD">
            <w:pPr>
              <w:textAlignment w:val="bottom"/>
              <w:rPr>
                <w:rFonts w:ascii="Times New Roman" w:hAnsi="Times New Roman"/>
                <w:sz w:val="18"/>
                <w:szCs w:val="18"/>
              </w:rPr>
            </w:pPr>
            <w:r>
              <w:rPr>
                <w:rFonts w:ascii="Arial" w:eastAsia="宋体" w:hAnsi="Arial" w:cs="Arial"/>
                <w:b/>
                <w:bCs/>
                <w:i/>
                <w:iCs/>
                <w:sz w:val="18"/>
                <w:szCs w:val="18"/>
              </w:rPr>
              <w:t>Liabilities:</w:t>
            </w:r>
          </w:p>
        </w:tc>
        <w:tc>
          <w:tcPr>
            <w:tcW w:w="0" w:type="auto"/>
            <w:gridSpan w:val="3"/>
            <w:shd w:val="clear" w:color="auto" w:fill="auto"/>
            <w:tcMar>
              <w:top w:w="40" w:type="dxa"/>
              <w:left w:w="40" w:type="dxa"/>
              <w:bottom w:w="40" w:type="dxa"/>
              <w:right w:w="40" w:type="dxa"/>
            </w:tcMar>
            <w:vAlign w:val="bottom"/>
          </w:tcPr>
          <w:p w14:paraId="0BC99C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CF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CF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CF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CF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CF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CF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D11" w14:textId="77777777">
        <w:tc>
          <w:tcPr>
            <w:tcW w:w="0" w:type="auto"/>
            <w:shd w:val="clear" w:color="auto" w:fill="E2E2E2"/>
            <w:tcMar>
              <w:top w:w="40" w:type="dxa"/>
              <w:left w:w="40" w:type="dxa"/>
              <w:bottom w:w="40" w:type="dxa"/>
              <w:right w:w="40" w:type="dxa"/>
            </w:tcMar>
            <w:vAlign w:val="bottom"/>
          </w:tcPr>
          <w:p w14:paraId="0BC99D01" w14:textId="77777777" w:rsidR="009F0928" w:rsidRDefault="002112BD">
            <w:pPr>
              <w:textAlignment w:val="bottom"/>
              <w:rPr>
                <w:rFonts w:ascii="Times New Roman" w:hAnsi="Times New Roman"/>
                <w:sz w:val="18"/>
                <w:szCs w:val="18"/>
              </w:rPr>
            </w:pPr>
            <w:r>
              <w:rPr>
                <w:rFonts w:ascii="Arial" w:eastAsia="宋体" w:hAnsi="Arial" w:cs="Arial"/>
                <w:sz w:val="18"/>
                <w:szCs w:val="18"/>
              </w:rPr>
              <w:t>Derivatives</w:t>
            </w:r>
          </w:p>
        </w:tc>
        <w:tc>
          <w:tcPr>
            <w:tcW w:w="0" w:type="auto"/>
            <w:tcBorders>
              <w:bottom w:val="double" w:sz="6" w:space="0" w:color="000000"/>
            </w:tcBorders>
            <w:shd w:val="clear" w:color="auto" w:fill="E2E2E2"/>
            <w:tcMar>
              <w:top w:w="40" w:type="dxa"/>
              <w:left w:w="40" w:type="dxa"/>
              <w:bottom w:w="40" w:type="dxa"/>
            </w:tcMar>
            <w:vAlign w:val="bottom"/>
          </w:tcPr>
          <w:p w14:paraId="0BC99D0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9D0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48</w:t>
            </w:r>
          </w:p>
        </w:tc>
        <w:tc>
          <w:tcPr>
            <w:tcW w:w="0" w:type="auto"/>
            <w:tcBorders>
              <w:bottom w:val="double" w:sz="6" w:space="0" w:color="000000"/>
            </w:tcBorders>
            <w:shd w:val="clear" w:color="auto" w:fill="E2E2E2"/>
            <w:vAlign w:val="bottom"/>
          </w:tcPr>
          <w:p w14:paraId="0BC99D0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D0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9D0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9D0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vAlign w:val="bottom"/>
          </w:tcPr>
          <w:p w14:paraId="0BC99D0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D0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9D0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9D0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48</w:t>
            </w:r>
          </w:p>
        </w:tc>
        <w:tc>
          <w:tcPr>
            <w:tcW w:w="0" w:type="auto"/>
            <w:tcBorders>
              <w:bottom w:val="double" w:sz="6" w:space="0" w:color="000000"/>
            </w:tcBorders>
            <w:shd w:val="clear" w:color="auto" w:fill="E2E2E2"/>
            <w:vAlign w:val="bottom"/>
          </w:tcPr>
          <w:p w14:paraId="0BC99D0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D0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9D0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9D0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vAlign w:val="bottom"/>
          </w:tcPr>
          <w:p w14:paraId="0BC99D10" w14:textId="77777777" w:rsidR="009F0928" w:rsidRDefault="009F0928">
            <w:pPr>
              <w:textAlignment w:val="bottom"/>
              <w:rPr>
                <w:rFonts w:ascii="Times New Roman" w:hAnsi="Times New Roman"/>
                <w:sz w:val="20"/>
                <w:szCs w:val="20"/>
              </w:rPr>
            </w:pPr>
          </w:p>
        </w:tc>
      </w:tr>
    </w:tbl>
    <w:p w14:paraId="0BC99D12"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w:t>
      </w:r>
    </w:p>
    <w:p w14:paraId="0BC99D1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Our financial assets and liabilities are valued using market prices on both active markets (Level 1), less active markets (Level 2) and little or no </w:t>
      </w:r>
      <w:r>
        <w:rPr>
          <w:rFonts w:ascii="Arial" w:eastAsia="宋体" w:hAnsi="Arial" w:cs="Arial"/>
          <w:sz w:val="20"/>
          <w:szCs w:val="20"/>
        </w:rPr>
        <w:t>market activity (Level 3). Level 1 instrument valuations are obtained from real-time quotes for transactions in active exchange markets involving identical assets. Level 2 instrument valuations are obtained from readily available pricing sources for compar</w:t>
      </w:r>
      <w:r>
        <w:rPr>
          <w:rFonts w:ascii="Arial" w:eastAsia="宋体" w:hAnsi="Arial" w:cs="Arial"/>
          <w:sz w:val="20"/>
          <w:szCs w:val="20"/>
        </w:rPr>
        <w:t>able instruments, identical instruments in less active markets, or models using market observable inputs. Level 3 instrument valuations typically reflect management’s estimate of assumptions that market participants would use in pricing the asset or liabil</w:t>
      </w:r>
      <w:r>
        <w:rPr>
          <w:rFonts w:ascii="Arial" w:eastAsia="宋体" w:hAnsi="Arial" w:cs="Arial"/>
          <w:sz w:val="20"/>
          <w:szCs w:val="20"/>
        </w:rPr>
        <w:t>ity. We did not have any transfers of financial instruments between valuation levels during 2019 or 2018.</w:t>
      </w:r>
    </w:p>
    <w:p w14:paraId="0BC99D14" w14:textId="77777777" w:rsidR="009F0928" w:rsidRDefault="009F0928">
      <w:pPr>
        <w:spacing w:line="288" w:lineRule="auto"/>
        <w:ind w:firstLine="720"/>
        <w:jc w:val="both"/>
        <w:rPr>
          <w:rFonts w:ascii="Times New Roman" w:hAnsi="Times New Roman"/>
          <w:sz w:val="20"/>
          <w:szCs w:val="20"/>
        </w:rPr>
      </w:pPr>
    </w:p>
    <w:p w14:paraId="0BC99D1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majority of our derivative instruments are valued using pricing models that take into account the contract terms as well as multiple inputs where</w:t>
      </w:r>
      <w:r>
        <w:rPr>
          <w:rFonts w:ascii="Arial" w:eastAsia="宋体" w:hAnsi="Arial" w:cs="Arial"/>
          <w:sz w:val="20"/>
          <w:szCs w:val="20"/>
        </w:rPr>
        <w:t xml:space="preserve"> applicable, such as equity prices, interest rate yield curves, option volatility and currency rates. Our warrant, which is accounted for as a derivative instrument, is valued using a Black-Scholes model. Key assumptions used in the valuation include risk-</w:t>
      </w:r>
      <w:r>
        <w:rPr>
          <w:rFonts w:ascii="Arial" w:eastAsia="宋体" w:hAnsi="Arial" w:cs="Arial"/>
          <w:sz w:val="20"/>
          <w:szCs w:val="20"/>
        </w:rPr>
        <w:t>free interest rates; Adyen’s common stock price, equity volatility and common stock outstanding; exercise price; and details specific to the warrant. The value is also probability adjusted for management assumptions with respect to meeting the processing v</w:t>
      </w:r>
      <w:r>
        <w:rPr>
          <w:rFonts w:ascii="Arial" w:eastAsia="宋体" w:hAnsi="Arial" w:cs="Arial"/>
          <w:sz w:val="20"/>
          <w:szCs w:val="20"/>
        </w:rPr>
        <w:t>olume milestone targets. These assumptions and the probability of meeting processing volume milestone targets may have a significant impact on the value of the warrant. Refer to “Note 7 – Derivative Instruments” for further details on our derivative instru</w:t>
      </w:r>
      <w:r>
        <w:rPr>
          <w:rFonts w:ascii="Arial" w:eastAsia="宋体" w:hAnsi="Arial" w:cs="Arial"/>
          <w:sz w:val="20"/>
          <w:szCs w:val="20"/>
        </w:rPr>
        <w:t>ments.</w:t>
      </w:r>
    </w:p>
    <w:p w14:paraId="0BC99D16" w14:textId="77777777" w:rsidR="009F0928" w:rsidRDefault="009F0928">
      <w:pPr>
        <w:spacing w:line="288" w:lineRule="auto"/>
        <w:ind w:firstLine="720"/>
        <w:jc w:val="both"/>
        <w:rPr>
          <w:rFonts w:ascii="Times New Roman" w:hAnsi="Times New Roman"/>
          <w:sz w:val="20"/>
          <w:szCs w:val="20"/>
        </w:rPr>
      </w:pPr>
    </w:p>
    <w:p w14:paraId="0BC99D1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Other financial instruments, including accounts receivable and accounts payable, are carried at cost, which approximates their fair value because of the short-term nature of these instruments.</w:t>
      </w:r>
    </w:p>
    <w:p w14:paraId="0BC99D18" w14:textId="77777777" w:rsidR="009F0928" w:rsidRDefault="009F0928">
      <w:pPr>
        <w:spacing w:line="288" w:lineRule="auto"/>
        <w:ind w:firstLine="720"/>
        <w:jc w:val="both"/>
        <w:rPr>
          <w:rFonts w:ascii="Times New Roman" w:hAnsi="Times New Roman"/>
          <w:sz w:val="20"/>
          <w:szCs w:val="20"/>
        </w:rPr>
      </w:pPr>
    </w:p>
    <w:p w14:paraId="0BC99D19" w14:textId="77777777" w:rsidR="009F0928" w:rsidRDefault="002112BD">
      <w:pPr>
        <w:spacing w:line="288" w:lineRule="auto"/>
        <w:ind w:firstLine="720"/>
        <w:rPr>
          <w:rFonts w:ascii="Times New Roman" w:hAnsi="Times New Roman"/>
          <w:sz w:val="20"/>
          <w:szCs w:val="20"/>
        </w:rPr>
      </w:pPr>
      <w:r>
        <w:rPr>
          <w:rFonts w:ascii="Arial" w:eastAsia="宋体" w:hAnsi="Arial" w:cs="Arial"/>
          <w:sz w:val="20"/>
          <w:szCs w:val="20"/>
        </w:rPr>
        <w:t>The following table presents a reconciliation of the o</w:t>
      </w:r>
      <w:r>
        <w:rPr>
          <w:rFonts w:ascii="Arial" w:eastAsia="宋体" w:hAnsi="Arial" w:cs="Arial"/>
          <w:sz w:val="20"/>
          <w:szCs w:val="20"/>
        </w:rPr>
        <w:t>pening to closing balance of assets measured using significant unobservable inputs (Level 3) as of December 31, 2019 (in millions):</w:t>
      </w:r>
    </w:p>
    <w:p w14:paraId="0BC99D1A" w14:textId="77777777" w:rsidR="009F0928" w:rsidRDefault="009F0928">
      <w:pPr>
        <w:spacing w:line="288" w:lineRule="auto"/>
        <w:ind w:firstLine="720"/>
        <w:rPr>
          <w:rFonts w:ascii="Times New Roman" w:hAnsi="Times New Roman"/>
          <w:sz w:val="20"/>
          <w:szCs w:val="20"/>
        </w:rPr>
      </w:pPr>
    </w:p>
    <w:tbl>
      <w:tblPr>
        <w:tblW w:w="4824" w:type="pct"/>
        <w:jc w:val="center"/>
        <w:tblCellMar>
          <w:left w:w="0" w:type="dxa"/>
          <w:right w:w="0" w:type="dxa"/>
        </w:tblCellMar>
        <w:tblLook w:val="04A0" w:firstRow="1" w:lastRow="0" w:firstColumn="1" w:lastColumn="0" w:noHBand="0" w:noVBand="1"/>
      </w:tblPr>
      <w:tblGrid>
        <w:gridCol w:w="5172"/>
        <w:gridCol w:w="142"/>
        <w:gridCol w:w="1166"/>
        <w:gridCol w:w="65"/>
        <w:gridCol w:w="130"/>
        <w:gridCol w:w="142"/>
        <w:gridCol w:w="1147"/>
        <w:gridCol w:w="50"/>
      </w:tblGrid>
      <w:tr w:rsidR="009F0928" w14:paraId="0BC99D1C" w14:textId="77777777">
        <w:trPr>
          <w:jc w:val="center"/>
        </w:trPr>
        <w:tc>
          <w:tcPr>
            <w:tcW w:w="0" w:type="auto"/>
            <w:gridSpan w:val="8"/>
            <w:shd w:val="clear" w:color="auto" w:fill="auto"/>
            <w:vAlign w:val="center"/>
          </w:tcPr>
          <w:p w14:paraId="0BC99D1B" w14:textId="77777777" w:rsidR="009F0928" w:rsidRDefault="009F0928">
            <w:pPr>
              <w:rPr>
                <w:rFonts w:ascii="Times New Roman" w:hAnsi="Times New Roman"/>
                <w:sz w:val="20"/>
                <w:szCs w:val="20"/>
              </w:rPr>
            </w:pPr>
          </w:p>
        </w:tc>
      </w:tr>
      <w:tr w:rsidR="009F0928" w14:paraId="0BC99D25" w14:textId="77777777">
        <w:trPr>
          <w:jc w:val="center"/>
        </w:trPr>
        <w:tc>
          <w:tcPr>
            <w:tcW w:w="3250" w:type="pct"/>
            <w:shd w:val="clear" w:color="auto" w:fill="auto"/>
            <w:vAlign w:val="center"/>
          </w:tcPr>
          <w:p w14:paraId="0BC99D1D" w14:textId="77777777" w:rsidR="009F0928" w:rsidRDefault="009F0928">
            <w:pPr>
              <w:rPr>
                <w:rFonts w:ascii="Times New Roman" w:hAnsi="Times New Roman"/>
                <w:sz w:val="20"/>
                <w:szCs w:val="20"/>
              </w:rPr>
            </w:pPr>
          </w:p>
        </w:tc>
        <w:tc>
          <w:tcPr>
            <w:tcW w:w="50" w:type="pct"/>
            <w:shd w:val="clear" w:color="auto" w:fill="auto"/>
            <w:vAlign w:val="center"/>
          </w:tcPr>
          <w:p w14:paraId="0BC99D1E" w14:textId="77777777" w:rsidR="009F0928" w:rsidRDefault="009F0928">
            <w:pPr>
              <w:rPr>
                <w:rFonts w:ascii="Times New Roman" w:hAnsi="Times New Roman"/>
                <w:sz w:val="20"/>
                <w:szCs w:val="20"/>
              </w:rPr>
            </w:pPr>
          </w:p>
        </w:tc>
        <w:tc>
          <w:tcPr>
            <w:tcW w:w="750" w:type="pct"/>
            <w:shd w:val="clear" w:color="auto" w:fill="auto"/>
            <w:vAlign w:val="center"/>
          </w:tcPr>
          <w:p w14:paraId="0BC99D1F" w14:textId="77777777" w:rsidR="009F0928" w:rsidRDefault="009F0928">
            <w:pPr>
              <w:rPr>
                <w:rFonts w:ascii="Times New Roman" w:hAnsi="Times New Roman"/>
                <w:sz w:val="20"/>
                <w:szCs w:val="20"/>
              </w:rPr>
            </w:pPr>
          </w:p>
        </w:tc>
        <w:tc>
          <w:tcPr>
            <w:tcW w:w="50" w:type="pct"/>
            <w:shd w:val="clear" w:color="auto" w:fill="auto"/>
            <w:vAlign w:val="center"/>
          </w:tcPr>
          <w:p w14:paraId="0BC99D20" w14:textId="77777777" w:rsidR="009F0928" w:rsidRDefault="009F0928">
            <w:pPr>
              <w:rPr>
                <w:rFonts w:ascii="Times New Roman" w:hAnsi="Times New Roman"/>
                <w:sz w:val="20"/>
                <w:szCs w:val="20"/>
              </w:rPr>
            </w:pPr>
          </w:p>
        </w:tc>
        <w:tc>
          <w:tcPr>
            <w:tcW w:w="50" w:type="pct"/>
            <w:shd w:val="clear" w:color="auto" w:fill="auto"/>
            <w:vAlign w:val="center"/>
          </w:tcPr>
          <w:p w14:paraId="0BC99D21" w14:textId="77777777" w:rsidR="009F0928" w:rsidRDefault="009F0928">
            <w:pPr>
              <w:rPr>
                <w:rFonts w:ascii="Times New Roman" w:hAnsi="Times New Roman"/>
                <w:sz w:val="20"/>
                <w:szCs w:val="20"/>
              </w:rPr>
            </w:pPr>
          </w:p>
        </w:tc>
        <w:tc>
          <w:tcPr>
            <w:tcW w:w="50" w:type="pct"/>
            <w:shd w:val="clear" w:color="auto" w:fill="auto"/>
            <w:vAlign w:val="center"/>
          </w:tcPr>
          <w:p w14:paraId="0BC99D22" w14:textId="77777777" w:rsidR="009F0928" w:rsidRDefault="009F0928">
            <w:pPr>
              <w:rPr>
                <w:rFonts w:ascii="Times New Roman" w:hAnsi="Times New Roman"/>
                <w:sz w:val="20"/>
                <w:szCs w:val="20"/>
              </w:rPr>
            </w:pPr>
          </w:p>
        </w:tc>
        <w:tc>
          <w:tcPr>
            <w:tcW w:w="750" w:type="pct"/>
            <w:shd w:val="clear" w:color="auto" w:fill="auto"/>
            <w:vAlign w:val="center"/>
          </w:tcPr>
          <w:p w14:paraId="0BC99D23" w14:textId="77777777" w:rsidR="009F0928" w:rsidRDefault="009F0928">
            <w:pPr>
              <w:rPr>
                <w:rFonts w:ascii="Times New Roman" w:hAnsi="Times New Roman"/>
                <w:sz w:val="20"/>
                <w:szCs w:val="20"/>
              </w:rPr>
            </w:pPr>
          </w:p>
        </w:tc>
        <w:tc>
          <w:tcPr>
            <w:tcW w:w="50" w:type="pct"/>
            <w:shd w:val="clear" w:color="auto" w:fill="auto"/>
            <w:vAlign w:val="center"/>
          </w:tcPr>
          <w:p w14:paraId="0BC99D24" w14:textId="77777777" w:rsidR="009F0928" w:rsidRDefault="009F0928">
            <w:pPr>
              <w:rPr>
                <w:rFonts w:ascii="Times New Roman" w:hAnsi="Times New Roman"/>
                <w:sz w:val="20"/>
                <w:szCs w:val="20"/>
              </w:rPr>
            </w:pPr>
          </w:p>
        </w:tc>
      </w:tr>
      <w:tr w:rsidR="009F0928" w14:paraId="0BC99D2A" w14:textId="77777777">
        <w:trPr>
          <w:jc w:val="center"/>
        </w:trPr>
        <w:tc>
          <w:tcPr>
            <w:tcW w:w="0" w:type="auto"/>
            <w:shd w:val="clear" w:color="auto" w:fill="auto"/>
            <w:tcMar>
              <w:top w:w="40" w:type="dxa"/>
              <w:left w:w="40" w:type="dxa"/>
              <w:bottom w:w="40" w:type="dxa"/>
              <w:right w:w="40" w:type="dxa"/>
            </w:tcMar>
            <w:vAlign w:val="bottom"/>
          </w:tcPr>
          <w:p w14:paraId="0BC99D2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D2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December 31, </w:t>
            </w:r>
            <w:r>
              <w:rPr>
                <w:rFonts w:ascii="Arial" w:eastAsia="宋体" w:hAnsi="Arial" w:cs="Arial"/>
                <w:b/>
                <w:bCs/>
                <w:sz w:val="16"/>
                <w:szCs w:val="16"/>
              </w:rPr>
              <w:br/>
              <w:t>2019</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9D2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D29"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December 31, </w:t>
            </w:r>
            <w:r>
              <w:rPr>
                <w:rFonts w:ascii="Arial" w:eastAsia="宋体" w:hAnsi="Arial" w:cs="Arial"/>
                <w:b/>
                <w:bCs/>
                <w:sz w:val="16"/>
                <w:szCs w:val="16"/>
              </w:rPr>
              <w:br/>
              <w:t>2018</w:t>
            </w:r>
          </w:p>
        </w:tc>
      </w:tr>
      <w:tr w:rsidR="009F0928" w14:paraId="0BC99D33" w14:textId="77777777">
        <w:trPr>
          <w:jc w:val="center"/>
        </w:trPr>
        <w:tc>
          <w:tcPr>
            <w:tcW w:w="0" w:type="auto"/>
            <w:shd w:val="clear" w:color="auto" w:fill="E2E2E2"/>
            <w:tcMar>
              <w:top w:w="40" w:type="dxa"/>
              <w:left w:w="40" w:type="dxa"/>
              <w:bottom w:w="40" w:type="dxa"/>
              <w:right w:w="40" w:type="dxa"/>
            </w:tcMar>
            <w:vAlign w:val="bottom"/>
          </w:tcPr>
          <w:p w14:paraId="0BC99D2B" w14:textId="77777777" w:rsidR="009F0928" w:rsidRDefault="002112BD">
            <w:pPr>
              <w:textAlignment w:val="bottom"/>
              <w:rPr>
                <w:rFonts w:ascii="Times New Roman" w:hAnsi="Times New Roman"/>
                <w:sz w:val="18"/>
                <w:szCs w:val="18"/>
              </w:rPr>
            </w:pPr>
            <w:r>
              <w:rPr>
                <w:rFonts w:ascii="Arial" w:eastAsia="宋体" w:hAnsi="Arial" w:cs="Arial"/>
                <w:sz w:val="18"/>
                <w:szCs w:val="18"/>
              </w:rPr>
              <w:t>Opening balance as of January 1, 2019</w:t>
            </w:r>
          </w:p>
        </w:tc>
        <w:tc>
          <w:tcPr>
            <w:tcW w:w="0" w:type="auto"/>
            <w:tcBorders>
              <w:top w:val="single" w:sz="8" w:space="0" w:color="000000"/>
            </w:tcBorders>
            <w:shd w:val="clear" w:color="auto" w:fill="E2E2E2"/>
            <w:tcMar>
              <w:top w:w="40" w:type="dxa"/>
              <w:left w:w="40" w:type="dxa"/>
              <w:bottom w:w="40" w:type="dxa"/>
            </w:tcMar>
            <w:vAlign w:val="bottom"/>
          </w:tcPr>
          <w:p w14:paraId="0BC99D2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tcMar>
              <w:top w:w="40" w:type="dxa"/>
              <w:bottom w:w="40" w:type="dxa"/>
            </w:tcMar>
            <w:vAlign w:val="bottom"/>
          </w:tcPr>
          <w:p w14:paraId="0BC99D2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148</w:t>
            </w:r>
          </w:p>
        </w:tc>
        <w:tc>
          <w:tcPr>
            <w:tcW w:w="0" w:type="auto"/>
            <w:tcBorders>
              <w:top w:val="single" w:sz="8" w:space="0" w:color="000000"/>
            </w:tcBorders>
            <w:shd w:val="clear" w:color="auto" w:fill="E2E2E2"/>
            <w:vAlign w:val="bottom"/>
          </w:tcPr>
          <w:p w14:paraId="0BC99D2E" w14:textId="77777777" w:rsidR="009F0928" w:rsidRDefault="009F0928">
            <w:pPr>
              <w:textAlignment w:val="bottom"/>
              <w:rPr>
                <w:rFonts w:ascii="Times New Roman" w:hAnsi="Times New Roman"/>
                <w:sz w:val="20"/>
                <w:szCs w:val="20"/>
              </w:rPr>
            </w:pPr>
          </w:p>
        </w:tc>
        <w:tc>
          <w:tcPr>
            <w:tcW w:w="0" w:type="auto"/>
            <w:tcBorders>
              <w:top w:val="single" w:sz="8" w:space="0" w:color="000000"/>
            </w:tcBorders>
            <w:shd w:val="clear" w:color="auto" w:fill="E2E2E2"/>
            <w:tcMar>
              <w:top w:w="40" w:type="dxa"/>
              <w:left w:w="40" w:type="dxa"/>
              <w:bottom w:w="40" w:type="dxa"/>
              <w:right w:w="40" w:type="dxa"/>
            </w:tcMar>
            <w:vAlign w:val="bottom"/>
          </w:tcPr>
          <w:p w14:paraId="0BC99D2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9D3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tcMar>
              <w:top w:w="40" w:type="dxa"/>
              <w:bottom w:w="40" w:type="dxa"/>
            </w:tcMar>
            <w:vAlign w:val="bottom"/>
          </w:tcPr>
          <w:p w14:paraId="0BC99D3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vAlign w:val="bottom"/>
          </w:tcPr>
          <w:p w14:paraId="0BC99D32" w14:textId="77777777" w:rsidR="009F0928" w:rsidRDefault="009F0928">
            <w:pPr>
              <w:textAlignment w:val="bottom"/>
              <w:rPr>
                <w:rFonts w:ascii="Times New Roman" w:hAnsi="Times New Roman"/>
                <w:sz w:val="20"/>
                <w:szCs w:val="20"/>
              </w:rPr>
            </w:pPr>
          </w:p>
        </w:tc>
      </w:tr>
      <w:tr w:rsidR="009F0928" w14:paraId="0BC99D3A" w14:textId="77777777">
        <w:trPr>
          <w:jc w:val="center"/>
        </w:trPr>
        <w:tc>
          <w:tcPr>
            <w:tcW w:w="0" w:type="auto"/>
            <w:shd w:val="clear" w:color="auto" w:fill="auto"/>
            <w:tcMar>
              <w:top w:w="40" w:type="dxa"/>
              <w:left w:w="400" w:type="dxa"/>
              <w:bottom w:w="40" w:type="dxa"/>
              <w:right w:w="40" w:type="dxa"/>
            </w:tcMar>
            <w:vAlign w:val="bottom"/>
          </w:tcPr>
          <w:p w14:paraId="0BC99D34" w14:textId="77777777" w:rsidR="009F0928" w:rsidRDefault="002112BD">
            <w:pPr>
              <w:textAlignment w:val="bottom"/>
              <w:rPr>
                <w:rFonts w:ascii="Times New Roman" w:hAnsi="Times New Roman"/>
                <w:sz w:val="18"/>
                <w:szCs w:val="18"/>
              </w:rPr>
            </w:pPr>
            <w:r>
              <w:rPr>
                <w:rFonts w:ascii="Arial" w:eastAsia="宋体" w:hAnsi="Arial" w:cs="Arial"/>
                <w:sz w:val="18"/>
                <w:szCs w:val="18"/>
              </w:rPr>
              <w:t>Recognition of warrant</w:t>
            </w:r>
          </w:p>
        </w:tc>
        <w:tc>
          <w:tcPr>
            <w:tcW w:w="0" w:type="auto"/>
            <w:gridSpan w:val="2"/>
            <w:shd w:val="clear" w:color="auto" w:fill="auto"/>
            <w:tcMar>
              <w:top w:w="40" w:type="dxa"/>
              <w:left w:w="40" w:type="dxa"/>
              <w:bottom w:w="40" w:type="dxa"/>
            </w:tcMar>
            <w:vAlign w:val="bottom"/>
          </w:tcPr>
          <w:p w14:paraId="0BC99D3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9D3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D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D3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44</w:t>
            </w:r>
          </w:p>
        </w:tc>
        <w:tc>
          <w:tcPr>
            <w:tcW w:w="0" w:type="auto"/>
            <w:shd w:val="clear" w:color="auto" w:fill="auto"/>
            <w:vAlign w:val="bottom"/>
          </w:tcPr>
          <w:p w14:paraId="0BC99D39" w14:textId="77777777" w:rsidR="009F0928" w:rsidRDefault="009F0928">
            <w:pPr>
              <w:textAlignment w:val="bottom"/>
              <w:rPr>
                <w:rFonts w:ascii="Times New Roman" w:hAnsi="Times New Roman"/>
                <w:sz w:val="20"/>
                <w:szCs w:val="20"/>
              </w:rPr>
            </w:pPr>
          </w:p>
        </w:tc>
      </w:tr>
      <w:tr w:rsidR="009F0928" w14:paraId="0BC99D41" w14:textId="77777777">
        <w:trPr>
          <w:jc w:val="center"/>
        </w:trPr>
        <w:tc>
          <w:tcPr>
            <w:tcW w:w="0" w:type="auto"/>
            <w:shd w:val="clear" w:color="auto" w:fill="E2E2E2"/>
            <w:tcMar>
              <w:top w:w="40" w:type="dxa"/>
              <w:left w:w="400" w:type="dxa"/>
              <w:bottom w:w="40" w:type="dxa"/>
              <w:right w:w="40" w:type="dxa"/>
            </w:tcMar>
            <w:vAlign w:val="bottom"/>
          </w:tcPr>
          <w:p w14:paraId="0BC99D3B" w14:textId="77777777" w:rsidR="009F0928" w:rsidRDefault="002112BD">
            <w:pPr>
              <w:textAlignment w:val="bottom"/>
              <w:rPr>
                <w:rFonts w:ascii="Times New Roman" w:hAnsi="Times New Roman"/>
                <w:sz w:val="18"/>
                <w:szCs w:val="18"/>
              </w:rPr>
            </w:pPr>
            <w:r>
              <w:rPr>
                <w:rFonts w:ascii="Arial" w:eastAsia="宋体" w:hAnsi="Arial" w:cs="Arial"/>
                <w:sz w:val="18"/>
                <w:szCs w:val="18"/>
              </w:rPr>
              <w:t>Change in fair value</w:t>
            </w:r>
          </w:p>
        </w:tc>
        <w:tc>
          <w:tcPr>
            <w:tcW w:w="0" w:type="auto"/>
            <w:gridSpan w:val="2"/>
            <w:shd w:val="clear" w:color="auto" w:fill="E2E2E2"/>
            <w:tcMar>
              <w:top w:w="40" w:type="dxa"/>
              <w:left w:w="40" w:type="dxa"/>
              <w:bottom w:w="40" w:type="dxa"/>
            </w:tcMar>
            <w:vAlign w:val="bottom"/>
          </w:tcPr>
          <w:p w14:paraId="0BC99D3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133</w:t>
            </w:r>
          </w:p>
        </w:tc>
        <w:tc>
          <w:tcPr>
            <w:tcW w:w="0" w:type="auto"/>
            <w:shd w:val="clear" w:color="auto" w:fill="E2E2E2"/>
            <w:vAlign w:val="bottom"/>
          </w:tcPr>
          <w:p w14:paraId="0BC99D3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D3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D3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104</w:t>
            </w:r>
          </w:p>
        </w:tc>
        <w:tc>
          <w:tcPr>
            <w:tcW w:w="0" w:type="auto"/>
            <w:shd w:val="clear" w:color="auto" w:fill="E2E2E2"/>
            <w:vAlign w:val="bottom"/>
          </w:tcPr>
          <w:p w14:paraId="0BC99D40" w14:textId="77777777" w:rsidR="009F0928" w:rsidRDefault="009F0928">
            <w:pPr>
              <w:textAlignment w:val="bottom"/>
              <w:rPr>
                <w:rFonts w:ascii="Times New Roman" w:hAnsi="Times New Roman"/>
                <w:sz w:val="20"/>
                <w:szCs w:val="20"/>
              </w:rPr>
            </w:pPr>
          </w:p>
        </w:tc>
      </w:tr>
      <w:tr w:rsidR="009F0928" w14:paraId="0BC99D4A" w14:textId="77777777">
        <w:trPr>
          <w:jc w:val="center"/>
        </w:trPr>
        <w:tc>
          <w:tcPr>
            <w:tcW w:w="0" w:type="auto"/>
            <w:shd w:val="clear" w:color="auto" w:fill="auto"/>
            <w:tcMar>
              <w:top w:w="40" w:type="dxa"/>
              <w:left w:w="40" w:type="dxa"/>
              <w:bottom w:w="40" w:type="dxa"/>
              <w:right w:w="40" w:type="dxa"/>
            </w:tcMar>
            <w:vAlign w:val="bottom"/>
          </w:tcPr>
          <w:p w14:paraId="0BC99D42" w14:textId="77777777" w:rsidR="009F0928" w:rsidRDefault="002112BD">
            <w:pPr>
              <w:textAlignment w:val="bottom"/>
              <w:rPr>
                <w:rFonts w:ascii="Times New Roman" w:hAnsi="Times New Roman"/>
                <w:sz w:val="18"/>
                <w:szCs w:val="18"/>
              </w:rPr>
            </w:pPr>
            <w:r>
              <w:rPr>
                <w:rFonts w:ascii="Arial" w:eastAsia="宋体" w:hAnsi="Arial" w:cs="Arial"/>
                <w:sz w:val="18"/>
                <w:szCs w:val="18"/>
              </w:rPr>
              <w:t>Closing balance as of December 31,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D4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D4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281</w:t>
            </w:r>
          </w:p>
        </w:tc>
        <w:tc>
          <w:tcPr>
            <w:tcW w:w="0" w:type="auto"/>
            <w:tcBorders>
              <w:top w:val="single" w:sz="8" w:space="0" w:color="000000"/>
              <w:bottom w:val="double" w:sz="6" w:space="0" w:color="000000"/>
            </w:tcBorders>
            <w:shd w:val="clear" w:color="auto" w:fill="auto"/>
            <w:vAlign w:val="bottom"/>
          </w:tcPr>
          <w:p w14:paraId="0BC99D45" w14:textId="77777777" w:rsidR="009F0928" w:rsidRDefault="009F0928">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0BC99D4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D4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D4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148</w:t>
            </w:r>
          </w:p>
        </w:tc>
        <w:tc>
          <w:tcPr>
            <w:tcW w:w="0" w:type="auto"/>
            <w:tcBorders>
              <w:top w:val="single" w:sz="8" w:space="0" w:color="000000"/>
              <w:bottom w:val="double" w:sz="6" w:space="0" w:color="000000"/>
            </w:tcBorders>
            <w:shd w:val="clear" w:color="auto" w:fill="auto"/>
            <w:vAlign w:val="bottom"/>
          </w:tcPr>
          <w:p w14:paraId="0BC99D49" w14:textId="77777777" w:rsidR="009F0928" w:rsidRDefault="009F0928">
            <w:pPr>
              <w:textAlignment w:val="bottom"/>
              <w:rPr>
                <w:rFonts w:ascii="Times New Roman" w:hAnsi="Times New Roman"/>
                <w:sz w:val="20"/>
                <w:szCs w:val="20"/>
              </w:rPr>
            </w:pPr>
          </w:p>
        </w:tc>
      </w:tr>
    </w:tbl>
    <w:p w14:paraId="0BC99D4B" w14:textId="77777777" w:rsidR="009F0928" w:rsidRDefault="009F0928">
      <w:pPr>
        <w:spacing w:line="288" w:lineRule="auto"/>
        <w:jc w:val="center"/>
        <w:rPr>
          <w:rFonts w:ascii="Times New Roman" w:hAnsi="Times New Roman"/>
          <w:sz w:val="20"/>
          <w:szCs w:val="20"/>
        </w:rPr>
      </w:pPr>
    </w:p>
    <w:p w14:paraId="0BC99D4C" w14:textId="77777777" w:rsidR="009F0928" w:rsidRDefault="009F0928">
      <w:pPr>
        <w:spacing w:line="288" w:lineRule="auto"/>
        <w:ind w:firstLine="720"/>
        <w:jc w:val="both"/>
        <w:rPr>
          <w:rFonts w:ascii="Times New Roman" w:hAnsi="Times New Roman"/>
          <w:sz w:val="20"/>
          <w:szCs w:val="20"/>
        </w:rPr>
      </w:pPr>
    </w:p>
    <w:p w14:paraId="0BC99D4D" w14:textId="77777777" w:rsidR="009F0928" w:rsidRDefault="009F0928">
      <w:pPr>
        <w:rPr>
          <w:rFonts w:ascii="Times New Roman" w:hAnsi="Times New Roman"/>
          <w:sz w:val="20"/>
          <w:szCs w:val="20"/>
        </w:rPr>
      </w:pPr>
    </w:p>
    <w:p w14:paraId="0BC99D4E"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F-28</w:t>
      </w:r>
    </w:p>
    <w:p w14:paraId="0BC99D4F" w14:textId="77777777" w:rsidR="009F0928" w:rsidRDefault="002112BD">
      <w:r>
        <w:rPr>
          <w:rFonts w:ascii="Times New Roman" w:hAnsi="Times New Roman"/>
          <w:sz w:val="18"/>
          <w:szCs w:val="18"/>
        </w:rPr>
        <w:pict w14:anchorId="0BC9B516">
          <v:rect id="_x0000_i1114" style="width:415.3pt;height:1.5pt" o:hralign="center" o:hrstd="t" o:hr="t" fillcolor="#a0a0a0" stroked="f"/>
        </w:pict>
      </w:r>
    </w:p>
    <w:p w14:paraId="0BC99D50"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9D51"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9D52" w14:textId="77777777" w:rsidR="009F0928" w:rsidRDefault="009F0928">
      <w:pPr>
        <w:spacing w:line="288" w:lineRule="auto"/>
        <w:jc w:val="center"/>
        <w:rPr>
          <w:rFonts w:ascii="Times New Roman" w:hAnsi="Times New Roman"/>
          <w:sz w:val="20"/>
          <w:szCs w:val="20"/>
        </w:rPr>
      </w:pPr>
    </w:p>
    <w:p w14:paraId="0BC99D53" w14:textId="77777777" w:rsidR="009F0928" w:rsidRDefault="009F0928">
      <w:pPr>
        <w:rPr>
          <w:rFonts w:ascii="Times New Roman" w:hAnsi="Times New Roman"/>
          <w:sz w:val="20"/>
          <w:szCs w:val="20"/>
        </w:rPr>
      </w:pPr>
    </w:p>
    <w:p w14:paraId="0BC99D54"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Note 9 – Balance Sheet Components</w:t>
      </w:r>
    </w:p>
    <w:p w14:paraId="0BC99D55" w14:textId="77777777" w:rsidR="009F0928" w:rsidRDefault="009F0928">
      <w:pPr>
        <w:spacing w:line="288" w:lineRule="auto"/>
        <w:jc w:val="both"/>
        <w:rPr>
          <w:rFonts w:ascii="Times New Roman" w:hAnsi="Times New Roman"/>
          <w:sz w:val="14"/>
          <w:szCs w:val="14"/>
        </w:rPr>
      </w:pPr>
    </w:p>
    <w:p w14:paraId="0BC99D56"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b/>
          <w:bCs/>
          <w:i/>
          <w:iCs/>
          <w:sz w:val="20"/>
          <w:szCs w:val="20"/>
        </w:rPr>
        <w:t xml:space="preserve">Other Current </w:t>
      </w:r>
      <w:r>
        <w:rPr>
          <w:rFonts w:ascii="Arial" w:eastAsia="宋体" w:hAnsi="Arial" w:cs="Arial"/>
          <w:b/>
          <w:bCs/>
          <w:i/>
          <w:iCs/>
          <w:sz w:val="20"/>
          <w:szCs w:val="20"/>
        </w:rPr>
        <w:t>Assets</w:t>
      </w:r>
    </w:p>
    <w:p w14:paraId="0BC99D57" w14:textId="77777777" w:rsidR="009F0928" w:rsidRDefault="009F0928">
      <w:pPr>
        <w:spacing w:line="288" w:lineRule="auto"/>
        <w:ind w:firstLine="360"/>
        <w:jc w:val="both"/>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6197"/>
        <w:gridCol w:w="141"/>
        <w:gridCol w:w="798"/>
        <w:gridCol w:w="50"/>
        <w:gridCol w:w="131"/>
        <w:gridCol w:w="141"/>
        <w:gridCol w:w="798"/>
        <w:gridCol w:w="50"/>
      </w:tblGrid>
      <w:tr w:rsidR="009F0928" w14:paraId="0BC99D59" w14:textId="77777777">
        <w:tc>
          <w:tcPr>
            <w:tcW w:w="0" w:type="auto"/>
            <w:gridSpan w:val="8"/>
            <w:shd w:val="clear" w:color="auto" w:fill="auto"/>
            <w:vAlign w:val="center"/>
          </w:tcPr>
          <w:p w14:paraId="0BC99D58" w14:textId="77777777" w:rsidR="009F0928" w:rsidRDefault="009F0928">
            <w:pPr>
              <w:rPr>
                <w:rFonts w:ascii="Times New Roman" w:hAnsi="Times New Roman"/>
                <w:sz w:val="20"/>
                <w:szCs w:val="20"/>
              </w:rPr>
            </w:pPr>
          </w:p>
        </w:tc>
      </w:tr>
      <w:tr w:rsidR="009F0928" w14:paraId="0BC99D62" w14:textId="77777777">
        <w:tc>
          <w:tcPr>
            <w:tcW w:w="3750" w:type="pct"/>
            <w:shd w:val="clear" w:color="auto" w:fill="auto"/>
            <w:vAlign w:val="center"/>
          </w:tcPr>
          <w:p w14:paraId="0BC99D5A" w14:textId="77777777" w:rsidR="009F0928" w:rsidRDefault="009F0928">
            <w:pPr>
              <w:rPr>
                <w:rFonts w:ascii="Times New Roman" w:hAnsi="Times New Roman"/>
                <w:sz w:val="20"/>
                <w:szCs w:val="20"/>
              </w:rPr>
            </w:pPr>
          </w:p>
        </w:tc>
        <w:tc>
          <w:tcPr>
            <w:tcW w:w="50" w:type="pct"/>
            <w:shd w:val="clear" w:color="auto" w:fill="auto"/>
            <w:vAlign w:val="center"/>
          </w:tcPr>
          <w:p w14:paraId="0BC99D5B" w14:textId="77777777" w:rsidR="009F0928" w:rsidRDefault="009F0928">
            <w:pPr>
              <w:rPr>
                <w:rFonts w:ascii="Times New Roman" w:hAnsi="Times New Roman"/>
                <w:sz w:val="20"/>
                <w:szCs w:val="20"/>
              </w:rPr>
            </w:pPr>
          </w:p>
        </w:tc>
        <w:tc>
          <w:tcPr>
            <w:tcW w:w="500" w:type="pct"/>
            <w:shd w:val="clear" w:color="auto" w:fill="auto"/>
            <w:vAlign w:val="center"/>
          </w:tcPr>
          <w:p w14:paraId="0BC99D5C" w14:textId="77777777" w:rsidR="009F0928" w:rsidRDefault="009F0928">
            <w:pPr>
              <w:rPr>
                <w:rFonts w:ascii="Times New Roman" w:hAnsi="Times New Roman"/>
                <w:sz w:val="20"/>
                <w:szCs w:val="20"/>
              </w:rPr>
            </w:pPr>
          </w:p>
        </w:tc>
        <w:tc>
          <w:tcPr>
            <w:tcW w:w="50" w:type="pct"/>
            <w:shd w:val="clear" w:color="auto" w:fill="auto"/>
            <w:vAlign w:val="center"/>
          </w:tcPr>
          <w:p w14:paraId="0BC99D5D" w14:textId="77777777" w:rsidR="009F0928" w:rsidRDefault="009F0928">
            <w:pPr>
              <w:rPr>
                <w:rFonts w:ascii="Times New Roman" w:hAnsi="Times New Roman"/>
                <w:sz w:val="20"/>
                <w:szCs w:val="20"/>
              </w:rPr>
            </w:pPr>
          </w:p>
        </w:tc>
        <w:tc>
          <w:tcPr>
            <w:tcW w:w="50" w:type="pct"/>
            <w:shd w:val="clear" w:color="auto" w:fill="auto"/>
            <w:vAlign w:val="center"/>
          </w:tcPr>
          <w:p w14:paraId="0BC99D5E" w14:textId="77777777" w:rsidR="009F0928" w:rsidRDefault="009F0928">
            <w:pPr>
              <w:rPr>
                <w:rFonts w:ascii="Times New Roman" w:hAnsi="Times New Roman"/>
                <w:sz w:val="20"/>
                <w:szCs w:val="20"/>
              </w:rPr>
            </w:pPr>
          </w:p>
        </w:tc>
        <w:tc>
          <w:tcPr>
            <w:tcW w:w="50" w:type="pct"/>
            <w:shd w:val="clear" w:color="auto" w:fill="auto"/>
            <w:vAlign w:val="center"/>
          </w:tcPr>
          <w:p w14:paraId="0BC99D5F" w14:textId="77777777" w:rsidR="009F0928" w:rsidRDefault="009F0928">
            <w:pPr>
              <w:rPr>
                <w:rFonts w:ascii="Times New Roman" w:hAnsi="Times New Roman"/>
                <w:sz w:val="20"/>
                <w:szCs w:val="20"/>
              </w:rPr>
            </w:pPr>
          </w:p>
        </w:tc>
        <w:tc>
          <w:tcPr>
            <w:tcW w:w="500" w:type="pct"/>
            <w:shd w:val="clear" w:color="auto" w:fill="auto"/>
            <w:vAlign w:val="center"/>
          </w:tcPr>
          <w:p w14:paraId="0BC99D60" w14:textId="77777777" w:rsidR="009F0928" w:rsidRDefault="009F0928">
            <w:pPr>
              <w:rPr>
                <w:rFonts w:ascii="Times New Roman" w:hAnsi="Times New Roman"/>
                <w:sz w:val="20"/>
                <w:szCs w:val="20"/>
              </w:rPr>
            </w:pPr>
          </w:p>
        </w:tc>
        <w:tc>
          <w:tcPr>
            <w:tcW w:w="50" w:type="pct"/>
            <w:shd w:val="clear" w:color="auto" w:fill="auto"/>
            <w:vAlign w:val="center"/>
          </w:tcPr>
          <w:p w14:paraId="0BC99D61" w14:textId="77777777" w:rsidR="009F0928" w:rsidRDefault="009F0928">
            <w:pPr>
              <w:rPr>
                <w:rFonts w:ascii="Times New Roman" w:hAnsi="Times New Roman"/>
                <w:sz w:val="20"/>
                <w:szCs w:val="20"/>
              </w:rPr>
            </w:pPr>
          </w:p>
        </w:tc>
      </w:tr>
      <w:tr w:rsidR="009F0928" w14:paraId="0BC99D65" w14:textId="77777777">
        <w:tc>
          <w:tcPr>
            <w:tcW w:w="0" w:type="auto"/>
            <w:vMerge w:val="restart"/>
            <w:shd w:val="clear" w:color="auto" w:fill="auto"/>
            <w:tcMar>
              <w:top w:w="40" w:type="dxa"/>
              <w:left w:w="40" w:type="dxa"/>
              <w:bottom w:w="40" w:type="dxa"/>
              <w:right w:w="40" w:type="dxa"/>
            </w:tcMar>
            <w:vAlign w:val="bottom"/>
          </w:tcPr>
          <w:p w14:paraId="0BC99D63"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BC99D64"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w:t>
            </w:r>
          </w:p>
        </w:tc>
      </w:tr>
      <w:tr w:rsidR="009F0928" w14:paraId="0BC99D6A" w14:textId="77777777">
        <w:tc>
          <w:tcPr>
            <w:tcW w:w="0" w:type="auto"/>
            <w:vMerge/>
            <w:shd w:val="clear" w:color="auto" w:fill="auto"/>
            <w:tcMar>
              <w:top w:w="40" w:type="dxa"/>
              <w:left w:w="40" w:type="dxa"/>
              <w:bottom w:w="40" w:type="dxa"/>
              <w:right w:w="40" w:type="dxa"/>
            </w:tcMar>
            <w:vAlign w:val="bottom"/>
          </w:tcPr>
          <w:p w14:paraId="0BC99D66" w14:textId="77777777" w:rsidR="009F0928" w:rsidRDefault="009F0928">
            <w:pPr>
              <w:rPr>
                <w:rFonts w:ascii="Times New Roman" w:hAnsi="Times New Roman"/>
                <w:sz w:val="20"/>
                <w:szCs w:val="20"/>
              </w:rPr>
            </w:pP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D6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0BC99D68"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D69"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r>
      <w:tr w:rsidR="009F0928" w14:paraId="0BC99D6D" w14:textId="77777777">
        <w:tc>
          <w:tcPr>
            <w:tcW w:w="0" w:type="auto"/>
            <w:vMerge/>
            <w:shd w:val="clear" w:color="auto" w:fill="auto"/>
            <w:tcMar>
              <w:top w:w="40" w:type="dxa"/>
              <w:left w:w="40" w:type="dxa"/>
              <w:bottom w:w="40" w:type="dxa"/>
              <w:right w:w="40" w:type="dxa"/>
            </w:tcMar>
            <w:vAlign w:val="bottom"/>
          </w:tcPr>
          <w:p w14:paraId="0BC99D6B" w14:textId="77777777" w:rsidR="009F0928" w:rsidRDefault="009F0928">
            <w:pPr>
              <w:rPr>
                <w:rFonts w:ascii="Times New Roman" w:hAnsi="Times New Roman"/>
                <w:sz w:val="20"/>
                <w:szCs w:val="20"/>
              </w:rPr>
            </w:pPr>
          </w:p>
        </w:tc>
        <w:tc>
          <w:tcPr>
            <w:tcW w:w="0" w:type="auto"/>
            <w:gridSpan w:val="7"/>
            <w:shd w:val="clear" w:color="auto" w:fill="auto"/>
            <w:tcMar>
              <w:top w:w="40" w:type="dxa"/>
              <w:left w:w="40" w:type="dxa"/>
              <w:bottom w:w="40" w:type="dxa"/>
            </w:tcMar>
            <w:vAlign w:val="bottom"/>
          </w:tcPr>
          <w:p w14:paraId="0BC99D6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(In millions)</w:t>
            </w:r>
          </w:p>
        </w:tc>
      </w:tr>
      <w:tr w:rsidR="009F0928" w14:paraId="0BC99D76" w14:textId="77777777">
        <w:tc>
          <w:tcPr>
            <w:tcW w:w="0" w:type="auto"/>
            <w:shd w:val="clear" w:color="auto" w:fill="E2E2E2"/>
            <w:tcMar>
              <w:top w:w="40" w:type="dxa"/>
              <w:left w:w="40" w:type="dxa"/>
              <w:bottom w:w="40" w:type="dxa"/>
              <w:right w:w="40" w:type="dxa"/>
            </w:tcMar>
            <w:vAlign w:val="bottom"/>
          </w:tcPr>
          <w:p w14:paraId="0BC99D6E" w14:textId="77777777" w:rsidR="009F0928" w:rsidRDefault="002112BD">
            <w:pPr>
              <w:textAlignment w:val="bottom"/>
              <w:rPr>
                <w:rFonts w:ascii="Times New Roman" w:hAnsi="Times New Roman"/>
                <w:sz w:val="18"/>
                <w:szCs w:val="18"/>
              </w:rPr>
            </w:pPr>
            <w:r>
              <w:rPr>
                <w:rFonts w:ascii="Arial" w:eastAsia="宋体" w:hAnsi="Arial" w:cs="Arial"/>
                <w:sz w:val="18"/>
                <w:szCs w:val="18"/>
              </w:rPr>
              <w:t>Customer accounts and funds receivable</w:t>
            </w:r>
          </w:p>
        </w:tc>
        <w:tc>
          <w:tcPr>
            <w:tcW w:w="0" w:type="auto"/>
            <w:shd w:val="clear" w:color="auto" w:fill="E2E2E2"/>
            <w:tcMar>
              <w:top w:w="40" w:type="dxa"/>
              <w:left w:w="40" w:type="dxa"/>
              <w:bottom w:w="40" w:type="dxa"/>
            </w:tcMar>
            <w:vAlign w:val="bottom"/>
          </w:tcPr>
          <w:p w14:paraId="0BC99D6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D7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632</w:t>
            </w:r>
          </w:p>
        </w:tc>
        <w:tc>
          <w:tcPr>
            <w:tcW w:w="0" w:type="auto"/>
            <w:shd w:val="clear" w:color="auto" w:fill="E2E2E2"/>
            <w:vAlign w:val="bottom"/>
          </w:tcPr>
          <w:p w14:paraId="0BC99D7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D72"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tcMar>
            <w:vAlign w:val="bottom"/>
          </w:tcPr>
          <w:p w14:paraId="0BC99D7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D7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670</w:t>
            </w:r>
          </w:p>
        </w:tc>
        <w:tc>
          <w:tcPr>
            <w:tcW w:w="0" w:type="auto"/>
            <w:shd w:val="clear" w:color="auto" w:fill="E2E2E2"/>
            <w:vAlign w:val="bottom"/>
          </w:tcPr>
          <w:p w14:paraId="0BC99D75" w14:textId="77777777" w:rsidR="009F0928" w:rsidRDefault="009F0928">
            <w:pPr>
              <w:textAlignment w:val="bottom"/>
              <w:rPr>
                <w:rFonts w:ascii="Times New Roman" w:hAnsi="Times New Roman"/>
                <w:sz w:val="20"/>
                <w:szCs w:val="20"/>
              </w:rPr>
            </w:pPr>
          </w:p>
        </w:tc>
      </w:tr>
      <w:tr w:rsidR="009F0928" w14:paraId="0BC99D7D" w14:textId="77777777">
        <w:tc>
          <w:tcPr>
            <w:tcW w:w="0" w:type="auto"/>
            <w:shd w:val="clear" w:color="auto" w:fill="auto"/>
            <w:tcMar>
              <w:top w:w="40" w:type="dxa"/>
              <w:left w:w="40" w:type="dxa"/>
              <w:bottom w:w="40" w:type="dxa"/>
              <w:right w:w="40" w:type="dxa"/>
            </w:tcMar>
            <w:vAlign w:val="bottom"/>
          </w:tcPr>
          <w:p w14:paraId="0BC99D77" w14:textId="77777777" w:rsidR="009F0928" w:rsidRDefault="002112BD">
            <w:pPr>
              <w:textAlignment w:val="bottom"/>
              <w:rPr>
                <w:rFonts w:ascii="Times New Roman" w:hAnsi="Times New Roman"/>
                <w:sz w:val="18"/>
                <w:szCs w:val="18"/>
              </w:rPr>
            </w:pPr>
            <w:r>
              <w:rPr>
                <w:rFonts w:ascii="Arial" w:eastAsia="宋体" w:hAnsi="Arial" w:cs="Arial"/>
                <w:sz w:val="18"/>
                <w:szCs w:val="18"/>
              </w:rPr>
              <w:t>Other</w:t>
            </w:r>
          </w:p>
        </w:tc>
        <w:tc>
          <w:tcPr>
            <w:tcW w:w="0" w:type="auto"/>
            <w:gridSpan w:val="2"/>
            <w:shd w:val="clear" w:color="auto" w:fill="auto"/>
            <w:tcMar>
              <w:top w:w="40" w:type="dxa"/>
              <w:left w:w="40" w:type="dxa"/>
              <w:bottom w:w="40" w:type="dxa"/>
            </w:tcMar>
            <w:vAlign w:val="bottom"/>
          </w:tcPr>
          <w:p w14:paraId="0BC99D7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549</w:t>
            </w:r>
          </w:p>
        </w:tc>
        <w:tc>
          <w:tcPr>
            <w:tcW w:w="0" w:type="auto"/>
            <w:shd w:val="clear" w:color="auto" w:fill="auto"/>
            <w:vAlign w:val="bottom"/>
          </w:tcPr>
          <w:p w14:paraId="0BC99D7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D7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D7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829</w:t>
            </w:r>
          </w:p>
        </w:tc>
        <w:tc>
          <w:tcPr>
            <w:tcW w:w="0" w:type="auto"/>
            <w:tcBorders>
              <w:bottom w:val="single" w:sz="8" w:space="0" w:color="000000"/>
            </w:tcBorders>
            <w:shd w:val="clear" w:color="auto" w:fill="auto"/>
            <w:vAlign w:val="bottom"/>
          </w:tcPr>
          <w:p w14:paraId="0BC99D7C" w14:textId="77777777" w:rsidR="009F0928" w:rsidRDefault="009F0928">
            <w:pPr>
              <w:textAlignment w:val="bottom"/>
              <w:rPr>
                <w:rFonts w:ascii="Times New Roman" w:hAnsi="Times New Roman"/>
                <w:sz w:val="20"/>
                <w:szCs w:val="20"/>
              </w:rPr>
            </w:pPr>
          </w:p>
        </w:tc>
      </w:tr>
      <w:tr w:rsidR="009F0928" w14:paraId="0BC99D86" w14:textId="77777777">
        <w:tc>
          <w:tcPr>
            <w:tcW w:w="0" w:type="auto"/>
            <w:shd w:val="clear" w:color="auto" w:fill="E2E2E2"/>
            <w:tcMar>
              <w:top w:w="40" w:type="dxa"/>
              <w:left w:w="400" w:type="dxa"/>
              <w:bottom w:w="40" w:type="dxa"/>
              <w:right w:w="40" w:type="dxa"/>
            </w:tcMar>
            <w:vAlign w:val="bottom"/>
          </w:tcPr>
          <w:p w14:paraId="0BC99D7E" w14:textId="77777777" w:rsidR="009F0928" w:rsidRDefault="002112BD">
            <w:pPr>
              <w:textAlignment w:val="bottom"/>
              <w:rPr>
                <w:rFonts w:ascii="Times New Roman" w:hAnsi="Times New Roman"/>
                <w:sz w:val="18"/>
                <w:szCs w:val="18"/>
              </w:rPr>
            </w:pPr>
            <w:r>
              <w:rPr>
                <w:rFonts w:ascii="Arial" w:eastAsia="宋体" w:hAnsi="Arial" w:cs="Arial"/>
                <w:sz w:val="18"/>
                <w:szCs w:val="18"/>
              </w:rPr>
              <w:t>Other current assets</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D7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D8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1,181</w:t>
            </w:r>
          </w:p>
        </w:tc>
        <w:tc>
          <w:tcPr>
            <w:tcW w:w="0" w:type="auto"/>
            <w:tcBorders>
              <w:top w:val="single" w:sz="8" w:space="0" w:color="000000"/>
              <w:bottom w:val="double" w:sz="6" w:space="0" w:color="000000"/>
            </w:tcBorders>
            <w:shd w:val="clear" w:color="auto" w:fill="E2E2E2"/>
            <w:vAlign w:val="bottom"/>
          </w:tcPr>
          <w:p w14:paraId="0BC99D8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D8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9D8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9D8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1,499</w:t>
            </w:r>
          </w:p>
        </w:tc>
        <w:tc>
          <w:tcPr>
            <w:tcW w:w="0" w:type="auto"/>
            <w:tcBorders>
              <w:top w:val="single" w:sz="8" w:space="0" w:color="000000"/>
              <w:bottom w:val="double" w:sz="6" w:space="0" w:color="000000"/>
            </w:tcBorders>
            <w:shd w:val="clear" w:color="auto" w:fill="E2E2E2"/>
            <w:vAlign w:val="bottom"/>
          </w:tcPr>
          <w:p w14:paraId="0BC99D85" w14:textId="77777777" w:rsidR="009F0928" w:rsidRDefault="009F0928">
            <w:pPr>
              <w:textAlignment w:val="bottom"/>
              <w:rPr>
                <w:rFonts w:ascii="Times New Roman" w:hAnsi="Times New Roman"/>
                <w:sz w:val="20"/>
                <w:szCs w:val="20"/>
              </w:rPr>
            </w:pPr>
          </w:p>
        </w:tc>
      </w:tr>
    </w:tbl>
    <w:p w14:paraId="0BC99D87" w14:textId="77777777" w:rsidR="009F0928" w:rsidRDefault="009F0928">
      <w:pPr>
        <w:spacing w:line="288" w:lineRule="auto"/>
        <w:rPr>
          <w:rFonts w:ascii="Times New Roman" w:hAnsi="Times New Roman"/>
          <w:sz w:val="20"/>
          <w:szCs w:val="20"/>
        </w:rPr>
      </w:pPr>
    </w:p>
    <w:p w14:paraId="0BC99D88" w14:textId="77777777" w:rsidR="009F0928" w:rsidRDefault="009F0928">
      <w:pPr>
        <w:spacing w:line="288" w:lineRule="auto"/>
        <w:ind w:firstLine="720"/>
        <w:jc w:val="both"/>
        <w:rPr>
          <w:rFonts w:ascii="Times New Roman" w:hAnsi="Times New Roman"/>
          <w:sz w:val="20"/>
          <w:szCs w:val="20"/>
        </w:rPr>
      </w:pPr>
    </w:p>
    <w:p w14:paraId="0BC99D89" w14:textId="77777777" w:rsidR="009F0928" w:rsidRDefault="009F0928">
      <w:pPr>
        <w:spacing w:line="288" w:lineRule="auto"/>
        <w:jc w:val="both"/>
        <w:rPr>
          <w:rFonts w:ascii="Times New Roman" w:hAnsi="Times New Roman"/>
          <w:sz w:val="20"/>
          <w:szCs w:val="20"/>
        </w:rPr>
      </w:pPr>
    </w:p>
    <w:p w14:paraId="0BC99D8A"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Property and Equipment, Net</w:t>
      </w:r>
    </w:p>
    <w:tbl>
      <w:tblPr>
        <w:tblW w:w="5000" w:type="pct"/>
        <w:tblCellMar>
          <w:left w:w="0" w:type="dxa"/>
          <w:right w:w="0" w:type="dxa"/>
        </w:tblCellMar>
        <w:tblLook w:val="04A0" w:firstRow="1" w:lastRow="0" w:firstColumn="1" w:lastColumn="0" w:noHBand="0" w:noVBand="1"/>
      </w:tblPr>
      <w:tblGrid>
        <w:gridCol w:w="5997"/>
        <w:gridCol w:w="141"/>
        <w:gridCol w:w="848"/>
        <w:gridCol w:w="100"/>
        <w:gridCol w:w="131"/>
        <w:gridCol w:w="141"/>
        <w:gridCol w:w="848"/>
        <w:gridCol w:w="100"/>
      </w:tblGrid>
      <w:tr w:rsidR="009F0928" w14:paraId="0BC99D8C" w14:textId="77777777">
        <w:tc>
          <w:tcPr>
            <w:tcW w:w="0" w:type="auto"/>
            <w:gridSpan w:val="8"/>
            <w:shd w:val="clear" w:color="auto" w:fill="auto"/>
            <w:vAlign w:val="center"/>
          </w:tcPr>
          <w:p w14:paraId="0BC99D8B" w14:textId="77777777" w:rsidR="009F0928" w:rsidRDefault="009F0928">
            <w:pPr>
              <w:rPr>
                <w:rFonts w:ascii="Times New Roman" w:hAnsi="Times New Roman"/>
                <w:sz w:val="20"/>
                <w:szCs w:val="20"/>
              </w:rPr>
            </w:pPr>
          </w:p>
        </w:tc>
      </w:tr>
      <w:tr w:rsidR="009F0928" w14:paraId="0BC99D95" w14:textId="77777777">
        <w:tc>
          <w:tcPr>
            <w:tcW w:w="3650" w:type="pct"/>
            <w:shd w:val="clear" w:color="auto" w:fill="auto"/>
            <w:vAlign w:val="center"/>
          </w:tcPr>
          <w:p w14:paraId="0BC99D8D" w14:textId="77777777" w:rsidR="009F0928" w:rsidRDefault="009F0928">
            <w:pPr>
              <w:rPr>
                <w:rFonts w:ascii="Times New Roman" w:hAnsi="Times New Roman"/>
                <w:sz w:val="20"/>
                <w:szCs w:val="20"/>
              </w:rPr>
            </w:pPr>
          </w:p>
        </w:tc>
        <w:tc>
          <w:tcPr>
            <w:tcW w:w="50" w:type="pct"/>
            <w:shd w:val="clear" w:color="auto" w:fill="auto"/>
            <w:vAlign w:val="center"/>
          </w:tcPr>
          <w:p w14:paraId="0BC99D8E" w14:textId="77777777" w:rsidR="009F0928" w:rsidRDefault="009F0928">
            <w:pPr>
              <w:rPr>
                <w:rFonts w:ascii="Times New Roman" w:hAnsi="Times New Roman"/>
                <w:sz w:val="20"/>
                <w:szCs w:val="20"/>
              </w:rPr>
            </w:pPr>
          </w:p>
        </w:tc>
        <w:tc>
          <w:tcPr>
            <w:tcW w:w="550" w:type="pct"/>
            <w:shd w:val="clear" w:color="auto" w:fill="auto"/>
            <w:vAlign w:val="center"/>
          </w:tcPr>
          <w:p w14:paraId="0BC99D8F" w14:textId="77777777" w:rsidR="009F0928" w:rsidRDefault="009F0928">
            <w:pPr>
              <w:rPr>
                <w:rFonts w:ascii="Times New Roman" w:hAnsi="Times New Roman"/>
                <w:sz w:val="20"/>
                <w:szCs w:val="20"/>
              </w:rPr>
            </w:pPr>
          </w:p>
        </w:tc>
        <w:tc>
          <w:tcPr>
            <w:tcW w:w="50" w:type="pct"/>
            <w:shd w:val="clear" w:color="auto" w:fill="auto"/>
            <w:vAlign w:val="center"/>
          </w:tcPr>
          <w:p w14:paraId="0BC99D90" w14:textId="77777777" w:rsidR="009F0928" w:rsidRDefault="009F0928">
            <w:pPr>
              <w:rPr>
                <w:rFonts w:ascii="Times New Roman" w:hAnsi="Times New Roman"/>
                <w:sz w:val="20"/>
                <w:szCs w:val="20"/>
              </w:rPr>
            </w:pPr>
          </w:p>
        </w:tc>
        <w:tc>
          <w:tcPr>
            <w:tcW w:w="50" w:type="pct"/>
            <w:shd w:val="clear" w:color="auto" w:fill="auto"/>
            <w:vAlign w:val="center"/>
          </w:tcPr>
          <w:p w14:paraId="0BC99D91" w14:textId="77777777" w:rsidR="009F0928" w:rsidRDefault="009F0928">
            <w:pPr>
              <w:rPr>
                <w:rFonts w:ascii="Times New Roman" w:hAnsi="Times New Roman"/>
                <w:sz w:val="20"/>
                <w:szCs w:val="20"/>
              </w:rPr>
            </w:pPr>
          </w:p>
        </w:tc>
        <w:tc>
          <w:tcPr>
            <w:tcW w:w="50" w:type="pct"/>
            <w:shd w:val="clear" w:color="auto" w:fill="auto"/>
            <w:vAlign w:val="center"/>
          </w:tcPr>
          <w:p w14:paraId="0BC99D92" w14:textId="77777777" w:rsidR="009F0928" w:rsidRDefault="009F0928">
            <w:pPr>
              <w:rPr>
                <w:rFonts w:ascii="Times New Roman" w:hAnsi="Times New Roman"/>
                <w:sz w:val="20"/>
                <w:szCs w:val="20"/>
              </w:rPr>
            </w:pPr>
          </w:p>
        </w:tc>
        <w:tc>
          <w:tcPr>
            <w:tcW w:w="550" w:type="pct"/>
            <w:shd w:val="clear" w:color="auto" w:fill="auto"/>
            <w:vAlign w:val="center"/>
          </w:tcPr>
          <w:p w14:paraId="0BC99D93" w14:textId="77777777" w:rsidR="009F0928" w:rsidRDefault="009F0928">
            <w:pPr>
              <w:rPr>
                <w:rFonts w:ascii="Times New Roman" w:hAnsi="Times New Roman"/>
                <w:sz w:val="20"/>
                <w:szCs w:val="20"/>
              </w:rPr>
            </w:pPr>
          </w:p>
        </w:tc>
        <w:tc>
          <w:tcPr>
            <w:tcW w:w="50" w:type="pct"/>
            <w:shd w:val="clear" w:color="auto" w:fill="auto"/>
            <w:vAlign w:val="center"/>
          </w:tcPr>
          <w:p w14:paraId="0BC99D94" w14:textId="77777777" w:rsidR="009F0928" w:rsidRDefault="009F0928">
            <w:pPr>
              <w:rPr>
                <w:rFonts w:ascii="Times New Roman" w:hAnsi="Times New Roman"/>
                <w:sz w:val="20"/>
                <w:szCs w:val="20"/>
              </w:rPr>
            </w:pPr>
          </w:p>
        </w:tc>
      </w:tr>
      <w:tr w:rsidR="009F0928" w14:paraId="0BC99D98" w14:textId="77777777">
        <w:tc>
          <w:tcPr>
            <w:tcW w:w="0" w:type="auto"/>
            <w:vMerge w:val="restart"/>
            <w:shd w:val="clear" w:color="auto" w:fill="auto"/>
            <w:tcMar>
              <w:top w:w="40" w:type="dxa"/>
              <w:left w:w="40" w:type="dxa"/>
              <w:bottom w:w="40" w:type="dxa"/>
              <w:right w:w="40" w:type="dxa"/>
            </w:tcMar>
            <w:vAlign w:val="bottom"/>
          </w:tcPr>
          <w:p w14:paraId="0BC99D96"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BC99D9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w:t>
            </w:r>
          </w:p>
        </w:tc>
      </w:tr>
      <w:tr w:rsidR="009F0928" w14:paraId="0BC99D9D" w14:textId="77777777">
        <w:tc>
          <w:tcPr>
            <w:tcW w:w="0" w:type="auto"/>
            <w:vMerge/>
            <w:shd w:val="clear" w:color="auto" w:fill="auto"/>
            <w:tcMar>
              <w:top w:w="40" w:type="dxa"/>
              <w:left w:w="40" w:type="dxa"/>
              <w:bottom w:w="40" w:type="dxa"/>
              <w:right w:w="40" w:type="dxa"/>
            </w:tcMar>
            <w:vAlign w:val="bottom"/>
          </w:tcPr>
          <w:p w14:paraId="0BC99D99" w14:textId="77777777" w:rsidR="009F0928" w:rsidRDefault="009F0928">
            <w:pPr>
              <w:rPr>
                <w:rFonts w:ascii="Times New Roman" w:hAnsi="Times New Roman"/>
                <w:sz w:val="20"/>
                <w:szCs w:val="20"/>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D9A"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9D9B"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D9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r>
      <w:tr w:rsidR="009F0928" w14:paraId="0BC99DA0" w14:textId="77777777">
        <w:tc>
          <w:tcPr>
            <w:tcW w:w="0" w:type="auto"/>
            <w:vMerge/>
            <w:shd w:val="clear" w:color="auto" w:fill="auto"/>
            <w:tcMar>
              <w:top w:w="40" w:type="dxa"/>
              <w:left w:w="40" w:type="dxa"/>
              <w:bottom w:w="40" w:type="dxa"/>
              <w:right w:w="40" w:type="dxa"/>
            </w:tcMar>
            <w:vAlign w:val="bottom"/>
          </w:tcPr>
          <w:p w14:paraId="0BC99D9E" w14:textId="77777777" w:rsidR="009F0928" w:rsidRDefault="009F0928">
            <w:pPr>
              <w:rPr>
                <w:rFonts w:ascii="Times New Roman" w:hAnsi="Times New Roman"/>
                <w:sz w:val="20"/>
                <w:szCs w:val="20"/>
              </w:rPr>
            </w:pPr>
          </w:p>
        </w:tc>
        <w:tc>
          <w:tcPr>
            <w:tcW w:w="0" w:type="auto"/>
            <w:gridSpan w:val="7"/>
            <w:shd w:val="clear" w:color="auto" w:fill="auto"/>
            <w:tcMar>
              <w:top w:w="40" w:type="dxa"/>
              <w:left w:w="40" w:type="dxa"/>
              <w:bottom w:w="40" w:type="dxa"/>
            </w:tcMar>
            <w:vAlign w:val="bottom"/>
          </w:tcPr>
          <w:p w14:paraId="0BC99D9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(In millions)</w:t>
            </w:r>
          </w:p>
        </w:tc>
      </w:tr>
      <w:tr w:rsidR="009F0928" w14:paraId="0BC99DA9" w14:textId="77777777">
        <w:tc>
          <w:tcPr>
            <w:tcW w:w="0" w:type="auto"/>
            <w:shd w:val="clear" w:color="auto" w:fill="E2E2E2"/>
            <w:tcMar>
              <w:top w:w="40" w:type="dxa"/>
              <w:left w:w="40" w:type="dxa"/>
              <w:bottom w:w="40" w:type="dxa"/>
              <w:right w:w="40" w:type="dxa"/>
            </w:tcMar>
            <w:vAlign w:val="bottom"/>
          </w:tcPr>
          <w:p w14:paraId="0BC99DA1" w14:textId="77777777" w:rsidR="009F0928" w:rsidRDefault="002112BD">
            <w:pPr>
              <w:textAlignment w:val="bottom"/>
              <w:rPr>
                <w:rFonts w:ascii="Times New Roman" w:hAnsi="Times New Roman"/>
                <w:sz w:val="18"/>
                <w:szCs w:val="18"/>
              </w:rPr>
            </w:pPr>
            <w:r>
              <w:rPr>
                <w:rFonts w:ascii="Arial" w:eastAsia="宋体" w:hAnsi="Arial" w:cs="Arial"/>
                <w:sz w:val="18"/>
                <w:szCs w:val="18"/>
              </w:rPr>
              <w:t>Computer equipment and software</w:t>
            </w:r>
          </w:p>
        </w:tc>
        <w:tc>
          <w:tcPr>
            <w:tcW w:w="0" w:type="auto"/>
            <w:shd w:val="clear" w:color="auto" w:fill="E2E2E2"/>
            <w:tcMar>
              <w:top w:w="40" w:type="dxa"/>
              <w:left w:w="40" w:type="dxa"/>
              <w:bottom w:w="40" w:type="dxa"/>
            </w:tcMar>
            <w:vAlign w:val="bottom"/>
          </w:tcPr>
          <w:p w14:paraId="0BC99DA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DA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5,029</w:t>
            </w:r>
          </w:p>
        </w:tc>
        <w:tc>
          <w:tcPr>
            <w:tcW w:w="0" w:type="auto"/>
            <w:shd w:val="clear" w:color="auto" w:fill="E2E2E2"/>
            <w:vAlign w:val="bottom"/>
          </w:tcPr>
          <w:p w14:paraId="0BC99DA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DA5"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tcMar>
            <w:vAlign w:val="bottom"/>
          </w:tcPr>
          <w:p w14:paraId="0BC99DA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DA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4,933</w:t>
            </w:r>
          </w:p>
        </w:tc>
        <w:tc>
          <w:tcPr>
            <w:tcW w:w="0" w:type="auto"/>
            <w:shd w:val="clear" w:color="auto" w:fill="E2E2E2"/>
            <w:vAlign w:val="bottom"/>
          </w:tcPr>
          <w:p w14:paraId="0BC99DA8" w14:textId="77777777" w:rsidR="009F0928" w:rsidRDefault="009F0928">
            <w:pPr>
              <w:textAlignment w:val="bottom"/>
              <w:rPr>
                <w:rFonts w:ascii="Times New Roman" w:hAnsi="Times New Roman"/>
                <w:sz w:val="20"/>
                <w:szCs w:val="20"/>
              </w:rPr>
            </w:pPr>
          </w:p>
        </w:tc>
      </w:tr>
      <w:tr w:rsidR="009F0928" w14:paraId="0BC99DB0" w14:textId="77777777">
        <w:tc>
          <w:tcPr>
            <w:tcW w:w="0" w:type="auto"/>
            <w:shd w:val="clear" w:color="auto" w:fill="auto"/>
            <w:tcMar>
              <w:top w:w="40" w:type="dxa"/>
              <w:left w:w="40" w:type="dxa"/>
              <w:bottom w:w="40" w:type="dxa"/>
              <w:right w:w="40" w:type="dxa"/>
            </w:tcMar>
            <w:vAlign w:val="bottom"/>
          </w:tcPr>
          <w:p w14:paraId="0BC99DAA" w14:textId="77777777" w:rsidR="009F0928" w:rsidRDefault="002112BD">
            <w:pPr>
              <w:textAlignment w:val="bottom"/>
              <w:rPr>
                <w:rFonts w:ascii="Times New Roman" w:hAnsi="Times New Roman"/>
                <w:sz w:val="18"/>
                <w:szCs w:val="18"/>
              </w:rPr>
            </w:pPr>
            <w:r>
              <w:rPr>
                <w:rFonts w:ascii="Arial" w:eastAsia="宋体" w:hAnsi="Arial" w:cs="Arial"/>
                <w:sz w:val="18"/>
                <w:szCs w:val="18"/>
              </w:rPr>
              <w:t>Land and buildings, including building improvements</w:t>
            </w:r>
          </w:p>
        </w:tc>
        <w:tc>
          <w:tcPr>
            <w:tcW w:w="0" w:type="auto"/>
            <w:gridSpan w:val="2"/>
            <w:shd w:val="clear" w:color="auto" w:fill="auto"/>
            <w:tcMar>
              <w:top w:w="40" w:type="dxa"/>
              <w:left w:w="40" w:type="dxa"/>
              <w:bottom w:w="40" w:type="dxa"/>
            </w:tcMar>
            <w:vAlign w:val="bottom"/>
          </w:tcPr>
          <w:p w14:paraId="0BC99DA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740</w:t>
            </w:r>
          </w:p>
        </w:tc>
        <w:tc>
          <w:tcPr>
            <w:tcW w:w="0" w:type="auto"/>
            <w:shd w:val="clear" w:color="auto" w:fill="auto"/>
            <w:vAlign w:val="bottom"/>
          </w:tcPr>
          <w:p w14:paraId="0BC99DA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DAD"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9DA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713</w:t>
            </w:r>
          </w:p>
        </w:tc>
        <w:tc>
          <w:tcPr>
            <w:tcW w:w="0" w:type="auto"/>
            <w:shd w:val="clear" w:color="auto" w:fill="auto"/>
            <w:vAlign w:val="bottom"/>
          </w:tcPr>
          <w:p w14:paraId="0BC99DAF" w14:textId="77777777" w:rsidR="009F0928" w:rsidRDefault="009F0928">
            <w:pPr>
              <w:textAlignment w:val="bottom"/>
              <w:rPr>
                <w:rFonts w:ascii="Times New Roman" w:hAnsi="Times New Roman"/>
                <w:sz w:val="20"/>
                <w:szCs w:val="20"/>
              </w:rPr>
            </w:pPr>
          </w:p>
        </w:tc>
      </w:tr>
      <w:tr w:rsidR="009F0928" w14:paraId="0BC99DB7" w14:textId="77777777">
        <w:tc>
          <w:tcPr>
            <w:tcW w:w="0" w:type="auto"/>
            <w:shd w:val="clear" w:color="auto" w:fill="E2E2E2"/>
            <w:tcMar>
              <w:top w:w="40" w:type="dxa"/>
              <w:left w:w="40" w:type="dxa"/>
              <w:bottom w:w="40" w:type="dxa"/>
              <w:right w:w="40" w:type="dxa"/>
            </w:tcMar>
            <w:vAlign w:val="bottom"/>
          </w:tcPr>
          <w:p w14:paraId="0BC99DB1" w14:textId="77777777" w:rsidR="009F0928" w:rsidRDefault="002112BD">
            <w:pPr>
              <w:textAlignment w:val="bottom"/>
              <w:rPr>
                <w:rFonts w:ascii="Times New Roman" w:hAnsi="Times New Roman"/>
                <w:sz w:val="18"/>
                <w:szCs w:val="18"/>
              </w:rPr>
            </w:pPr>
            <w:r>
              <w:rPr>
                <w:rFonts w:ascii="Arial" w:eastAsia="宋体" w:hAnsi="Arial" w:cs="Arial"/>
                <w:sz w:val="18"/>
                <w:szCs w:val="18"/>
              </w:rPr>
              <w:t>Leasehold improvements</w:t>
            </w:r>
          </w:p>
        </w:tc>
        <w:tc>
          <w:tcPr>
            <w:tcW w:w="0" w:type="auto"/>
            <w:gridSpan w:val="2"/>
            <w:shd w:val="clear" w:color="auto" w:fill="E2E2E2"/>
            <w:tcMar>
              <w:top w:w="40" w:type="dxa"/>
              <w:left w:w="40" w:type="dxa"/>
              <w:bottom w:w="40" w:type="dxa"/>
            </w:tcMar>
            <w:vAlign w:val="bottom"/>
          </w:tcPr>
          <w:p w14:paraId="0BC99DB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421</w:t>
            </w:r>
          </w:p>
        </w:tc>
        <w:tc>
          <w:tcPr>
            <w:tcW w:w="0" w:type="auto"/>
            <w:shd w:val="clear" w:color="auto" w:fill="E2E2E2"/>
            <w:vAlign w:val="bottom"/>
          </w:tcPr>
          <w:p w14:paraId="0BC99DB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DB4"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9DB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399</w:t>
            </w:r>
          </w:p>
        </w:tc>
        <w:tc>
          <w:tcPr>
            <w:tcW w:w="0" w:type="auto"/>
            <w:shd w:val="clear" w:color="auto" w:fill="E2E2E2"/>
            <w:vAlign w:val="bottom"/>
          </w:tcPr>
          <w:p w14:paraId="0BC99DB6" w14:textId="77777777" w:rsidR="009F0928" w:rsidRDefault="009F0928">
            <w:pPr>
              <w:textAlignment w:val="bottom"/>
              <w:rPr>
                <w:rFonts w:ascii="Times New Roman" w:hAnsi="Times New Roman"/>
                <w:sz w:val="20"/>
                <w:szCs w:val="20"/>
              </w:rPr>
            </w:pPr>
          </w:p>
        </w:tc>
      </w:tr>
      <w:tr w:rsidR="009F0928" w14:paraId="0BC99DBE" w14:textId="77777777">
        <w:tc>
          <w:tcPr>
            <w:tcW w:w="0" w:type="auto"/>
            <w:shd w:val="clear" w:color="auto" w:fill="auto"/>
            <w:tcMar>
              <w:top w:w="40" w:type="dxa"/>
              <w:left w:w="40" w:type="dxa"/>
              <w:bottom w:w="40" w:type="dxa"/>
              <w:right w:w="40" w:type="dxa"/>
            </w:tcMar>
            <w:vAlign w:val="bottom"/>
          </w:tcPr>
          <w:p w14:paraId="0BC99DB8" w14:textId="77777777" w:rsidR="009F0928" w:rsidRDefault="002112BD">
            <w:pPr>
              <w:textAlignment w:val="bottom"/>
              <w:rPr>
                <w:rFonts w:ascii="Times New Roman" w:hAnsi="Times New Roman"/>
                <w:sz w:val="18"/>
                <w:szCs w:val="18"/>
              </w:rPr>
            </w:pPr>
            <w:r>
              <w:rPr>
                <w:rFonts w:ascii="Arial" w:eastAsia="宋体" w:hAnsi="Arial" w:cs="Arial"/>
                <w:sz w:val="18"/>
                <w:szCs w:val="18"/>
              </w:rPr>
              <w:t>Furniture and fixtures</w:t>
            </w:r>
          </w:p>
        </w:tc>
        <w:tc>
          <w:tcPr>
            <w:tcW w:w="0" w:type="auto"/>
            <w:gridSpan w:val="2"/>
            <w:shd w:val="clear" w:color="auto" w:fill="auto"/>
            <w:tcMar>
              <w:top w:w="40" w:type="dxa"/>
              <w:left w:w="40" w:type="dxa"/>
              <w:bottom w:w="40" w:type="dxa"/>
            </w:tcMar>
            <w:vAlign w:val="bottom"/>
          </w:tcPr>
          <w:p w14:paraId="0BC99DB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175</w:t>
            </w:r>
          </w:p>
        </w:tc>
        <w:tc>
          <w:tcPr>
            <w:tcW w:w="0" w:type="auto"/>
            <w:shd w:val="clear" w:color="auto" w:fill="auto"/>
            <w:vAlign w:val="bottom"/>
          </w:tcPr>
          <w:p w14:paraId="0BC99DB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DBB"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9DB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169</w:t>
            </w:r>
          </w:p>
        </w:tc>
        <w:tc>
          <w:tcPr>
            <w:tcW w:w="0" w:type="auto"/>
            <w:shd w:val="clear" w:color="auto" w:fill="auto"/>
            <w:vAlign w:val="bottom"/>
          </w:tcPr>
          <w:p w14:paraId="0BC99DBD" w14:textId="77777777" w:rsidR="009F0928" w:rsidRDefault="009F0928">
            <w:pPr>
              <w:textAlignment w:val="bottom"/>
              <w:rPr>
                <w:rFonts w:ascii="Times New Roman" w:hAnsi="Times New Roman"/>
                <w:sz w:val="20"/>
                <w:szCs w:val="20"/>
              </w:rPr>
            </w:pPr>
          </w:p>
        </w:tc>
      </w:tr>
      <w:tr w:rsidR="009F0928" w14:paraId="0BC99DC5" w14:textId="77777777">
        <w:tc>
          <w:tcPr>
            <w:tcW w:w="0" w:type="auto"/>
            <w:shd w:val="clear" w:color="auto" w:fill="E2E2E2"/>
            <w:tcMar>
              <w:top w:w="40" w:type="dxa"/>
              <w:left w:w="40" w:type="dxa"/>
              <w:bottom w:w="40" w:type="dxa"/>
              <w:right w:w="40" w:type="dxa"/>
            </w:tcMar>
            <w:vAlign w:val="bottom"/>
          </w:tcPr>
          <w:p w14:paraId="0BC99DBF" w14:textId="77777777" w:rsidR="009F0928" w:rsidRDefault="002112BD">
            <w:pPr>
              <w:textAlignment w:val="bottom"/>
              <w:rPr>
                <w:rFonts w:ascii="Times New Roman" w:hAnsi="Times New Roman"/>
                <w:sz w:val="18"/>
                <w:szCs w:val="18"/>
              </w:rPr>
            </w:pPr>
            <w:r>
              <w:rPr>
                <w:rFonts w:ascii="Arial" w:eastAsia="宋体" w:hAnsi="Arial" w:cs="Arial"/>
                <w:sz w:val="18"/>
                <w:szCs w:val="18"/>
              </w:rPr>
              <w:t>Construction in progress and other</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DC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104</w:t>
            </w:r>
          </w:p>
        </w:tc>
        <w:tc>
          <w:tcPr>
            <w:tcW w:w="0" w:type="auto"/>
            <w:tcBorders>
              <w:bottom w:val="single" w:sz="8" w:space="0" w:color="000000"/>
            </w:tcBorders>
            <w:shd w:val="clear" w:color="auto" w:fill="E2E2E2"/>
            <w:vAlign w:val="bottom"/>
          </w:tcPr>
          <w:p w14:paraId="0BC99DC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DC2"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DC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130</w:t>
            </w:r>
          </w:p>
        </w:tc>
        <w:tc>
          <w:tcPr>
            <w:tcW w:w="0" w:type="auto"/>
            <w:tcBorders>
              <w:bottom w:val="single" w:sz="8" w:space="0" w:color="000000"/>
            </w:tcBorders>
            <w:shd w:val="clear" w:color="auto" w:fill="E2E2E2"/>
            <w:vAlign w:val="bottom"/>
          </w:tcPr>
          <w:p w14:paraId="0BC99DC4" w14:textId="77777777" w:rsidR="009F0928" w:rsidRDefault="009F0928">
            <w:pPr>
              <w:textAlignment w:val="bottom"/>
              <w:rPr>
                <w:rFonts w:ascii="Times New Roman" w:hAnsi="Times New Roman"/>
                <w:sz w:val="20"/>
                <w:szCs w:val="20"/>
              </w:rPr>
            </w:pPr>
          </w:p>
        </w:tc>
      </w:tr>
      <w:tr w:rsidR="009F0928" w14:paraId="0BC99DCC" w14:textId="77777777">
        <w:tc>
          <w:tcPr>
            <w:tcW w:w="0" w:type="auto"/>
            <w:shd w:val="clear" w:color="auto" w:fill="auto"/>
            <w:tcMar>
              <w:top w:w="40" w:type="dxa"/>
              <w:left w:w="400" w:type="dxa"/>
              <w:bottom w:w="40" w:type="dxa"/>
              <w:right w:w="40" w:type="dxa"/>
            </w:tcMar>
            <w:vAlign w:val="bottom"/>
          </w:tcPr>
          <w:p w14:paraId="0BC99DC6" w14:textId="77777777" w:rsidR="009F0928" w:rsidRDefault="002112BD">
            <w:pPr>
              <w:textAlignment w:val="bottom"/>
              <w:rPr>
                <w:rFonts w:ascii="Times New Roman" w:hAnsi="Times New Roman"/>
                <w:sz w:val="18"/>
                <w:szCs w:val="18"/>
              </w:rPr>
            </w:pPr>
            <w:r>
              <w:rPr>
                <w:rFonts w:ascii="Arial" w:eastAsia="宋体" w:hAnsi="Arial" w:cs="Arial"/>
                <w:sz w:val="18"/>
                <w:szCs w:val="18"/>
              </w:rPr>
              <w:t>Property and equipment, gross</w:t>
            </w:r>
          </w:p>
        </w:tc>
        <w:tc>
          <w:tcPr>
            <w:tcW w:w="0" w:type="auto"/>
            <w:gridSpan w:val="2"/>
            <w:shd w:val="clear" w:color="auto" w:fill="auto"/>
            <w:tcMar>
              <w:top w:w="40" w:type="dxa"/>
              <w:left w:w="40" w:type="dxa"/>
              <w:bottom w:w="40" w:type="dxa"/>
            </w:tcMar>
            <w:vAlign w:val="bottom"/>
          </w:tcPr>
          <w:p w14:paraId="0BC99DC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6,469</w:t>
            </w:r>
          </w:p>
        </w:tc>
        <w:tc>
          <w:tcPr>
            <w:tcW w:w="0" w:type="auto"/>
            <w:shd w:val="clear" w:color="auto" w:fill="auto"/>
            <w:vAlign w:val="bottom"/>
          </w:tcPr>
          <w:p w14:paraId="0BC99DC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DC9"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9DC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6,344</w:t>
            </w:r>
          </w:p>
        </w:tc>
        <w:tc>
          <w:tcPr>
            <w:tcW w:w="0" w:type="auto"/>
            <w:shd w:val="clear" w:color="auto" w:fill="auto"/>
            <w:vAlign w:val="bottom"/>
          </w:tcPr>
          <w:p w14:paraId="0BC99DCB" w14:textId="77777777" w:rsidR="009F0928" w:rsidRDefault="009F0928">
            <w:pPr>
              <w:textAlignment w:val="bottom"/>
              <w:rPr>
                <w:rFonts w:ascii="Times New Roman" w:hAnsi="Times New Roman"/>
                <w:sz w:val="20"/>
                <w:szCs w:val="20"/>
              </w:rPr>
            </w:pPr>
          </w:p>
        </w:tc>
      </w:tr>
      <w:tr w:rsidR="009F0928" w14:paraId="0BC99DD3" w14:textId="77777777">
        <w:tc>
          <w:tcPr>
            <w:tcW w:w="0" w:type="auto"/>
            <w:shd w:val="clear" w:color="auto" w:fill="E2E2E2"/>
            <w:tcMar>
              <w:top w:w="40" w:type="dxa"/>
              <w:left w:w="40" w:type="dxa"/>
              <w:bottom w:w="40" w:type="dxa"/>
              <w:right w:w="40" w:type="dxa"/>
            </w:tcMar>
            <w:vAlign w:val="bottom"/>
          </w:tcPr>
          <w:p w14:paraId="0BC99DCD" w14:textId="77777777" w:rsidR="009F0928" w:rsidRDefault="002112BD">
            <w:pPr>
              <w:textAlignment w:val="bottom"/>
              <w:rPr>
                <w:rFonts w:ascii="Times New Roman" w:hAnsi="Times New Roman"/>
                <w:sz w:val="18"/>
                <w:szCs w:val="18"/>
              </w:rPr>
            </w:pPr>
            <w:r>
              <w:rPr>
                <w:rFonts w:ascii="Arial" w:eastAsia="宋体" w:hAnsi="Arial" w:cs="Arial"/>
                <w:sz w:val="18"/>
                <w:szCs w:val="18"/>
              </w:rPr>
              <w:t>Accumulated depreciation</w:t>
            </w:r>
          </w:p>
        </w:tc>
        <w:tc>
          <w:tcPr>
            <w:tcW w:w="0" w:type="auto"/>
            <w:gridSpan w:val="2"/>
            <w:shd w:val="clear" w:color="auto" w:fill="E2E2E2"/>
            <w:tcMar>
              <w:top w:w="40" w:type="dxa"/>
              <w:left w:w="40" w:type="dxa"/>
              <w:bottom w:w="40" w:type="dxa"/>
            </w:tcMar>
            <w:vAlign w:val="bottom"/>
          </w:tcPr>
          <w:p w14:paraId="0BC99DC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(4,959</w:t>
            </w:r>
          </w:p>
        </w:tc>
        <w:tc>
          <w:tcPr>
            <w:tcW w:w="0" w:type="auto"/>
            <w:shd w:val="clear" w:color="auto" w:fill="E2E2E2"/>
            <w:tcMar>
              <w:top w:w="40" w:type="dxa"/>
              <w:bottom w:w="40" w:type="dxa"/>
              <w:right w:w="40" w:type="dxa"/>
            </w:tcMar>
            <w:vAlign w:val="bottom"/>
          </w:tcPr>
          <w:p w14:paraId="0BC99DC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9DD0"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9DD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(4,747</w:t>
            </w:r>
          </w:p>
        </w:tc>
        <w:tc>
          <w:tcPr>
            <w:tcW w:w="0" w:type="auto"/>
            <w:shd w:val="clear" w:color="auto" w:fill="E2E2E2"/>
            <w:tcMar>
              <w:top w:w="40" w:type="dxa"/>
              <w:bottom w:w="40" w:type="dxa"/>
              <w:right w:w="40" w:type="dxa"/>
            </w:tcMar>
            <w:vAlign w:val="bottom"/>
          </w:tcPr>
          <w:p w14:paraId="0BC99DD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9DDC" w14:textId="77777777">
        <w:tc>
          <w:tcPr>
            <w:tcW w:w="0" w:type="auto"/>
            <w:shd w:val="clear" w:color="auto" w:fill="auto"/>
            <w:tcMar>
              <w:top w:w="40" w:type="dxa"/>
              <w:left w:w="400" w:type="dxa"/>
              <w:bottom w:w="40" w:type="dxa"/>
              <w:right w:w="40" w:type="dxa"/>
            </w:tcMar>
            <w:vAlign w:val="bottom"/>
          </w:tcPr>
          <w:p w14:paraId="0BC99DD4" w14:textId="77777777" w:rsidR="009F0928" w:rsidRDefault="002112BD">
            <w:pPr>
              <w:textAlignment w:val="bottom"/>
              <w:rPr>
                <w:rFonts w:ascii="Times New Roman" w:hAnsi="Times New Roman"/>
                <w:sz w:val="18"/>
                <w:szCs w:val="18"/>
              </w:rPr>
            </w:pPr>
            <w:r>
              <w:rPr>
                <w:rFonts w:ascii="Arial" w:eastAsia="宋体" w:hAnsi="Arial" w:cs="Arial"/>
                <w:sz w:val="18"/>
                <w:szCs w:val="18"/>
              </w:rPr>
              <w:t>Property and equipment, net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DD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DD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1,510</w:t>
            </w:r>
          </w:p>
        </w:tc>
        <w:tc>
          <w:tcPr>
            <w:tcW w:w="0" w:type="auto"/>
            <w:tcBorders>
              <w:top w:val="single" w:sz="8" w:space="0" w:color="000000"/>
              <w:bottom w:val="double" w:sz="6" w:space="0" w:color="000000"/>
            </w:tcBorders>
            <w:shd w:val="clear" w:color="auto" w:fill="auto"/>
            <w:vAlign w:val="bottom"/>
          </w:tcPr>
          <w:p w14:paraId="0BC99DD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DD8"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DD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DD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1,597</w:t>
            </w:r>
          </w:p>
        </w:tc>
        <w:tc>
          <w:tcPr>
            <w:tcW w:w="0" w:type="auto"/>
            <w:tcBorders>
              <w:top w:val="single" w:sz="8" w:space="0" w:color="000000"/>
              <w:bottom w:val="double" w:sz="6" w:space="0" w:color="000000"/>
            </w:tcBorders>
            <w:shd w:val="clear" w:color="auto" w:fill="auto"/>
            <w:vAlign w:val="bottom"/>
          </w:tcPr>
          <w:p w14:paraId="0BC99DDB" w14:textId="77777777" w:rsidR="009F0928" w:rsidRDefault="009F0928">
            <w:pPr>
              <w:textAlignment w:val="bottom"/>
              <w:rPr>
                <w:rFonts w:ascii="Times New Roman" w:hAnsi="Times New Roman"/>
                <w:sz w:val="20"/>
                <w:szCs w:val="20"/>
              </w:rPr>
            </w:pPr>
          </w:p>
        </w:tc>
      </w:tr>
    </w:tbl>
    <w:p w14:paraId="0BC99DDD" w14:textId="77777777" w:rsidR="009F0928" w:rsidRDefault="009F0928">
      <w:pPr>
        <w:spacing w:line="288" w:lineRule="auto"/>
        <w:jc w:val="both"/>
        <w:rPr>
          <w:rFonts w:ascii="Times New Roman" w:hAnsi="Times New Roman"/>
          <w:sz w:val="20"/>
          <w:szCs w:val="20"/>
        </w:rPr>
      </w:pPr>
    </w:p>
    <w:p w14:paraId="0BC99DD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Total depreciation expense on our property and equipment for the years ended December 31, 2019, 2018 and 2017 totaled $628 million, $626 million and $612 million, respectively. </w:t>
      </w:r>
    </w:p>
    <w:p w14:paraId="0BC99DDF" w14:textId="77777777" w:rsidR="009F0928" w:rsidRDefault="009F0928">
      <w:pPr>
        <w:spacing w:line="288" w:lineRule="auto"/>
        <w:ind w:firstLine="640"/>
        <w:jc w:val="both"/>
        <w:rPr>
          <w:rFonts w:ascii="Times New Roman" w:hAnsi="Times New Roman"/>
          <w:sz w:val="20"/>
          <w:szCs w:val="20"/>
        </w:rPr>
      </w:pPr>
    </w:p>
    <w:p w14:paraId="0BC99DE0"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Accrued Expenses and Other Current Liabilities</w:t>
      </w:r>
    </w:p>
    <w:p w14:paraId="0BC99DE1" w14:textId="77777777" w:rsidR="009F0928" w:rsidRDefault="009F0928">
      <w:pPr>
        <w:spacing w:line="288" w:lineRule="auto"/>
        <w:jc w:val="both"/>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6197"/>
        <w:gridCol w:w="141"/>
        <w:gridCol w:w="798"/>
        <w:gridCol w:w="50"/>
        <w:gridCol w:w="130"/>
        <w:gridCol w:w="141"/>
        <w:gridCol w:w="798"/>
        <w:gridCol w:w="51"/>
      </w:tblGrid>
      <w:tr w:rsidR="009F0928" w14:paraId="0BC99DE3" w14:textId="77777777">
        <w:tc>
          <w:tcPr>
            <w:tcW w:w="0" w:type="auto"/>
            <w:gridSpan w:val="8"/>
            <w:shd w:val="clear" w:color="auto" w:fill="auto"/>
            <w:vAlign w:val="center"/>
          </w:tcPr>
          <w:p w14:paraId="0BC99DE2" w14:textId="77777777" w:rsidR="009F0928" w:rsidRDefault="009F0928">
            <w:pPr>
              <w:rPr>
                <w:rFonts w:ascii="Times New Roman" w:hAnsi="Times New Roman"/>
                <w:sz w:val="20"/>
                <w:szCs w:val="20"/>
              </w:rPr>
            </w:pPr>
          </w:p>
        </w:tc>
      </w:tr>
      <w:tr w:rsidR="009F0928" w14:paraId="0BC99DEC" w14:textId="77777777">
        <w:tc>
          <w:tcPr>
            <w:tcW w:w="3750" w:type="pct"/>
            <w:shd w:val="clear" w:color="auto" w:fill="auto"/>
            <w:vAlign w:val="center"/>
          </w:tcPr>
          <w:p w14:paraId="0BC99DE4" w14:textId="77777777" w:rsidR="009F0928" w:rsidRDefault="009F0928">
            <w:pPr>
              <w:rPr>
                <w:rFonts w:ascii="Times New Roman" w:hAnsi="Times New Roman"/>
                <w:sz w:val="20"/>
                <w:szCs w:val="20"/>
              </w:rPr>
            </w:pPr>
          </w:p>
        </w:tc>
        <w:tc>
          <w:tcPr>
            <w:tcW w:w="50" w:type="pct"/>
            <w:shd w:val="clear" w:color="auto" w:fill="auto"/>
            <w:vAlign w:val="center"/>
          </w:tcPr>
          <w:p w14:paraId="0BC99DE5" w14:textId="77777777" w:rsidR="009F0928" w:rsidRDefault="009F0928">
            <w:pPr>
              <w:rPr>
                <w:rFonts w:ascii="Times New Roman" w:hAnsi="Times New Roman"/>
                <w:sz w:val="20"/>
                <w:szCs w:val="20"/>
              </w:rPr>
            </w:pPr>
          </w:p>
        </w:tc>
        <w:tc>
          <w:tcPr>
            <w:tcW w:w="500" w:type="pct"/>
            <w:shd w:val="clear" w:color="auto" w:fill="auto"/>
            <w:vAlign w:val="center"/>
          </w:tcPr>
          <w:p w14:paraId="0BC99DE6" w14:textId="77777777" w:rsidR="009F0928" w:rsidRDefault="009F0928">
            <w:pPr>
              <w:rPr>
                <w:rFonts w:ascii="Times New Roman" w:hAnsi="Times New Roman"/>
                <w:sz w:val="20"/>
                <w:szCs w:val="20"/>
              </w:rPr>
            </w:pPr>
          </w:p>
        </w:tc>
        <w:tc>
          <w:tcPr>
            <w:tcW w:w="50" w:type="pct"/>
            <w:shd w:val="clear" w:color="auto" w:fill="auto"/>
            <w:vAlign w:val="center"/>
          </w:tcPr>
          <w:p w14:paraId="0BC99DE7" w14:textId="77777777" w:rsidR="009F0928" w:rsidRDefault="009F0928">
            <w:pPr>
              <w:rPr>
                <w:rFonts w:ascii="Times New Roman" w:hAnsi="Times New Roman"/>
                <w:sz w:val="20"/>
                <w:szCs w:val="20"/>
              </w:rPr>
            </w:pPr>
          </w:p>
        </w:tc>
        <w:tc>
          <w:tcPr>
            <w:tcW w:w="50" w:type="pct"/>
            <w:shd w:val="clear" w:color="auto" w:fill="auto"/>
            <w:vAlign w:val="center"/>
          </w:tcPr>
          <w:p w14:paraId="0BC99DE8" w14:textId="77777777" w:rsidR="009F0928" w:rsidRDefault="009F0928">
            <w:pPr>
              <w:rPr>
                <w:rFonts w:ascii="Times New Roman" w:hAnsi="Times New Roman"/>
                <w:sz w:val="20"/>
                <w:szCs w:val="20"/>
              </w:rPr>
            </w:pPr>
          </w:p>
        </w:tc>
        <w:tc>
          <w:tcPr>
            <w:tcW w:w="50" w:type="pct"/>
            <w:shd w:val="clear" w:color="auto" w:fill="auto"/>
            <w:vAlign w:val="center"/>
          </w:tcPr>
          <w:p w14:paraId="0BC99DE9" w14:textId="77777777" w:rsidR="009F0928" w:rsidRDefault="009F0928">
            <w:pPr>
              <w:rPr>
                <w:rFonts w:ascii="Times New Roman" w:hAnsi="Times New Roman"/>
                <w:sz w:val="20"/>
                <w:szCs w:val="20"/>
              </w:rPr>
            </w:pPr>
          </w:p>
        </w:tc>
        <w:tc>
          <w:tcPr>
            <w:tcW w:w="500" w:type="pct"/>
            <w:shd w:val="clear" w:color="auto" w:fill="auto"/>
            <w:vAlign w:val="center"/>
          </w:tcPr>
          <w:p w14:paraId="0BC99DEA" w14:textId="77777777" w:rsidR="009F0928" w:rsidRDefault="009F0928">
            <w:pPr>
              <w:rPr>
                <w:rFonts w:ascii="Times New Roman" w:hAnsi="Times New Roman"/>
                <w:sz w:val="20"/>
                <w:szCs w:val="20"/>
              </w:rPr>
            </w:pPr>
          </w:p>
        </w:tc>
        <w:tc>
          <w:tcPr>
            <w:tcW w:w="50" w:type="pct"/>
            <w:shd w:val="clear" w:color="auto" w:fill="auto"/>
            <w:vAlign w:val="center"/>
          </w:tcPr>
          <w:p w14:paraId="0BC99DEB" w14:textId="77777777" w:rsidR="009F0928" w:rsidRDefault="009F0928">
            <w:pPr>
              <w:rPr>
                <w:rFonts w:ascii="Times New Roman" w:hAnsi="Times New Roman"/>
                <w:sz w:val="20"/>
                <w:szCs w:val="20"/>
              </w:rPr>
            </w:pPr>
          </w:p>
        </w:tc>
      </w:tr>
      <w:tr w:rsidR="009F0928" w14:paraId="0BC99DEF" w14:textId="77777777">
        <w:tc>
          <w:tcPr>
            <w:tcW w:w="0" w:type="auto"/>
            <w:vMerge w:val="restart"/>
            <w:shd w:val="clear" w:color="auto" w:fill="auto"/>
            <w:tcMar>
              <w:top w:w="40" w:type="dxa"/>
              <w:left w:w="40" w:type="dxa"/>
              <w:bottom w:w="40" w:type="dxa"/>
              <w:right w:w="40" w:type="dxa"/>
            </w:tcMar>
            <w:vAlign w:val="bottom"/>
          </w:tcPr>
          <w:p w14:paraId="0BC99DED"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BC99DEE"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w:t>
            </w:r>
          </w:p>
        </w:tc>
      </w:tr>
      <w:tr w:rsidR="009F0928" w14:paraId="0BC99DF4" w14:textId="77777777">
        <w:tc>
          <w:tcPr>
            <w:tcW w:w="0" w:type="auto"/>
            <w:vMerge/>
            <w:shd w:val="clear" w:color="auto" w:fill="auto"/>
            <w:tcMar>
              <w:top w:w="40" w:type="dxa"/>
              <w:left w:w="40" w:type="dxa"/>
              <w:bottom w:w="40" w:type="dxa"/>
              <w:right w:w="40" w:type="dxa"/>
            </w:tcMar>
            <w:vAlign w:val="bottom"/>
          </w:tcPr>
          <w:p w14:paraId="0BC99DF0" w14:textId="77777777" w:rsidR="009F0928" w:rsidRDefault="009F0928">
            <w:pPr>
              <w:rPr>
                <w:rFonts w:ascii="Times New Roman" w:hAnsi="Times New Roman"/>
                <w:sz w:val="20"/>
                <w:szCs w:val="20"/>
              </w:rPr>
            </w:pP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DF1"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0BC99DF2"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9DF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r>
      <w:tr w:rsidR="009F0928" w14:paraId="0BC99DF7" w14:textId="77777777">
        <w:tc>
          <w:tcPr>
            <w:tcW w:w="0" w:type="auto"/>
            <w:vMerge/>
            <w:shd w:val="clear" w:color="auto" w:fill="auto"/>
            <w:tcMar>
              <w:top w:w="40" w:type="dxa"/>
              <w:left w:w="40" w:type="dxa"/>
              <w:bottom w:w="40" w:type="dxa"/>
              <w:right w:w="40" w:type="dxa"/>
            </w:tcMar>
            <w:vAlign w:val="bottom"/>
          </w:tcPr>
          <w:p w14:paraId="0BC99DF5" w14:textId="77777777" w:rsidR="009F0928" w:rsidRDefault="009F0928">
            <w:pPr>
              <w:rPr>
                <w:rFonts w:ascii="Times New Roman" w:hAnsi="Times New Roman"/>
                <w:sz w:val="20"/>
                <w:szCs w:val="20"/>
              </w:rPr>
            </w:pPr>
          </w:p>
        </w:tc>
        <w:tc>
          <w:tcPr>
            <w:tcW w:w="0" w:type="auto"/>
            <w:gridSpan w:val="7"/>
            <w:shd w:val="clear" w:color="auto" w:fill="auto"/>
            <w:tcMar>
              <w:top w:w="40" w:type="dxa"/>
              <w:left w:w="40" w:type="dxa"/>
              <w:bottom w:w="40" w:type="dxa"/>
            </w:tcMar>
            <w:vAlign w:val="bottom"/>
          </w:tcPr>
          <w:p w14:paraId="0BC99DF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(In millions)</w:t>
            </w:r>
          </w:p>
        </w:tc>
      </w:tr>
      <w:tr w:rsidR="009F0928" w14:paraId="0BC99E00" w14:textId="77777777">
        <w:tc>
          <w:tcPr>
            <w:tcW w:w="0" w:type="auto"/>
            <w:shd w:val="clear" w:color="auto" w:fill="E2E2E2"/>
            <w:tcMar>
              <w:top w:w="40" w:type="dxa"/>
              <w:left w:w="40" w:type="dxa"/>
              <w:bottom w:w="40" w:type="dxa"/>
              <w:right w:w="40" w:type="dxa"/>
            </w:tcMar>
            <w:vAlign w:val="bottom"/>
          </w:tcPr>
          <w:p w14:paraId="0BC99DF8" w14:textId="77777777" w:rsidR="009F0928" w:rsidRDefault="002112BD">
            <w:pPr>
              <w:textAlignment w:val="bottom"/>
              <w:rPr>
                <w:rFonts w:ascii="Times New Roman" w:hAnsi="Times New Roman"/>
                <w:sz w:val="18"/>
                <w:szCs w:val="18"/>
              </w:rPr>
            </w:pPr>
            <w:r>
              <w:rPr>
                <w:rFonts w:ascii="Arial" w:eastAsia="宋体" w:hAnsi="Arial" w:cs="Arial"/>
                <w:sz w:val="18"/>
                <w:szCs w:val="18"/>
              </w:rPr>
              <w:t>Customer accounts and funds payable</w:t>
            </w:r>
          </w:p>
        </w:tc>
        <w:tc>
          <w:tcPr>
            <w:tcW w:w="0" w:type="auto"/>
            <w:shd w:val="clear" w:color="auto" w:fill="E2E2E2"/>
            <w:tcMar>
              <w:top w:w="40" w:type="dxa"/>
              <w:left w:w="40" w:type="dxa"/>
              <w:bottom w:w="40" w:type="dxa"/>
            </w:tcMar>
            <w:vAlign w:val="bottom"/>
          </w:tcPr>
          <w:p w14:paraId="0BC99DF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DF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736</w:t>
            </w:r>
          </w:p>
        </w:tc>
        <w:tc>
          <w:tcPr>
            <w:tcW w:w="0" w:type="auto"/>
            <w:shd w:val="clear" w:color="auto" w:fill="E2E2E2"/>
            <w:vAlign w:val="bottom"/>
          </w:tcPr>
          <w:p w14:paraId="0BC99DF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DF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DF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9DF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681</w:t>
            </w:r>
          </w:p>
        </w:tc>
        <w:tc>
          <w:tcPr>
            <w:tcW w:w="0" w:type="auto"/>
            <w:shd w:val="clear" w:color="auto" w:fill="E2E2E2"/>
            <w:vAlign w:val="bottom"/>
          </w:tcPr>
          <w:p w14:paraId="0BC99DFF" w14:textId="77777777" w:rsidR="009F0928" w:rsidRDefault="009F0928">
            <w:pPr>
              <w:textAlignment w:val="bottom"/>
              <w:rPr>
                <w:rFonts w:ascii="Times New Roman" w:hAnsi="Times New Roman"/>
                <w:sz w:val="20"/>
                <w:szCs w:val="20"/>
              </w:rPr>
            </w:pPr>
          </w:p>
        </w:tc>
      </w:tr>
      <w:tr w:rsidR="009F0928" w14:paraId="0BC99E07" w14:textId="77777777">
        <w:tc>
          <w:tcPr>
            <w:tcW w:w="0" w:type="auto"/>
            <w:shd w:val="clear" w:color="auto" w:fill="auto"/>
            <w:tcMar>
              <w:top w:w="40" w:type="dxa"/>
              <w:left w:w="40" w:type="dxa"/>
              <w:bottom w:w="40" w:type="dxa"/>
              <w:right w:w="40" w:type="dxa"/>
            </w:tcMar>
            <w:vAlign w:val="bottom"/>
          </w:tcPr>
          <w:p w14:paraId="0BC99E01" w14:textId="77777777" w:rsidR="009F0928" w:rsidRDefault="002112BD">
            <w:pPr>
              <w:textAlignment w:val="bottom"/>
              <w:rPr>
                <w:rFonts w:ascii="Times New Roman" w:hAnsi="Times New Roman"/>
                <w:sz w:val="18"/>
                <w:szCs w:val="18"/>
              </w:rPr>
            </w:pPr>
            <w:r>
              <w:rPr>
                <w:rFonts w:ascii="Arial" w:eastAsia="宋体" w:hAnsi="Arial" w:cs="Arial"/>
                <w:sz w:val="18"/>
                <w:szCs w:val="18"/>
              </w:rPr>
              <w:t>Compensation and related benefits</w:t>
            </w:r>
          </w:p>
        </w:tc>
        <w:tc>
          <w:tcPr>
            <w:tcW w:w="0" w:type="auto"/>
            <w:gridSpan w:val="2"/>
            <w:shd w:val="clear" w:color="auto" w:fill="auto"/>
            <w:tcMar>
              <w:top w:w="40" w:type="dxa"/>
              <w:left w:w="40" w:type="dxa"/>
              <w:bottom w:w="40" w:type="dxa"/>
            </w:tcMar>
            <w:vAlign w:val="bottom"/>
          </w:tcPr>
          <w:p w14:paraId="0BC99E0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500</w:t>
            </w:r>
          </w:p>
        </w:tc>
        <w:tc>
          <w:tcPr>
            <w:tcW w:w="0" w:type="auto"/>
            <w:shd w:val="clear" w:color="auto" w:fill="auto"/>
            <w:vAlign w:val="bottom"/>
          </w:tcPr>
          <w:p w14:paraId="0BC99E0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E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E0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410</w:t>
            </w:r>
          </w:p>
        </w:tc>
        <w:tc>
          <w:tcPr>
            <w:tcW w:w="0" w:type="auto"/>
            <w:shd w:val="clear" w:color="auto" w:fill="auto"/>
            <w:vAlign w:val="bottom"/>
          </w:tcPr>
          <w:p w14:paraId="0BC99E06" w14:textId="77777777" w:rsidR="009F0928" w:rsidRDefault="009F0928">
            <w:pPr>
              <w:textAlignment w:val="bottom"/>
              <w:rPr>
                <w:rFonts w:ascii="Times New Roman" w:hAnsi="Times New Roman"/>
                <w:sz w:val="20"/>
                <w:szCs w:val="20"/>
              </w:rPr>
            </w:pPr>
          </w:p>
        </w:tc>
      </w:tr>
      <w:tr w:rsidR="009F0928" w14:paraId="0BC99E0E" w14:textId="77777777">
        <w:tc>
          <w:tcPr>
            <w:tcW w:w="0" w:type="auto"/>
            <w:shd w:val="clear" w:color="auto" w:fill="E2E2E2"/>
            <w:tcMar>
              <w:top w:w="40" w:type="dxa"/>
              <w:left w:w="40" w:type="dxa"/>
              <w:bottom w:w="40" w:type="dxa"/>
              <w:right w:w="40" w:type="dxa"/>
            </w:tcMar>
            <w:vAlign w:val="bottom"/>
          </w:tcPr>
          <w:p w14:paraId="0BC99E08" w14:textId="77777777" w:rsidR="009F0928" w:rsidRDefault="002112BD">
            <w:pPr>
              <w:textAlignment w:val="bottom"/>
              <w:rPr>
                <w:rFonts w:ascii="Times New Roman" w:hAnsi="Times New Roman"/>
                <w:sz w:val="18"/>
                <w:szCs w:val="18"/>
              </w:rPr>
            </w:pPr>
            <w:r>
              <w:rPr>
                <w:rFonts w:ascii="Arial" w:eastAsia="宋体" w:hAnsi="Arial" w:cs="Arial"/>
                <w:sz w:val="18"/>
                <w:szCs w:val="18"/>
              </w:rPr>
              <w:t>Advertising accruals</w:t>
            </w:r>
          </w:p>
        </w:tc>
        <w:tc>
          <w:tcPr>
            <w:tcW w:w="0" w:type="auto"/>
            <w:gridSpan w:val="2"/>
            <w:shd w:val="clear" w:color="auto" w:fill="E2E2E2"/>
            <w:tcMar>
              <w:top w:w="40" w:type="dxa"/>
              <w:left w:w="40" w:type="dxa"/>
              <w:bottom w:w="40" w:type="dxa"/>
            </w:tcMar>
            <w:vAlign w:val="bottom"/>
          </w:tcPr>
          <w:p w14:paraId="0BC99E0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195</w:t>
            </w:r>
          </w:p>
        </w:tc>
        <w:tc>
          <w:tcPr>
            <w:tcW w:w="0" w:type="auto"/>
            <w:shd w:val="clear" w:color="auto" w:fill="E2E2E2"/>
            <w:vAlign w:val="bottom"/>
          </w:tcPr>
          <w:p w14:paraId="0BC99E0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E0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E0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264</w:t>
            </w:r>
          </w:p>
        </w:tc>
        <w:tc>
          <w:tcPr>
            <w:tcW w:w="0" w:type="auto"/>
            <w:shd w:val="clear" w:color="auto" w:fill="E2E2E2"/>
            <w:vAlign w:val="bottom"/>
          </w:tcPr>
          <w:p w14:paraId="0BC99E0D" w14:textId="77777777" w:rsidR="009F0928" w:rsidRDefault="009F0928">
            <w:pPr>
              <w:textAlignment w:val="bottom"/>
              <w:rPr>
                <w:rFonts w:ascii="Times New Roman" w:hAnsi="Times New Roman"/>
                <w:sz w:val="20"/>
                <w:szCs w:val="20"/>
              </w:rPr>
            </w:pPr>
          </w:p>
        </w:tc>
      </w:tr>
      <w:tr w:rsidR="009F0928" w14:paraId="0BC99E15" w14:textId="77777777">
        <w:tc>
          <w:tcPr>
            <w:tcW w:w="0" w:type="auto"/>
            <w:shd w:val="clear" w:color="auto" w:fill="auto"/>
            <w:tcMar>
              <w:top w:w="40" w:type="dxa"/>
              <w:left w:w="40" w:type="dxa"/>
              <w:bottom w:w="40" w:type="dxa"/>
              <w:right w:w="40" w:type="dxa"/>
            </w:tcMar>
            <w:vAlign w:val="bottom"/>
          </w:tcPr>
          <w:p w14:paraId="0BC99E0F" w14:textId="77777777" w:rsidR="009F0928" w:rsidRDefault="002112BD">
            <w:pPr>
              <w:textAlignment w:val="bottom"/>
              <w:rPr>
                <w:rFonts w:ascii="Times New Roman" w:hAnsi="Times New Roman"/>
                <w:sz w:val="18"/>
                <w:szCs w:val="18"/>
              </w:rPr>
            </w:pPr>
            <w:r>
              <w:rPr>
                <w:rFonts w:ascii="Arial" w:eastAsia="宋体" w:hAnsi="Arial" w:cs="Arial"/>
                <w:sz w:val="18"/>
                <w:szCs w:val="18"/>
              </w:rPr>
              <w:t>Other current tax liabilities</w:t>
            </w:r>
          </w:p>
        </w:tc>
        <w:tc>
          <w:tcPr>
            <w:tcW w:w="0" w:type="auto"/>
            <w:gridSpan w:val="2"/>
            <w:shd w:val="clear" w:color="auto" w:fill="auto"/>
            <w:tcMar>
              <w:top w:w="40" w:type="dxa"/>
              <w:left w:w="40" w:type="dxa"/>
              <w:bottom w:w="40" w:type="dxa"/>
            </w:tcMar>
            <w:vAlign w:val="bottom"/>
          </w:tcPr>
          <w:p w14:paraId="0BC99E1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38</w:t>
            </w:r>
          </w:p>
        </w:tc>
        <w:tc>
          <w:tcPr>
            <w:tcW w:w="0" w:type="auto"/>
            <w:shd w:val="clear" w:color="auto" w:fill="auto"/>
            <w:vAlign w:val="bottom"/>
          </w:tcPr>
          <w:p w14:paraId="0BC99E1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E1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E1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229</w:t>
            </w:r>
          </w:p>
        </w:tc>
        <w:tc>
          <w:tcPr>
            <w:tcW w:w="0" w:type="auto"/>
            <w:shd w:val="clear" w:color="auto" w:fill="auto"/>
            <w:vAlign w:val="bottom"/>
          </w:tcPr>
          <w:p w14:paraId="0BC99E14" w14:textId="77777777" w:rsidR="009F0928" w:rsidRDefault="009F0928">
            <w:pPr>
              <w:textAlignment w:val="bottom"/>
              <w:rPr>
                <w:rFonts w:ascii="Times New Roman" w:hAnsi="Times New Roman"/>
                <w:sz w:val="20"/>
                <w:szCs w:val="20"/>
              </w:rPr>
            </w:pPr>
          </w:p>
        </w:tc>
      </w:tr>
      <w:tr w:rsidR="009F0928" w14:paraId="0BC99E1C" w14:textId="77777777">
        <w:tc>
          <w:tcPr>
            <w:tcW w:w="0" w:type="auto"/>
            <w:shd w:val="clear" w:color="auto" w:fill="E2E2E2"/>
            <w:tcMar>
              <w:top w:w="40" w:type="dxa"/>
              <w:left w:w="40" w:type="dxa"/>
              <w:bottom w:w="40" w:type="dxa"/>
              <w:right w:w="40" w:type="dxa"/>
            </w:tcMar>
            <w:vAlign w:val="bottom"/>
          </w:tcPr>
          <w:p w14:paraId="0BC99E16" w14:textId="77777777" w:rsidR="009F0928" w:rsidRDefault="002112BD">
            <w:pPr>
              <w:textAlignment w:val="bottom"/>
              <w:rPr>
                <w:rFonts w:ascii="Times New Roman" w:hAnsi="Times New Roman"/>
                <w:sz w:val="18"/>
                <w:szCs w:val="18"/>
              </w:rPr>
            </w:pPr>
            <w:r>
              <w:rPr>
                <w:rFonts w:ascii="Arial" w:eastAsia="宋体" w:hAnsi="Arial" w:cs="Arial"/>
                <w:sz w:val="18"/>
                <w:szCs w:val="18"/>
              </w:rPr>
              <w:t>Other</w:t>
            </w:r>
          </w:p>
        </w:tc>
        <w:tc>
          <w:tcPr>
            <w:tcW w:w="0" w:type="auto"/>
            <w:gridSpan w:val="2"/>
            <w:shd w:val="clear" w:color="auto" w:fill="E2E2E2"/>
            <w:tcMar>
              <w:top w:w="40" w:type="dxa"/>
              <w:left w:w="40" w:type="dxa"/>
              <w:bottom w:w="40" w:type="dxa"/>
            </w:tcMar>
            <w:vAlign w:val="bottom"/>
          </w:tcPr>
          <w:p w14:paraId="0BC99E1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935</w:t>
            </w:r>
          </w:p>
        </w:tc>
        <w:tc>
          <w:tcPr>
            <w:tcW w:w="0" w:type="auto"/>
            <w:shd w:val="clear" w:color="auto" w:fill="E2E2E2"/>
            <w:vAlign w:val="bottom"/>
          </w:tcPr>
          <w:p w14:paraId="0BC99E1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E1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9E1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751</w:t>
            </w:r>
          </w:p>
        </w:tc>
        <w:tc>
          <w:tcPr>
            <w:tcW w:w="0" w:type="auto"/>
            <w:tcBorders>
              <w:bottom w:val="single" w:sz="8" w:space="0" w:color="000000"/>
            </w:tcBorders>
            <w:shd w:val="clear" w:color="auto" w:fill="E2E2E2"/>
            <w:vAlign w:val="bottom"/>
          </w:tcPr>
          <w:p w14:paraId="0BC99E1B" w14:textId="77777777" w:rsidR="009F0928" w:rsidRDefault="009F0928">
            <w:pPr>
              <w:textAlignment w:val="bottom"/>
              <w:rPr>
                <w:rFonts w:ascii="Times New Roman" w:hAnsi="Times New Roman"/>
                <w:sz w:val="20"/>
                <w:szCs w:val="20"/>
              </w:rPr>
            </w:pPr>
          </w:p>
        </w:tc>
      </w:tr>
      <w:tr w:rsidR="009F0928" w14:paraId="0BC99E25" w14:textId="77777777">
        <w:tc>
          <w:tcPr>
            <w:tcW w:w="0" w:type="auto"/>
            <w:shd w:val="clear" w:color="auto" w:fill="auto"/>
            <w:tcMar>
              <w:top w:w="40" w:type="dxa"/>
              <w:left w:w="400" w:type="dxa"/>
              <w:bottom w:w="40" w:type="dxa"/>
              <w:right w:w="40" w:type="dxa"/>
            </w:tcMar>
            <w:vAlign w:val="bottom"/>
          </w:tcPr>
          <w:p w14:paraId="0BC99E1D"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Accrued expenses and other </w:t>
            </w:r>
            <w:r>
              <w:rPr>
                <w:rFonts w:ascii="Arial" w:eastAsia="宋体" w:hAnsi="Arial" w:cs="Arial"/>
                <w:sz w:val="18"/>
                <w:szCs w:val="18"/>
              </w:rPr>
              <w:t>current liabilities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E1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E1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2,404</w:t>
            </w:r>
          </w:p>
        </w:tc>
        <w:tc>
          <w:tcPr>
            <w:tcW w:w="0" w:type="auto"/>
            <w:tcBorders>
              <w:top w:val="single" w:sz="8" w:space="0" w:color="000000"/>
              <w:bottom w:val="double" w:sz="6" w:space="0" w:color="000000"/>
            </w:tcBorders>
            <w:shd w:val="clear" w:color="auto" w:fill="auto"/>
            <w:vAlign w:val="bottom"/>
          </w:tcPr>
          <w:p w14:paraId="0BC99E2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E2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9E2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9E2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2,335</w:t>
            </w:r>
          </w:p>
        </w:tc>
        <w:tc>
          <w:tcPr>
            <w:tcW w:w="0" w:type="auto"/>
            <w:tcBorders>
              <w:top w:val="single" w:sz="8" w:space="0" w:color="000000"/>
              <w:bottom w:val="double" w:sz="6" w:space="0" w:color="000000"/>
            </w:tcBorders>
            <w:shd w:val="clear" w:color="auto" w:fill="auto"/>
            <w:vAlign w:val="bottom"/>
          </w:tcPr>
          <w:p w14:paraId="0BC99E24" w14:textId="77777777" w:rsidR="009F0928" w:rsidRDefault="009F0928">
            <w:pPr>
              <w:textAlignment w:val="bottom"/>
              <w:rPr>
                <w:rFonts w:ascii="Times New Roman" w:hAnsi="Times New Roman"/>
                <w:sz w:val="20"/>
                <w:szCs w:val="20"/>
              </w:rPr>
            </w:pPr>
          </w:p>
        </w:tc>
      </w:tr>
    </w:tbl>
    <w:p w14:paraId="0BC99E26" w14:textId="77777777" w:rsidR="009F0928" w:rsidRDefault="009F0928">
      <w:pPr>
        <w:spacing w:line="288" w:lineRule="auto"/>
        <w:rPr>
          <w:rFonts w:ascii="Times New Roman" w:hAnsi="Times New Roman"/>
          <w:sz w:val="20"/>
          <w:szCs w:val="20"/>
        </w:rPr>
      </w:pPr>
    </w:p>
    <w:p w14:paraId="0BC99E27" w14:textId="77777777" w:rsidR="009F0928" w:rsidRDefault="009F0928">
      <w:pPr>
        <w:spacing w:line="288" w:lineRule="auto"/>
        <w:ind w:firstLine="720"/>
        <w:jc w:val="both"/>
        <w:rPr>
          <w:rFonts w:ascii="Times New Roman" w:hAnsi="Times New Roman"/>
          <w:sz w:val="20"/>
          <w:szCs w:val="20"/>
        </w:rPr>
      </w:pPr>
    </w:p>
    <w:p w14:paraId="0BC99E28" w14:textId="77777777" w:rsidR="009F0928" w:rsidRDefault="009F0928">
      <w:pPr>
        <w:rPr>
          <w:rFonts w:ascii="Times New Roman" w:hAnsi="Times New Roman"/>
          <w:sz w:val="20"/>
          <w:szCs w:val="20"/>
        </w:rPr>
      </w:pPr>
    </w:p>
    <w:p w14:paraId="0BC99E29"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F-29</w:t>
      </w:r>
    </w:p>
    <w:p w14:paraId="0BC99E2A" w14:textId="77777777" w:rsidR="009F0928" w:rsidRDefault="002112BD">
      <w:r>
        <w:rPr>
          <w:rFonts w:ascii="Times New Roman" w:hAnsi="Times New Roman"/>
          <w:sz w:val="18"/>
          <w:szCs w:val="18"/>
        </w:rPr>
        <w:pict w14:anchorId="0BC9B517">
          <v:rect id="_x0000_i1115" style="width:415.3pt;height:1.5pt" o:hralign="center" o:hrstd="t" o:hr="t" fillcolor="#a0a0a0" stroked="f"/>
        </w:pict>
      </w:r>
    </w:p>
    <w:p w14:paraId="0BC99E2B" w14:textId="77777777" w:rsidR="009F0928" w:rsidRDefault="009F0928">
      <w:pPr>
        <w:spacing w:line="288" w:lineRule="auto"/>
        <w:rPr>
          <w:rFonts w:ascii="Times New Roman" w:hAnsi="Times New Roman"/>
          <w:sz w:val="20"/>
          <w:szCs w:val="20"/>
        </w:rPr>
      </w:pPr>
    </w:p>
    <w:p w14:paraId="0BC99E2C" w14:textId="77777777" w:rsidR="009F0928" w:rsidRDefault="009F0928">
      <w:pPr>
        <w:rPr>
          <w:rFonts w:ascii="Times New Roman" w:hAnsi="Times New Roman"/>
          <w:sz w:val="20"/>
          <w:szCs w:val="20"/>
        </w:rPr>
      </w:pPr>
    </w:p>
    <w:p w14:paraId="0BC99E2D"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Note 10 – Debt</w:t>
      </w:r>
    </w:p>
    <w:p w14:paraId="0BC99E2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table summarizes the carrying value of our outstanding debt (in millions, except percentages):</w:t>
      </w:r>
    </w:p>
    <w:tbl>
      <w:tblPr>
        <w:tblW w:w="5000" w:type="pct"/>
        <w:jc w:val="center"/>
        <w:tblCellMar>
          <w:left w:w="0" w:type="dxa"/>
          <w:right w:w="0" w:type="dxa"/>
        </w:tblCellMar>
        <w:tblLook w:val="04A0" w:firstRow="1" w:lastRow="0" w:firstColumn="1" w:lastColumn="0" w:noHBand="0" w:noVBand="1"/>
      </w:tblPr>
      <w:tblGrid>
        <w:gridCol w:w="2151"/>
        <w:gridCol w:w="130"/>
        <w:gridCol w:w="1154"/>
        <w:gridCol w:w="130"/>
        <w:gridCol w:w="130"/>
        <w:gridCol w:w="988"/>
        <w:gridCol w:w="94"/>
        <w:gridCol w:w="130"/>
        <w:gridCol w:w="822"/>
        <w:gridCol w:w="183"/>
        <w:gridCol w:w="130"/>
        <w:gridCol w:w="130"/>
        <w:gridCol w:w="905"/>
        <w:gridCol w:w="94"/>
        <w:gridCol w:w="130"/>
        <w:gridCol w:w="822"/>
        <w:gridCol w:w="183"/>
      </w:tblGrid>
      <w:tr w:rsidR="009F0928" w14:paraId="0BC99E30" w14:textId="77777777">
        <w:trPr>
          <w:jc w:val="center"/>
        </w:trPr>
        <w:tc>
          <w:tcPr>
            <w:tcW w:w="0" w:type="auto"/>
            <w:gridSpan w:val="17"/>
            <w:shd w:val="clear" w:color="auto" w:fill="auto"/>
            <w:vAlign w:val="center"/>
          </w:tcPr>
          <w:p w14:paraId="0BC99E2F" w14:textId="77777777" w:rsidR="009F0928" w:rsidRDefault="009F0928">
            <w:pPr>
              <w:rPr>
                <w:rFonts w:ascii="Times New Roman" w:hAnsi="Times New Roman"/>
                <w:sz w:val="20"/>
                <w:szCs w:val="20"/>
              </w:rPr>
            </w:pPr>
          </w:p>
        </w:tc>
      </w:tr>
      <w:tr w:rsidR="009F0928" w14:paraId="0BC99E42" w14:textId="77777777">
        <w:trPr>
          <w:jc w:val="center"/>
        </w:trPr>
        <w:tc>
          <w:tcPr>
            <w:tcW w:w="1350" w:type="pct"/>
            <w:shd w:val="clear" w:color="auto" w:fill="auto"/>
            <w:vAlign w:val="center"/>
          </w:tcPr>
          <w:p w14:paraId="0BC99E31" w14:textId="77777777" w:rsidR="009F0928" w:rsidRDefault="009F0928">
            <w:pPr>
              <w:rPr>
                <w:rFonts w:ascii="Times New Roman" w:hAnsi="Times New Roman"/>
                <w:sz w:val="20"/>
                <w:szCs w:val="20"/>
              </w:rPr>
            </w:pPr>
          </w:p>
        </w:tc>
        <w:tc>
          <w:tcPr>
            <w:tcW w:w="50" w:type="pct"/>
            <w:shd w:val="clear" w:color="auto" w:fill="auto"/>
            <w:vAlign w:val="center"/>
          </w:tcPr>
          <w:p w14:paraId="0BC99E32" w14:textId="77777777" w:rsidR="009F0928" w:rsidRDefault="009F0928">
            <w:pPr>
              <w:rPr>
                <w:rFonts w:ascii="Times New Roman" w:hAnsi="Times New Roman"/>
                <w:sz w:val="20"/>
                <w:szCs w:val="20"/>
              </w:rPr>
            </w:pPr>
          </w:p>
        </w:tc>
        <w:tc>
          <w:tcPr>
            <w:tcW w:w="750" w:type="pct"/>
            <w:shd w:val="clear" w:color="auto" w:fill="auto"/>
            <w:vAlign w:val="center"/>
          </w:tcPr>
          <w:p w14:paraId="0BC99E33" w14:textId="77777777" w:rsidR="009F0928" w:rsidRDefault="009F0928">
            <w:pPr>
              <w:rPr>
                <w:rFonts w:ascii="Times New Roman" w:hAnsi="Times New Roman"/>
                <w:sz w:val="20"/>
                <w:szCs w:val="20"/>
              </w:rPr>
            </w:pPr>
          </w:p>
        </w:tc>
        <w:tc>
          <w:tcPr>
            <w:tcW w:w="50" w:type="pct"/>
            <w:shd w:val="clear" w:color="auto" w:fill="auto"/>
            <w:vAlign w:val="center"/>
          </w:tcPr>
          <w:p w14:paraId="0BC99E34" w14:textId="77777777" w:rsidR="009F0928" w:rsidRDefault="009F0928">
            <w:pPr>
              <w:rPr>
                <w:rFonts w:ascii="Times New Roman" w:hAnsi="Times New Roman"/>
                <w:sz w:val="20"/>
                <w:szCs w:val="20"/>
              </w:rPr>
            </w:pPr>
          </w:p>
        </w:tc>
        <w:tc>
          <w:tcPr>
            <w:tcW w:w="50" w:type="pct"/>
            <w:shd w:val="clear" w:color="auto" w:fill="auto"/>
            <w:vAlign w:val="center"/>
          </w:tcPr>
          <w:p w14:paraId="0BC99E35" w14:textId="77777777" w:rsidR="009F0928" w:rsidRDefault="009F0928">
            <w:pPr>
              <w:rPr>
                <w:rFonts w:ascii="Times New Roman" w:hAnsi="Times New Roman"/>
                <w:sz w:val="20"/>
                <w:szCs w:val="20"/>
              </w:rPr>
            </w:pPr>
          </w:p>
        </w:tc>
        <w:tc>
          <w:tcPr>
            <w:tcW w:w="650" w:type="pct"/>
            <w:shd w:val="clear" w:color="auto" w:fill="auto"/>
            <w:vAlign w:val="center"/>
          </w:tcPr>
          <w:p w14:paraId="0BC99E36" w14:textId="77777777" w:rsidR="009F0928" w:rsidRDefault="009F0928">
            <w:pPr>
              <w:rPr>
                <w:rFonts w:ascii="Times New Roman" w:hAnsi="Times New Roman"/>
                <w:sz w:val="20"/>
                <w:szCs w:val="20"/>
              </w:rPr>
            </w:pPr>
          </w:p>
        </w:tc>
        <w:tc>
          <w:tcPr>
            <w:tcW w:w="50" w:type="pct"/>
            <w:shd w:val="clear" w:color="auto" w:fill="auto"/>
            <w:vAlign w:val="center"/>
          </w:tcPr>
          <w:p w14:paraId="0BC99E37" w14:textId="77777777" w:rsidR="009F0928" w:rsidRDefault="009F0928">
            <w:pPr>
              <w:rPr>
                <w:rFonts w:ascii="Times New Roman" w:hAnsi="Times New Roman"/>
                <w:sz w:val="20"/>
                <w:szCs w:val="20"/>
              </w:rPr>
            </w:pPr>
          </w:p>
        </w:tc>
        <w:tc>
          <w:tcPr>
            <w:tcW w:w="50" w:type="pct"/>
            <w:shd w:val="clear" w:color="auto" w:fill="auto"/>
            <w:vAlign w:val="center"/>
          </w:tcPr>
          <w:p w14:paraId="0BC99E38" w14:textId="77777777" w:rsidR="009F0928" w:rsidRDefault="009F0928">
            <w:pPr>
              <w:rPr>
                <w:rFonts w:ascii="Times New Roman" w:hAnsi="Times New Roman"/>
                <w:sz w:val="20"/>
                <w:szCs w:val="20"/>
              </w:rPr>
            </w:pPr>
          </w:p>
        </w:tc>
        <w:tc>
          <w:tcPr>
            <w:tcW w:w="550" w:type="pct"/>
            <w:shd w:val="clear" w:color="auto" w:fill="auto"/>
            <w:vAlign w:val="center"/>
          </w:tcPr>
          <w:p w14:paraId="0BC99E39" w14:textId="77777777" w:rsidR="009F0928" w:rsidRDefault="009F0928">
            <w:pPr>
              <w:rPr>
                <w:rFonts w:ascii="Times New Roman" w:hAnsi="Times New Roman"/>
                <w:sz w:val="20"/>
                <w:szCs w:val="20"/>
              </w:rPr>
            </w:pPr>
          </w:p>
        </w:tc>
        <w:tc>
          <w:tcPr>
            <w:tcW w:w="50" w:type="pct"/>
            <w:shd w:val="clear" w:color="auto" w:fill="auto"/>
            <w:vAlign w:val="center"/>
          </w:tcPr>
          <w:p w14:paraId="0BC99E3A" w14:textId="77777777" w:rsidR="009F0928" w:rsidRDefault="009F0928">
            <w:pPr>
              <w:rPr>
                <w:rFonts w:ascii="Times New Roman" w:hAnsi="Times New Roman"/>
                <w:sz w:val="20"/>
                <w:szCs w:val="20"/>
              </w:rPr>
            </w:pPr>
          </w:p>
        </w:tc>
        <w:tc>
          <w:tcPr>
            <w:tcW w:w="50" w:type="pct"/>
            <w:shd w:val="clear" w:color="auto" w:fill="auto"/>
            <w:vAlign w:val="center"/>
          </w:tcPr>
          <w:p w14:paraId="0BC99E3B" w14:textId="77777777" w:rsidR="009F0928" w:rsidRDefault="009F0928">
            <w:pPr>
              <w:rPr>
                <w:rFonts w:ascii="Times New Roman" w:hAnsi="Times New Roman"/>
                <w:sz w:val="20"/>
                <w:szCs w:val="20"/>
              </w:rPr>
            </w:pPr>
          </w:p>
        </w:tc>
        <w:tc>
          <w:tcPr>
            <w:tcW w:w="50" w:type="pct"/>
            <w:shd w:val="clear" w:color="auto" w:fill="auto"/>
            <w:vAlign w:val="center"/>
          </w:tcPr>
          <w:p w14:paraId="0BC99E3C" w14:textId="77777777" w:rsidR="009F0928" w:rsidRDefault="009F0928">
            <w:pPr>
              <w:rPr>
                <w:rFonts w:ascii="Times New Roman" w:hAnsi="Times New Roman"/>
                <w:sz w:val="20"/>
                <w:szCs w:val="20"/>
              </w:rPr>
            </w:pPr>
          </w:p>
        </w:tc>
        <w:tc>
          <w:tcPr>
            <w:tcW w:w="600" w:type="pct"/>
            <w:shd w:val="clear" w:color="auto" w:fill="auto"/>
            <w:vAlign w:val="center"/>
          </w:tcPr>
          <w:p w14:paraId="0BC99E3D" w14:textId="77777777" w:rsidR="009F0928" w:rsidRDefault="009F0928">
            <w:pPr>
              <w:rPr>
                <w:rFonts w:ascii="Times New Roman" w:hAnsi="Times New Roman"/>
                <w:sz w:val="20"/>
                <w:szCs w:val="20"/>
              </w:rPr>
            </w:pPr>
          </w:p>
        </w:tc>
        <w:tc>
          <w:tcPr>
            <w:tcW w:w="50" w:type="pct"/>
            <w:shd w:val="clear" w:color="auto" w:fill="auto"/>
            <w:vAlign w:val="center"/>
          </w:tcPr>
          <w:p w14:paraId="0BC99E3E" w14:textId="77777777" w:rsidR="009F0928" w:rsidRDefault="009F0928">
            <w:pPr>
              <w:rPr>
                <w:rFonts w:ascii="Times New Roman" w:hAnsi="Times New Roman"/>
                <w:sz w:val="20"/>
                <w:szCs w:val="20"/>
              </w:rPr>
            </w:pPr>
          </w:p>
        </w:tc>
        <w:tc>
          <w:tcPr>
            <w:tcW w:w="50" w:type="pct"/>
            <w:shd w:val="clear" w:color="auto" w:fill="auto"/>
            <w:vAlign w:val="center"/>
          </w:tcPr>
          <w:p w14:paraId="0BC99E3F" w14:textId="77777777" w:rsidR="009F0928" w:rsidRDefault="009F0928">
            <w:pPr>
              <w:rPr>
                <w:rFonts w:ascii="Times New Roman" w:hAnsi="Times New Roman"/>
                <w:sz w:val="20"/>
                <w:szCs w:val="20"/>
              </w:rPr>
            </w:pPr>
          </w:p>
        </w:tc>
        <w:tc>
          <w:tcPr>
            <w:tcW w:w="550" w:type="pct"/>
            <w:shd w:val="clear" w:color="auto" w:fill="auto"/>
            <w:vAlign w:val="center"/>
          </w:tcPr>
          <w:p w14:paraId="0BC99E40" w14:textId="77777777" w:rsidR="009F0928" w:rsidRDefault="009F0928">
            <w:pPr>
              <w:rPr>
                <w:rFonts w:ascii="Times New Roman" w:hAnsi="Times New Roman"/>
                <w:sz w:val="20"/>
                <w:szCs w:val="20"/>
              </w:rPr>
            </w:pPr>
          </w:p>
        </w:tc>
        <w:tc>
          <w:tcPr>
            <w:tcW w:w="50" w:type="pct"/>
            <w:shd w:val="clear" w:color="auto" w:fill="auto"/>
            <w:vAlign w:val="center"/>
          </w:tcPr>
          <w:p w14:paraId="0BC99E41" w14:textId="77777777" w:rsidR="009F0928" w:rsidRDefault="009F0928">
            <w:pPr>
              <w:rPr>
                <w:rFonts w:ascii="Times New Roman" w:hAnsi="Times New Roman"/>
                <w:sz w:val="20"/>
                <w:szCs w:val="20"/>
              </w:rPr>
            </w:pPr>
          </w:p>
        </w:tc>
      </w:tr>
      <w:tr w:rsidR="009F0928" w14:paraId="0BC99E4E" w14:textId="77777777">
        <w:trPr>
          <w:jc w:val="center"/>
        </w:trPr>
        <w:tc>
          <w:tcPr>
            <w:tcW w:w="0" w:type="auto"/>
            <w:shd w:val="clear" w:color="auto" w:fill="auto"/>
            <w:tcMar>
              <w:top w:w="40" w:type="dxa"/>
              <w:left w:w="40" w:type="dxa"/>
              <w:bottom w:w="40" w:type="dxa"/>
              <w:right w:w="40" w:type="dxa"/>
            </w:tcMar>
            <w:vAlign w:val="bottom"/>
          </w:tcPr>
          <w:p w14:paraId="0BC99E4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E4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E45"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Coupon</w:t>
            </w:r>
          </w:p>
        </w:tc>
        <w:tc>
          <w:tcPr>
            <w:tcW w:w="0" w:type="auto"/>
            <w:shd w:val="clear" w:color="auto" w:fill="auto"/>
            <w:tcMar>
              <w:top w:w="40" w:type="dxa"/>
              <w:left w:w="40" w:type="dxa"/>
              <w:bottom w:w="40" w:type="dxa"/>
              <w:right w:w="40" w:type="dxa"/>
            </w:tcMar>
            <w:vAlign w:val="bottom"/>
          </w:tcPr>
          <w:p w14:paraId="0BC99E4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E47"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As of</w:t>
            </w:r>
          </w:p>
        </w:tc>
        <w:tc>
          <w:tcPr>
            <w:tcW w:w="0" w:type="auto"/>
            <w:shd w:val="clear" w:color="auto" w:fill="auto"/>
            <w:tcMar>
              <w:top w:w="40" w:type="dxa"/>
              <w:left w:w="40" w:type="dxa"/>
              <w:bottom w:w="40" w:type="dxa"/>
              <w:right w:w="40" w:type="dxa"/>
            </w:tcMar>
            <w:vAlign w:val="bottom"/>
          </w:tcPr>
          <w:p w14:paraId="0BC99E4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9E49"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Effective</w:t>
            </w:r>
          </w:p>
        </w:tc>
        <w:tc>
          <w:tcPr>
            <w:tcW w:w="0" w:type="auto"/>
            <w:shd w:val="clear" w:color="auto" w:fill="auto"/>
            <w:tcMar>
              <w:top w:w="40" w:type="dxa"/>
              <w:left w:w="40" w:type="dxa"/>
              <w:bottom w:w="40" w:type="dxa"/>
              <w:right w:w="40" w:type="dxa"/>
            </w:tcMar>
            <w:vAlign w:val="bottom"/>
          </w:tcPr>
          <w:p w14:paraId="0BC99E4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E4B"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As of</w:t>
            </w:r>
          </w:p>
        </w:tc>
        <w:tc>
          <w:tcPr>
            <w:tcW w:w="0" w:type="auto"/>
            <w:shd w:val="clear" w:color="auto" w:fill="auto"/>
            <w:tcMar>
              <w:top w:w="40" w:type="dxa"/>
              <w:left w:w="40" w:type="dxa"/>
              <w:bottom w:w="40" w:type="dxa"/>
              <w:right w:w="40" w:type="dxa"/>
            </w:tcMar>
            <w:vAlign w:val="bottom"/>
          </w:tcPr>
          <w:p w14:paraId="0BC99E4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9E4D"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Effective</w:t>
            </w:r>
          </w:p>
        </w:tc>
      </w:tr>
      <w:tr w:rsidR="009F0928" w14:paraId="0BC99E5A"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0BC99E4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E5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9E51"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Rate</w:t>
            </w:r>
          </w:p>
        </w:tc>
        <w:tc>
          <w:tcPr>
            <w:tcW w:w="0" w:type="auto"/>
            <w:shd w:val="clear" w:color="auto" w:fill="auto"/>
            <w:tcMar>
              <w:top w:w="40" w:type="dxa"/>
              <w:left w:w="40" w:type="dxa"/>
              <w:bottom w:w="40" w:type="dxa"/>
              <w:right w:w="40" w:type="dxa"/>
            </w:tcMar>
            <w:vAlign w:val="bottom"/>
          </w:tcPr>
          <w:p w14:paraId="0BC99E5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E53"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9E5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9E55"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Interest Rate</w:t>
            </w:r>
          </w:p>
        </w:tc>
        <w:tc>
          <w:tcPr>
            <w:tcW w:w="0" w:type="auto"/>
            <w:shd w:val="clear" w:color="auto" w:fill="auto"/>
            <w:tcMar>
              <w:top w:w="40" w:type="dxa"/>
              <w:left w:w="40" w:type="dxa"/>
              <w:bottom w:w="40" w:type="dxa"/>
              <w:right w:w="40" w:type="dxa"/>
            </w:tcMar>
            <w:vAlign w:val="bottom"/>
          </w:tcPr>
          <w:p w14:paraId="0BC99E5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9E57"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December 31, 2018</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9E5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9E59"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 Interest Rate</w:t>
            </w:r>
          </w:p>
        </w:tc>
      </w:tr>
      <w:tr w:rsidR="009F0928" w14:paraId="0BC99E66" w14:textId="77777777">
        <w:trPr>
          <w:jc w:val="center"/>
        </w:trPr>
        <w:tc>
          <w:tcPr>
            <w:tcW w:w="0" w:type="auto"/>
            <w:shd w:val="clear" w:color="auto" w:fill="auto"/>
            <w:tcMar>
              <w:top w:w="40" w:type="dxa"/>
              <w:left w:w="40" w:type="dxa"/>
              <w:bottom w:w="40" w:type="dxa"/>
              <w:right w:w="40" w:type="dxa"/>
            </w:tcMar>
            <w:vAlign w:val="bottom"/>
          </w:tcPr>
          <w:p w14:paraId="0BC99E5B" w14:textId="77777777" w:rsidR="009F0928" w:rsidRDefault="002112BD">
            <w:pPr>
              <w:textAlignment w:val="bottom"/>
              <w:rPr>
                <w:rFonts w:ascii="Times New Roman" w:hAnsi="Times New Roman"/>
                <w:sz w:val="16"/>
                <w:szCs w:val="16"/>
              </w:rPr>
            </w:pPr>
            <w:r>
              <w:rPr>
                <w:rFonts w:ascii="Arial" w:eastAsia="宋体" w:hAnsi="Arial" w:cs="Arial"/>
                <w:b/>
                <w:bCs/>
                <w:sz w:val="16"/>
                <w:szCs w:val="16"/>
              </w:rPr>
              <w:t>Long-Term Debt</w:t>
            </w:r>
          </w:p>
        </w:tc>
        <w:tc>
          <w:tcPr>
            <w:tcW w:w="0" w:type="auto"/>
            <w:shd w:val="clear" w:color="auto" w:fill="auto"/>
            <w:tcMar>
              <w:top w:w="40" w:type="dxa"/>
              <w:left w:w="40" w:type="dxa"/>
              <w:bottom w:w="40" w:type="dxa"/>
              <w:right w:w="40" w:type="dxa"/>
            </w:tcMar>
            <w:vAlign w:val="bottom"/>
          </w:tcPr>
          <w:p w14:paraId="0BC99E5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E5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E5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E5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E6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9E6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E6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E6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E6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9E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E72" w14:textId="77777777">
        <w:trPr>
          <w:jc w:val="center"/>
        </w:trPr>
        <w:tc>
          <w:tcPr>
            <w:tcW w:w="0" w:type="auto"/>
            <w:shd w:val="clear" w:color="auto" w:fill="E2E2E2"/>
            <w:tcMar>
              <w:top w:w="40" w:type="dxa"/>
              <w:left w:w="40" w:type="dxa"/>
              <w:bottom w:w="40" w:type="dxa"/>
              <w:right w:w="40" w:type="dxa"/>
            </w:tcMar>
            <w:vAlign w:val="bottom"/>
          </w:tcPr>
          <w:p w14:paraId="0BC99E67" w14:textId="77777777" w:rsidR="009F0928" w:rsidRDefault="002112BD">
            <w:pPr>
              <w:textAlignment w:val="bottom"/>
              <w:rPr>
                <w:rFonts w:ascii="Times New Roman" w:hAnsi="Times New Roman"/>
                <w:sz w:val="16"/>
                <w:szCs w:val="16"/>
              </w:rPr>
            </w:pPr>
            <w:r>
              <w:rPr>
                <w:rFonts w:ascii="Arial" w:eastAsia="宋体" w:hAnsi="Arial" w:cs="Arial"/>
                <w:sz w:val="16"/>
                <w:szCs w:val="16"/>
              </w:rPr>
              <w:t>Floating Rate Notes:</w:t>
            </w:r>
          </w:p>
        </w:tc>
        <w:tc>
          <w:tcPr>
            <w:tcW w:w="0" w:type="auto"/>
            <w:shd w:val="clear" w:color="auto" w:fill="E2E2E2"/>
            <w:tcMar>
              <w:top w:w="40" w:type="dxa"/>
              <w:left w:w="40" w:type="dxa"/>
              <w:bottom w:w="40" w:type="dxa"/>
              <w:right w:w="40" w:type="dxa"/>
            </w:tcMar>
            <w:vAlign w:val="bottom"/>
          </w:tcPr>
          <w:p w14:paraId="0BC99E6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E6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E6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E6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E6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9E6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E6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E6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E7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9E7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E84" w14:textId="77777777">
        <w:trPr>
          <w:jc w:val="center"/>
        </w:trPr>
        <w:tc>
          <w:tcPr>
            <w:tcW w:w="0" w:type="auto"/>
            <w:shd w:val="clear" w:color="auto" w:fill="auto"/>
            <w:tcMar>
              <w:top w:w="40" w:type="dxa"/>
              <w:left w:w="240" w:type="dxa"/>
              <w:bottom w:w="40" w:type="dxa"/>
              <w:right w:w="40" w:type="dxa"/>
            </w:tcMar>
            <w:vAlign w:val="bottom"/>
          </w:tcPr>
          <w:p w14:paraId="0BC99E73" w14:textId="77777777" w:rsidR="009F0928" w:rsidRDefault="002112BD">
            <w:pPr>
              <w:textAlignment w:val="bottom"/>
              <w:rPr>
                <w:rFonts w:ascii="Times New Roman" w:hAnsi="Times New Roman"/>
                <w:sz w:val="16"/>
                <w:szCs w:val="16"/>
              </w:rPr>
            </w:pPr>
            <w:r>
              <w:rPr>
                <w:rFonts w:ascii="Arial" w:eastAsia="宋体" w:hAnsi="Arial" w:cs="Arial"/>
                <w:sz w:val="16"/>
                <w:szCs w:val="16"/>
              </w:rPr>
              <w:t>Senior notes due 2019</w:t>
            </w:r>
          </w:p>
        </w:tc>
        <w:tc>
          <w:tcPr>
            <w:tcW w:w="0" w:type="auto"/>
            <w:shd w:val="clear" w:color="auto" w:fill="auto"/>
            <w:tcMar>
              <w:top w:w="40" w:type="dxa"/>
              <w:left w:w="40" w:type="dxa"/>
              <w:bottom w:w="40" w:type="dxa"/>
              <w:right w:w="40" w:type="dxa"/>
            </w:tcMar>
            <w:vAlign w:val="bottom"/>
          </w:tcPr>
          <w:p w14:paraId="0BC99E7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E75" w14:textId="77777777" w:rsidR="009F0928" w:rsidRDefault="002112BD">
            <w:pPr>
              <w:textAlignment w:val="bottom"/>
              <w:rPr>
                <w:rFonts w:ascii="Times New Roman" w:hAnsi="Times New Roman"/>
                <w:sz w:val="16"/>
                <w:szCs w:val="16"/>
              </w:rPr>
            </w:pPr>
            <w:r>
              <w:rPr>
                <w:rFonts w:ascii="Arial" w:eastAsia="宋体" w:hAnsi="Arial" w:cs="Arial"/>
                <w:sz w:val="16"/>
                <w:szCs w:val="16"/>
              </w:rPr>
              <w:t>LIBOR plus 0.48%</w:t>
            </w:r>
          </w:p>
        </w:tc>
        <w:tc>
          <w:tcPr>
            <w:tcW w:w="0" w:type="auto"/>
            <w:shd w:val="clear" w:color="auto" w:fill="auto"/>
            <w:tcMar>
              <w:top w:w="40" w:type="dxa"/>
              <w:left w:w="40" w:type="dxa"/>
              <w:bottom w:w="40" w:type="dxa"/>
              <w:right w:w="40" w:type="dxa"/>
            </w:tcMar>
            <w:vAlign w:val="bottom"/>
          </w:tcPr>
          <w:p w14:paraId="0BC99E7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E77"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9E78"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0BC99E7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E7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E7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right w:w="40" w:type="dxa"/>
            </w:tcMar>
            <w:vAlign w:val="bottom"/>
          </w:tcPr>
          <w:p w14:paraId="0BC99E7C"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E7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E7E"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0BC99E7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400</w:t>
            </w:r>
          </w:p>
        </w:tc>
        <w:tc>
          <w:tcPr>
            <w:tcW w:w="0" w:type="auto"/>
            <w:shd w:val="clear" w:color="auto" w:fill="auto"/>
            <w:vAlign w:val="bottom"/>
          </w:tcPr>
          <w:p w14:paraId="0BC99E8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E8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E8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3.123</w:t>
            </w:r>
          </w:p>
        </w:tc>
        <w:tc>
          <w:tcPr>
            <w:tcW w:w="0" w:type="auto"/>
            <w:shd w:val="clear" w:color="auto" w:fill="auto"/>
            <w:tcMar>
              <w:top w:w="40" w:type="dxa"/>
              <w:bottom w:w="40" w:type="dxa"/>
              <w:right w:w="40" w:type="dxa"/>
            </w:tcMar>
            <w:vAlign w:val="bottom"/>
          </w:tcPr>
          <w:p w14:paraId="0BC99E8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9E94" w14:textId="77777777">
        <w:trPr>
          <w:jc w:val="center"/>
        </w:trPr>
        <w:tc>
          <w:tcPr>
            <w:tcW w:w="0" w:type="auto"/>
            <w:shd w:val="clear" w:color="auto" w:fill="E2E2E2"/>
            <w:tcMar>
              <w:top w:w="40" w:type="dxa"/>
              <w:left w:w="240" w:type="dxa"/>
              <w:bottom w:w="40" w:type="dxa"/>
              <w:right w:w="40" w:type="dxa"/>
            </w:tcMar>
            <w:vAlign w:val="bottom"/>
          </w:tcPr>
          <w:p w14:paraId="0BC99E85" w14:textId="77777777" w:rsidR="009F0928" w:rsidRDefault="002112BD">
            <w:pPr>
              <w:textAlignment w:val="bottom"/>
              <w:rPr>
                <w:rFonts w:ascii="Times New Roman" w:hAnsi="Times New Roman"/>
                <w:sz w:val="16"/>
                <w:szCs w:val="16"/>
              </w:rPr>
            </w:pPr>
            <w:r>
              <w:rPr>
                <w:rFonts w:ascii="Arial" w:eastAsia="宋体" w:hAnsi="Arial" w:cs="Arial"/>
                <w:sz w:val="16"/>
                <w:szCs w:val="16"/>
              </w:rPr>
              <w:t xml:space="preserve">Senior notes due </w:t>
            </w:r>
            <w:r>
              <w:rPr>
                <w:rFonts w:ascii="Arial" w:eastAsia="宋体" w:hAnsi="Arial" w:cs="Arial"/>
                <w:sz w:val="16"/>
                <w:szCs w:val="16"/>
              </w:rPr>
              <w:t>2023</w:t>
            </w:r>
          </w:p>
        </w:tc>
        <w:tc>
          <w:tcPr>
            <w:tcW w:w="0" w:type="auto"/>
            <w:shd w:val="clear" w:color="auto" w:fill="E2E2E2"/>
            <w:tcMar>
              <w:top w:w="40" w:type="dxa"/>
              <w:left w:w="40" w:type="dxa"/>
              <w:bottom w:w="40" w:type="dxa"/>
              <w:right w:w="40" w:type="dxa"/>
            </w:tcMar>
            <w:vAlign w:val="bottom"/>
          </w:tcPr>
          <w:p w14:paraId="0BC99E8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E87" w14:textId="77777777" w:rsidR="009F0928" w:rsidRDefault="002112BD">
            <w:pPr>
              <w:textAlignment w:val="bottom"/>
              <w:rPr>
                <w:rFonts w:ascii="Times New Roman" w:hAnsi="Times New Roman"/>
                <w:sz w:val="16"/>
                <w:szCs w:val="16"/>
              </w:rPr>
            </w:pPr>
            <w:r>
              <w:rPr>
                <w:rFonts w:ascii="Arial" w:eastAsia="宋体" w:hAnsi="Arial" w:cs="Arial"/>
                <w:sz w:val="16"/>
                <w:szCs w:val="16"/>
              </w:rPr>
              <w:t>LIBOR plus 0.87%</w:t>
            </w:r>
          </w:p>
        </w:tc>
        <w:tc>
          <w:tcPr>
            <w:tcW w:w="0" w:type="auto"/>
            <w:shd w:val="clear" w:color="auto" w:fill="E2E2E2"/>
            <w:tcMar>
              <w:top w:w="40" w:type="dxa"/>
              <w:left w:w="40" w:type="dxa"/>
              <w:bottom w:w="40" w:type="dxa"/>
              <w:right w:w="40" w:type="dxa"/>
            </w:tcMar>
            <w:vAlign w:val="bottom"/>
          </w:tcPr>
          <w:p w14:paraId="0BC99E8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E8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400</w:t>
            </w:r>
          </w:p>
        </w:tc>
        <w:tc>
          <w:tcPr>
            <w:tcW w:w="0" w:type="auto"/>
            <w:shd w:val="clear" w:color="auto" w:fill="E2E2E2"/>
            <w:vAlign w:val="bottom"/>
          </w:tcPr>
          <w:p w14:paraId="0BC99E8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E8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E8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2.913</w:t>
            </w:r>
          </w:p>
        </w:tc>
        <w:tc>
          <w:tcPr>
            <w:tcW w:w="0" w:type="auto"/>
            <w:shd w:val="clear" w:color="auto" w:fill="E2E2E2"/>
            <w:tcMar>
              <w:top w:w="40" w:type="dxa"/>
              <w:bottom w:w="40" w:type="dxa"/>
              <w:right w:w="40" w:type="dxa"/>
            </w:tcMar>
            <w:vAlign w:val="bottom"/>
          </w:tcPr>
          <w:p w14:paraId="0BC99E8D"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E8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E8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400</w:t>
            </w:r>
          </w:p>
        </w:tc>
        <w:tc>
          <w:tcPr>
            <w:tcW w:w="0" w:type="auto"/>
            <w:shd w:val="clear" w:color="auto" w:fill="E2E2E2"/>
            <w:vAlign w:val="bottom"/>
          </w:tcPr>
          <w:p w14:paraId="0BC99E9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E9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E9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3.499</w:t>
            </w:r>
          </w:p>
        </w:tc>
        <w:tc>
          <w:tcPr>
            <w:tcW w:w="0" w:type="auto"/>
            <w:shd w:val="clear" w:color="auto" w:fill="E2E2E2"/>
            <w:tcMar>
              <w:top w:w="40" w:type="dxa"/>
              <w:bottom w:w="40" w:type="dxa"/>
              <w:right w:w="40" w:type="dxa"/>
            </w:tcMar>
            <w:vAlign w:val="bottom"/>
          </w:tcPr>
          <w:p w14:paraId="0BC99E9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9EA0" w14:textId="77777777">
        <w:trPr>
          <w:jc w:val="center"/>
        </w:trPr>
        <w:tc>
          <w:tcPr>
            <w:tcW w:w="0" w:type="auto"/>
            <w:shd w:val="clear" w:color="auto" w:fill="auto"/>
            <w:tcMar>
              <w:top w:w="40" w:type="dxa"/>
              <w:left w:w="40" w:type="dxa"/>
              <w:bottom w:w="40" w:type="dxa"/>
              <w:right w:w="40" w:type="dxa"/>
            </w:tcMar>
            <w:vAlign w:val="bottom"/>
          </w:tcPr>
          <w:p w14:paraId="0BC99E9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E9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E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E9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E9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E9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9E9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E9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E9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E9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9E9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EAC" w14:textId="77777777">
        <w:trPr>
          <w:jc w:val="center"/>
        </w:trPr>
        <w:tc>
          <w:tcPr>
            <w:tcW w:w="0" w:type="auto"/>
            <w:shd w:val="clear" w:color="auto" w:fill="E2E2E2"/>
            <w:tcMar>
              <w:top w:w="40" w:type="dxa"/>
              <w:left w:w="40" w:type="dxa"/>
              <w:bottom w:w="40" w:type="dxa"/>
              <w:right w:w="40" w:type="dxa"/>
            </w:tcMar>
            <w:vAlign w:val="bottom"/>
          </w:tcPr>
          <w:p w14:paraId="0BC99EA1" w14:textId="77777777" w:rsidR="009F0928" w:rsidRDefault="002112BD">
            <w:pPr>
              <w:textAlignment w:val="bottom"/>
              <w:rPr>
                <w:rFonts w:ascii="Times New Roman" w:hAnsi="Times New Roman"/>
                <w:sz w:val="16"/>
                <w:szCs w:val="16"/>
              </w:rPr>
            </w:pPr>
            <w:r>
              <w:rPr>
                <w:rFonts w:ascii="Arial" w:eastAsia="宋体" w:hAnsi="Arial" w:cs="Arial"/>
                <w:sz w:val="16"/>
                <w:szCs w:val="16"/>
              </w:rPr>
              <w:t>Fixed Rate Notes:</w:t>
            </w:r>
          </w:p>
        </w:tc>
        <w:tc>
          <w:tcPr>
            <w:tcW w:w="0" w:type="auto"/>
            <w:shd w:val="clear" w:color="auto" w:fill="E2E2E2"/>
            <w:tcMar>
              <w:top w:w="40" w:type="dxa"/>
              <w:left w:w="40" w:type="dxa"/>
              <w:bottom w:w="40" w:type="dxa"/>
              <w:right w:w="40" w:type="dxa"/>
            </w:tcMar>
            <w:vAlign w:val="bottom"/>
          </w:tcPr>
          <w:p w14:paraId="0BC99EA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EA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EA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E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E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9EA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E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E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EA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9EA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EBC" w14:textId="77777777">
        <w:trPr>
          <w:jc w:val="center"/>
        </w:trPr>
        <w:tc>
          <w:tcPr>
            <w:tcW w:w="0" w:type="auto"/>
            <w:shd w:val="clear" w:color="auto" w:fill="auto"/>
            <w:tcMar>
              <w:top w:w="40" w:type="dxa"/>
              <w:left w:w="240" w:type="dxa"/>
              <w:bottom w:w="40" w:type="dxa"/>
              <w:right w:w="40" w:type="dxa"/>
            </w:tcMar>
            <w:vAlign w:val="bottom"/>
          </w:tcPr>
          <w:p w14:paraId="0BC99EAD" w14:textId="77777777" w:rsidR="009F0928" w:rsidRDefault="002112BD">
            <w:pPr>
              <w:textAlignment w:val="bottom"/>
              <w:rPr>
                <w:rFonts w:ascii="Times New Roman" w:hAnsi="Times New Roman"/>
                <w:sz w:val="16"/>
                <w:szCs w:val="16"/>
              </w:rPr>
            </w:pPr>
            <w:r>
              <w:rPr>
                <w:rFonts w:ascii="Arial" w:eastAsia="宋体" w:hAnsi="Arial" w:cs="Arial"/>
                <w:sz w:val="16"/>
                <w:szCs w:val="16"/>
              </w:rPr>
              <w:t>Senior notes due 2019</w:t>
            </w:r>
          </w:p>
        </w:tc>
        <w:tc>
          <w:tcPr>
            <w:tcW w:w="0" w:type="auto"/>
            <w:shd w:val="clear" w:color="auto" w:fill="auto"/>
            <w:tcMar>
              <w:top w:w="40" w:type="dxa"/>
              <w:left w:w="40" w:type="dxa"/>
              <w:bottom w:w="40" w:type="dxa"/>
              <w:right w:w="40" w:type="dxa"/>
            </w:tcMar>
            <w:vAlign w:val="bottom"/>
          </w:tcPr>
          <w:p w14:paraId="0BC99EA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EAF" w14:textId="77777777" w:rsidR="009F0928" w:rsidRDefault="002112BD">
            <w:pPr>
              <w:textAlignment w:val="bottom"/>
              <w:rPr>
                <w:rFonts w:ascii="Times New Roman" w:hAnsi="Times New Roman"/>
                <w:sz w:val="16"/>
                <w:szCs w:val="16"/>
              </w:rPr>
            </w:pPr>
            <w:r>
              <w:rPr>
                <w:rFonts w:ascii="Arial" w:eastAsia="宋体" w:hAnsi="Arial" w:cs="Arial"/>
                <w:sz w:val="16"/>
                <w:szCs w:val="16"/>
              </w:rPr>
              <w:t>2.200%</w:t>
            </w:r>
          </w:p>
        </w:tc>
        <w:tc>
          <w:tcPr>
            <w:tcW w:w="0" w:type="auto"/>
            <w:shd w:val="clear" w:color="auto" w:fill="auto"/>
            <w:tcMar>
              <w:top w:w="40" w:type="dxa"/>
              <w:left w:w="40" w:type="dxa"/>
              <w:bottom w:w="40" w:type="dxa"/>
              <w:right w:w="40" w:type="dxa"/>
            </w:tcMar>
            <w:vAlign w:val="bottom"/>
          </w:tcPr>
          <w:p w14:paraId="0BC99E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EB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0BC99EB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E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EB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right w:w="40" w:type="dxa"/>
            </w:tcMar>
            <w:vAlign w:val="bottom"/>
          </w:tcPr>
          <w:p w14:paraId="0BC99EB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E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EB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1,150</w:t>
            </w:r>
          </w:p>
        </w:tc>
        <w:tc>
          <w:tcPr>
            <w:tcW w:w="0" w:type="auto"/>
            <w:shd w:val="clear" w:color="auto" w:fill="auto"/>
            <w:vAlign w:val="bottom"/>
          </w:tcPr>
          <w:p w14:paraId="0BC99EB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EB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EB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2.346</w:t>
            </w:r>
          </w:p>
        </w:tc>
        <w:tc>
          <w:tcPr>
            <w:tcW w:w="0" w:type="auto"/>
            <w:shd w:val="clear" w:color="auto" w:fill="auto"/>
            <w:tcMar>
              <w:top w:w="40" w:type="dxa"/>
              <w:bottom w:w="40" w:type="dxa"/>
              <w:right w:w="40" w:type="dxa"/>
            </w:tcMar>
            <w:vAlign w:val="bottom"/>
          </w:tcPr>
          <w:p w14:paraId="0BC99EB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9ECC" w14:textId="77777777">
        <w:trPr>
          <w:jc w:val="center"/>
        </w:trPr>
        <w:tc>
          <w:tcPr>
            <w:tcW w:w="0" w:type="auto"/>
            <w:shd w:val="clear" w:color="auto" w:fill="E2E2E2"/>
            <w:tcMar>
              <w:top w:w="40" w:type="dxa"/>
              <w:left w:w="240" w:type="dxa"/>
              <w:bottom w:w="40" w:type="dxa"/>
              <w:right w:w="40" w:type="dxa"/>
            </w:tcMar>
            <w:vAlign w:val="bottom"/>
          </w:tcPr>
          <w:p w14:paraId="0BC99EBD" w14:textId="77777777" w:rsidR="009F0928" w:rsidRDefault="002112BD">
            <w:pPr>
              <w:textAlignment w:val="bottom"/>
              <w:rPr>
                <w:rFonts w:ascii="Times New Roman" w:hAnsi="Times New Roman"/>
                <w:sz w:val="16"/>
                <w:szCs w:val="16"/>
              </w:rPr>
            </w:pPr>
            <w:r>
              <w:rPr>
                <w:rFonts w:ascii="Arial" w:eastAsia="宋体" w:hAnsi="Arial" w:cs="Arial"/>
                <w:sz w:val="16"/>
                <w:szCs w:val="16"/>
              </w:rPr>
              <w:t>Senior notes due 2020</w:t>
            </w:r>
          </w:p>
        </w:tc>
        <w:tc>
          <w:tcPr>
            <w:tcW w:w="0" w:type="auto"/>
            <w:shd w:val="clear" w:color="auto" w:fill="E2E2E2"/>
            <w:tcMar>
              <w:top w:w="40" w:type="dxa"/>
              <w:left w:w="40" w:type="dxa"/>
              <w:bottom w:w="40" w:type="dxa"/>
              <w:right w:w="40" w:type="dxa"/>
            </w:tcMar>
            <w:vAlign w:val="bottom"/>
          </w:tcPr>
          <w:p w14:paraId="0BC99EB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EBF" w14:textId="77777777" w:rsidR="009F0928" w:rsidRDefault="002112BD">
            <w:pPr>
              <w:textAlignment w:val="bottom"/>
              <w:rPr>
                <w:rFonts w:ascii="Times New Roman" w:hAnsi="Times New Roman"/>
                <w:sz w:val="16"/>
                <w:szCs w:val="16"/>
              </w:rPr>
            </w:pPr>
            <w:r>
              <w:rPr>
                <w:rFonts w:ascii="Arial" w:eastAsia="宋体" w:hAnsi="Arial" w:cs="Arial"/>
                <w:sz w:val="16"/>
                <w:szCs w:val="16"/>
              </w:rPr>
              <w:t>3.250%</w:t>
            </w:r>
          </w:p>
        </w:tc>
        <w:tc>
          <w:tcPr>
            <w:tcW w:w="0" w:type="auto"/>
            <w:shd w:val="clear" w:color="auto" w:fill="E2E2E2"/>
            <w:tcMar>
              <w:top w:w="40" w:type="dxa"/>
              <w:left w:w="40" w:type="dxa"/>
              <w:bottom w:w="40" w:type="dxa"/>
              <w:right w:w="40" w:type="dxa"/>
            </w:tcMar>
            <w:vAlign w:val="bottom"/>
          </w:tcPr>
          <w:p w14:paraId="0BC99E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EC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500</w:t>
            </w:r>
          </w:p>
        </w:tc>
        <w:tc>
          <w:tcPr>
            <w:tcW w:w="0" w:type="auto"/>
            <w:shd w:val="clear" w:color="auto" w:fill="E2E2E2"/>
            <w:vAlign w:val="bottom"/>
          </w:tcPr>
          <w:p w14:paraId="0BC99EC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EC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EC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3.389</w:t>
            </w:r>
          </w:p>
        </w:tc>
        <w:tc>
          <w:tcPr>
            <w:tcW w:w="0" w:type="auto"/>
            <w:shd w:val="clear" w:color="auto" w:fill="E2E2E2"/>
            <w:tcMar>
              <w:top w:w="40" w:type="dxa"/>
              <w:bottom w:w="40" w:type="dxa"/>
              <w:right w:w="40" w:type="dxa"/>
            </w:tcMar>
            <w:vAlign w:val="bottom"/>
          </w:tcPr>
          <w:p w14:paraId="0BC99EC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EC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EC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500</w:t>
            </w:r>
          </w:p>
        </w:tc>
        <w:tc>
          <w:tcPr>
            <w:tcW w:w="0" w:type="auto"/>
            <w:shd w:val="clear" w:color="auto" w:fill="E2E2E2"/>
            <w:vAlign w:val="bottom"/>
          </w:tcPr>
          <w:p w14:paraId="0BC99EC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EC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EC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3.389</w:t>
            </w:r>
          </w:p>
        </w:tc>
        <w:tc>
          <w:tcPr>
            <w:tcW w:w="0" w:type="auto"/>
            <w:shd w:val="clear" w:color="auto" w:fill="E2E2E2"/>
            <w:tcMar>
              <w:top w:w="40" w:type="dxa"/>
              <w:bottom w:w="40" w:type="dxa"/>
              <w:right w:w="40" w:type="dxa"/>
            </w:tcMar>
            <w:vAlign w:val="bottom"/>
          </w:tcPr>
          <w:p w14:paraId="0BC99EC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9EDC" w14:textId="77777777">
        <w:trPr>
          <w:jc w:val="center"/>
        </w:trPr>
        <w:tc>
          <w:tcPr>
            <w:tcW w:w="0" w:type="auto"/>
            <w:shd w:val="clear" w:color="auto" w:fill="auto"/>
            <w:tcMar>
              <w:top w:w="40" w:type="dxa"/>
              <w:left w:w="240" w:type="dxa"/>
              <w:bottom w:w="40" w:type="dxa"/>
              <w:right w:w="40" w:type="dxa"/>
            </w:tcMar>
            <w:vAlign w:val="bottom"/>
          </w:tcPr>
          <w:p w14:paraId="0BC99ECD" w14:textId="77777777" w:rsidR="009F0928" w:rsidRDefault="002112BD">
            <w:pPr>
              <w:textAlignment w:val="bottom"/>
              <w:rPr>
                <w:rFonts w:ascii="Times New Roman" w:hAnsi="Times New Roman"/>
                <w:sz w:val="16"/>
                <w:szCs w:val="16"/>
              </w:rPr>
            </w:pPr>
            <w:r>
              <w:rPr>
                <w:rFonts w:ascii="Arial" w:eastAsia="宋体" w:hAnsi="Arial" w:cs="Arial"/>
                <w:sz w:val="16"/>
                <w:szCs w:val="16"/>
              </w:rPr>
              <w:t>Senior notes due 2020</w:t>
            </w:r>
          </w:p>
        </w:tc>
        <w:tc>
          <w:tcPr>
            <w:tcW w:w="0" w:type="auto"/>
            <w:shd w:val="clear" w:color="auto" w:fill="auto"/>
            <w:tcMar>
              <w:top w:w="40" w:type="dxa"/>
              <w:left w:w="40" w:type="dxa"/>
              <w:bottom w:w="40" w:type="dxa"/>
              <w:right w:w="40" w:type="dxa"/>
            </w:tcMar>
            <w:vAlign w:val="bottom"/>
          </w:tcPr>
          <w:p w14:paraId="0BC99EC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ECF" w14:textId="77777777" w:rsidR="009F0928" w:rsidRDefault="002112BD">
            <w:pPr>
              <w:textAlignment w:val="bottom"/>
              <w:rPr>
                <w:rFonts w:ascii="Times New Roman" w:hAnsi="Times New Roman"/>
                <w:sz w:val="16"/>
                <w:szCs w:val="16"/>
              </w:rPr>
            </w:pPr>
            <w:r>
              <w:rPr>
                <w:rFonts w:ascii="Arial" w:eastAsia="宋体" w:hAnsi="Arial" w:cs="Arial"/>
                <w:sz w:val="16"/>
                <w:szCs w:val="16"/>
              </w:rPr>
              <w:t>2.150%</w:t>
            </w:r>
          </w:p>
        </w:tc>
        <w:tc>
          <w:tcPr>
            <w:tcW w:w="0" w:type="auto"/>
            <w:shd w:val="clear" w:color="auto" w:fill="auto"/>
            <w:tcMar>
              <w:top w:w="40" w:type="dxa"/>
              <w:left w:w="40" w:type="dxa"/>
              <w:bottom w:w="40" w:type="dxa"/>
              <w:right w:w="40" w:type="dxa"/>
            </w:tcMar>
            <w:vAlign w:val="bottom"/>
          </w:tcPr>
          <w:p w14:paraId="0BC99E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ED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500</w:t>
            </w:r>
          </w:p>
        </w:tc>
        <w:tc>
          <w:tcPr>
            <w:tcW w:w="0" w:type="auto"/>
            <w:shd w:val="clear" w:color="auto" w:fill="auto"/>
            <w:vAlign w:val="bottom"/>
          </w:tcPr>
          <w:p w14:paraId="0BC99ED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E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ED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2.344</w:t>
            </w:r>
          </w:p>
        </w:tc>
        <w:tc>
          <w:tcPr>
            <w:tcW w:w="0" w:type="auto"/>
            <w:shd w:val="clear" w:color="auto" w:fill="auto"/>
            <w:tcMar>
              <w:top w:w="40" w:type="dxa"/>
              <w:bottom w:w="40" w:type="dxa"/>
              <w:right w:w="40" w:type="dxa"/>
            </w:tcMar>
            <w:vAlign w:val="bottom"/>
          </w:tcPr>
          <w:p w14:paraId="0BC99ED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ED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ED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500</w:t>
            </w:r>
          </w:p>
        </w:tc>
        <w:tc>
          <w:tcPr>
            <w:tcW w:w="0" w:type="auto"/>
            <w:shd w:val="clear" w:color="auto" w:fill="auto"/>
            <w:vAlign w:val="bottom"/>
          </w:tcPr>
          <w:p w14:paraId="0BC99ED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E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ED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2.344</w:t>
            </w:r>
          </w:p>
        </w:tc>
        <w:tc>
          <w:tcPr>
            <w:tcW w:w="0" w:type="auto"/>
            <w:shd w:val="clear" w:color="auto" w:fill="auto"/>
            <w:tcMar>
              <w:top w:w="40" w:type="dxa"/>
              <w:bottom w:w="40" w:type="dxa"/>
              <w:right w:w="40" w:type="dxa"/>
            </w:tcMar>
            <w:vAlign w:val="bottom"/>
          </w:tcPr>
          <w:p w14:paraId="0BC99ED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9EEC" w14:textId="77777777">
        <w:trPr>
          <w:jc w:val="center"/>
        </w:trPr>
        <w:tc>
          <w:tcPr>
            <w:tcW w:w="0" w:type="auto"/>
            <w:shd w:val="clear" w:color="auto" w:fill="E2E2E2"/>
            <w:tcMar>
              <w:top w:w="40" w:type="dxa"/>
              <w:left w:w="240" w:type="dxa"/>
              <w:bottom w:w="40" w:type="dxa"/>
              <w:right w:w="40" w:type="dxa"/>
            </w:tcMar>
            <w:vAlign w:val="bottom"/>
          </w:tcPr>
          <w:p w14:paraId="0BC99EDD" w14:textId="77777777" w:rsidR="009F0928" w:rsidRDefault="002112BD">
            <w:pPr>
              <w:textAlignment w:val="bottom"/>
              <w:rPr>
                <w:rFonts w:ascii="Times New Roman" w:hAnsi="Times New Roman"/>
                <w:sz w:val="16"/>
                <w:szCs w:val="16"/>
              </w:rPr>
            </w:pPr>
            <w:r>
              <w:rPr>
                <w:rFonts w:ascii="Arial" w:eastAsia="宋体" w:hAnsi="Arial" w:cs="Arial"/>
                <w:sz w:val="16"/>
                <w:szCs w:val="16"/>
              </w:rPr>
              <w:t>Senior notes due 2021</w:t>
            </w:r>
          </w:p>
        </w:tc>
        <w:tc>
          <w:tcPr>
            <w:tcW w:w="0" w:type="auto"/>
            <w:shd w:val="clear" w:color="auto" w:fill="E2E2E2"/>
            <w:tcMar>
              <w:top w:w="40" w:type="dxa"/>
              <w:left w:w="40" w:type="dxa"/>
              <w:bottom w:w="40" w:type="dxa"/>
              <w:right w:w="40" w:type="dxa"/>
            </w:tcMar>
            <w:vAlign w:val="bottom"/>
          </w:tcPr>
          <w:p w14:paraId="0BC99E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EDF" w14:textId="77777777" w:rsidR="009F0928" w:rsidRDefault="002112BD">
            <w:pPr>
              <w:textAlignment w:val="bottom"/>
              <w:rPr>
                <w:rFonts w:ascii="Times New Roman" w:hAnsi="Times New Roman"/>
                <w:sz w:val="16"/>
                <w:szCs w:val="16"/>
              </w:rPr>
            </w:pPr>
            <w:r>
              <w:rPr>
                <w:rFonts w:ascii="Arial" w:eastAsia="宋体" w:hAnsi="Arial" w:cs="Arial"/>
                <w:sz w:val="16"/>
                <w:szCs w:val="16"/>
              </w:rPr>
              <w:t>2.875%</w:t>
            </w:r>
          </w:p>
        </w:tc>
        <w:tc>
          <w:tcPr>
            <w:tcW w:w="0" w:type="auto"/>
            <w:shd w:val="clear" w:color="auto" w:fill="E2E2E2"/>
            <w:tcMar>
              <w:top w:w="40" w:type="dxa"/>
              <w:left w:w="40" w:type="dxa"/>
              <w:bottom w:w="40" w:type="dxa"/>
              <w:right w:w="40" w:type="dxa"/>
            </w:tcMar>
            <w:vAlign w:val="bottom"/>
          </w:tcPr>
          <w:p w14:paraId="0BC99EE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EE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750</w:t>
            </w:r>
          </w:p>
        </w:tc>
        <w:tc>
          <w:tcPr>
            <w:tcW w:w="0" w:type="auto"/>
            <w:shd w:val="clear" w:color="auto" w:fill="E2E2E2"/>
            <w:vAlign w:val="bottom"/>
          </w:tcPr>
          <w:p w14:paraId="0BC99EE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E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EE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2.993</w:t>
            </w:r>
          </w:p>
        </w:tc>
        <w:tc>
          <w:tcPr>
            <w:tcW w:w="0" w:type="auto"/>
            <w:shd w:val="clear" w:color="auto" w:fill="E2E2E2"/>
            <w:tcMar>
              <w:top w:w="40" w:type="dxa"/>
              <w:bottom w:w="40" w:type="dxa"/>
              <w:right w:w="40" w:type="dxa"/>
            </w:tcMar>
            <w:vAlign w:val="bottom"/>
          </w:tcPr>
          <w:p w14:paraId="0BC99EE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E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EE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750</w:t>
            </w:r>
          </w:p>
        </w:tc>
        <w:tc>
          <w:tcPr>
            <w:tcW w:w="0" w:type="auto"/>
            <w:shd w:val="clear" w:color="auto" w:fill="E2E2E2"/>
            <w:vAlign w:val="bottom"/>
          </w:tcPr>
          <w:p w14:paraId="0BC99EE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EE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EE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2.993</w:t>
            </w:r>
          </w:p>
        </w:tc>
        <w:tc>
          <w:tcPr>
            <w:tcW w:w="0" w:type="auto"/>
            <w:shd w:val="clear" w:color="auto" w:fill="E2E2E2"/>
            <w:tcMar>
              <w:top w:w="40" w:type="dxa"/>
              <w:bottom w:w="40" w:type="dxa"/>
              <w:right w:w="40" w:type="dxa"/>
            </w:tcMar>
            <w:vAlign w:val="bottom"/>
          </w:tcPr>
          <w:p w14:paraId="0BC99EE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9EFC" w14:textId="77777777">
        <w:trPr>
          <w:jc w:val="center"/>
        </w:trPr>
        <w:tc>
          <w:tcPr>
            <w:tcW w:w="0" w:type="auto"/>
            <w:shd w:val="clear" w:color="auto" w:fill="auto"/>
            <w:tcMar>
              <w:top w:w="40" w:type="dxa"/>
              <w:left w:w="240" w:type="dxa"/>
              <w:bottom w:w="40" w:type="dxa"/>
              <w:right w:w="40" w:type="dxa"/>
            </w:tcMar>
            <w:vAlign w:val="bottom"/>
          </w:tcPr>
          <w:p w14:paraId="0BC99EED" w14:textId="77777777" w:rsidR="009F0928" w:rsidRDefault="002112BD">
            <w:pPr>
              <w:textAlignment w:val="bottom"/>
              <w:rPr>
                <w:rFonts w:ascii="Times New Roman" w:hAnsi="Times New Roman"/>
                <w:sz w:val="16"/>
                <w:szCs w:val="16"/>
              </w:rPr>
            </w:pPr>
            <w:r>
              <w:rPr>
                <w:rFonts w:ascii="Arial" w:eastAsia="宋体" w:hAnsi="Arial" w:cs="Arial"/>
                <w:sz w:val="16"/>
                <w:szCs w:val="16"/>
              </w:rPr>
              <w:t>Senior notes due 2022</w:t>
            </w:r>
          </w:p>
        </w:tc>
        <w:tc>
          <w:tcPr>
            <w:tcW w:w="0" w:type="auto"/>
            <w:shd w:val="clear" w:color="auto" w:fill="auto"/>
            <w:tcMar>
              <w:top w:w="40" w:type="dxa"/>
              <w:left w:w="40" w:type="dxa"/>
              <w:bottom w:w="40" w:type="dxa"/>
              <w:right w:w="40" w:type="dxa"/>
            </w:tcMar>
            <w:vAlign w:val="bottom"/>
          </w:tcPr>
          <w:p w14:paraId="0BC99EE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EEF" w14:textId="77777777" w:rsidR="009F0928" w:rsidRDefault="002112BD">
            <w:pPr>
              <w:textAlignment w:val="bottom"/>
              <w:rPr>
                <w:rFonts w:ascii="Times New Roman" w:hAnsi="Times New Roman"/>
                <w:sz w:val="16"/>
                <w:szCs w:val="16"/>
              </w:rPr>
            </w:pPr>
            <w:r>
              <w:rPr>
                <w:rFonts w:ascii="Arial" w:eastAsia="宋体" w:hAnsi="Arial" w:cs="Arial"/>
                <w:sz w:val="16"/>
                <w:szCs w:val="16"/>
              </w:rPr>
              <w:t>3.800%</w:t>
            </w:r>
          </w:p>
        </w:tc>
        <w:tc>
          <w:tcPr>
            <w:tcW w:w="0" w:type="auto"/>
            <w:shd w:val="clear" w:color="auto" w:fill="auto"/>
            <w:tcMar>
              <w:top w:w="40" w:type="dxa"/>
              <w:left w:w="40" w:type="dxa"/>
              <w:bottom w:w="40" w:type="dxa"/>
              <w:right w:w="40" w:type="dxa"/>
            </w:tcMar>
            <w:vAlign w:val="bottom"/>
          </w:tcPr>
          <w:p w14:paraId="0BC99EF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EF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750</w:t>
            </w:r>
          </w:p>
        </w:tc>
        <w:tc>
          <w:tcPr>
            <w:tcW w:w="0" w:type="auto"/>
            <w:shd w:val="clear" w:color="auto" w:fill="auto"/>
            <w:vAlign w:val="bottom"/>
          </w:tcPr>
          <w:p w14:paraId="0BC99EF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EF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EF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3.989</w:t>
            </w:r>
          </w:p>
        </w:tc>
        <w:tc>
          <w:tcPr>
            <w:tcW w:w="0" w:type="auto"/>
            <w:shd w:val="clear" w:color="auto" w:fill="auto"/>
            <w:tcMar>
              <w:top w:w="40" w:type="dxa"/>
              <w:bottom w:w="40" w:type="dxa"/>
              <w:right w:w="40" w:type="dxa"/>
            </w:tcMar>
            <w:vAlign w:val="bottom"/>
          </w:tcPr>
          <w:p w14:paraId="0BC99EF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E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EF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750</w:t>
            </w:r>
          </w:p>
        </w:tc>
        <w:tc>
          <w:tcPr>
            <w:tcW w:w="0" w:type="auto"/>
            <w:shd w:val="clear" w:color="auto" w:fill="auto"/>
            <w:vAlign w:val="bottom"/>
          </w:tcPr>
          <w:p w14:paraId="0BC99EF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E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EF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3.989</w:t>
            </w:r>
          </w:p>
        </w:tc>
        <w:tc>
          <w:tcPr>
            <w:tcW w:w="0" w:type="auto"/>
            <w:shd w:val="clear" w:color="auto" w:fill="auto"/>
            <w:tcMar>
              <w:top w:w="40" w:type="dxa"/>
              <w:bottom w:w="40" w:type="dxa"/>
              <w:right w:w="40" w:type="dxa"/>
            </w:tcMar>
            <w:vAlign w:val="bottom"/>
          </w:tcPr>
          <w:p w14:paraId="0BC99EF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9F0C" w14:textId="77777777">
        <w:trPr>
          <w:jc w:val="center"/>
        </w:trPr>
        <w:tc>
          <w:tcPr>
            <w:tcW w:w="0" w:type="auto"/>
            <w:shd w:val="clear" w:color="auto" w:fill="E2E2E2"/>
            <w:tcMar>
              <w:top w:w="40" w:type="dxa"/>
              <w:left w:w="240" w:type="dxa"/>
              <w:bottom w:w="40" w:type="dxa"/>
              <w:right w:w="40" w:type="dxa"/>
            </w:tcMar>
            <w:vAlign w:val="bottom"/>
          </w:tcPr>
          <w:p w14:paraId="0BC99EFD" w14:textId="77777777" w:rsidR="009F0928" w:rsidRDefault="002112BD">
            <w:pPr>
              <w:textAlignment w:val="bottom"/>
              <w:rPr>
                <w:rFonts w:ascii="Times New Roman" w:hAnsi="Times New Roman"/>
                <w:sz w:val="16"/>
                <w:szCs w:val="16"/>
              </w:rPr>
            </w:pPr>
            <w:r>
              <w:rPr>
                <w:rFonts w:ascii="Arial" w:eastAsia="宋体" w:hAnsi="Arial" w:cs="Arial"/>
                <w:sz w:val="16"/>
                <w:szCs w:val="16"/>
              </w:rPr>
              <w:t>Senior notes due 2022</w:t>
            </w:r>
          </w:p>
        </w:tc>
        <w:tc>
          <w:tcPr>
            <w:tcW w:w="0" w:type="auto"/>
            <w:shd w:val="clear" w:color="auto" w:fill="E2E2E2"/>
            <w:tcMar>
              <w:top w:w="40" w:type="dxa"/>
              <w:left w:w="40" w:type="dxa"/>
              <w:bottom w:w="40" w:type="dxa"/>
              <w:right w:w="40" w:type="dxa"/>
            </w:tcMar>
            <w:vAlign w:val="bottom"/>
          </w:tcPr>
          <w:p w14:paraId="0BC99EF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EFF" w14:textId="77777777" w:rsidR="009F0928" w:rsidRDefault="002112BD">
            <w:pPr>
              <w:textAlignment w:val="bottom"/>
              <w:rPr>
                <w:rFonts w:ascii="Times New Roman" w:hAnsi="Times New Roman"/>
                <w:sz w:val="16"/>
                <w:szCs w:val="16"/>
              </w:rPr>
            </w:pPr>
            <w:r>
              <w:rPr>
                <w:rFonts w:ascii="Arial" w:eastAsia="宋体" w:hAnsi="Arial" w:cs="Arial"/>
                <w:sz w:val="16"/>
                <w:szCs w:val="16"/>
              </w:rPr>
              <w:t>2.600%</w:t>
            </w:r>
          </w:p>
        </w:tc>
        <w:tc>
          <w:tcPr>
            <w:tcW w:w="0" w:type="auto"/>
            <w:shd w:val="clear" w:color="auto" w:fill="E2E2E2"/>
            <w:tcMar>
              <w:top w:w="40" w:type="dxa"/>
              <w:left w:w="40" w:type="dxa"/>
              <w:bottom w:w="40" w:type="dxa"/>
              <w:right w:w="40" w:type="dxa"/>
            </w:tcMar>
            <w:vAlign w:val="bottom"/>
          </w:tcPr>
          <w:p w14:paraId="0BC99F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F0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1,000</w:t>
            </w:r>
          </w:p>
        </w:tc>
        <w:tc>
          <w:tcPr>
            <w:tcW w:w="0" w:type="auto"/>
            <w:shd w:val="clear" w:color="auto" w:fill="E2E2E2"/>
            <w:vAlign w:val="bottom"/>
          </w:tcPr>
          <w:p w14:paraId="0BC99F0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F0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F0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2.678</w:t>
            </w:r>
          </w:p>
        </w:tc>
        <w:tc>
          <w:tcPr>
            <w:tcW w:w="0" w:type="auto"/>
            <w:shd w:val="clear" w:color="auto" w:fill="E2E2E2"/>
            <w:tcMar>
              <w:top w:w="40" w:type="dxa"/>
              <w:bottom w:w="40" w:type="dxa"/>
              <w:right w:w="40" w:type="dxa"/>
            </w:tcMar>
            <w:vAlign w:val="bottom"/>
          </w:tcPr>
          <w:p w14:paraId="0BC99F0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F0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F0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1,000</w:t>
            </w:r>
          </w:p>
        </w:tc>
        <w:tc>
          <w:tcPr>
            <w:tcW w:w="0" w:type="auto"/>
            <w:shd w:val="clear" w:color="auto" w:fill="E2E2E2"/>
            <w:vAlign w:val="bottom"/>
          </w:tcPr>
          <w:p w14:paraId="0BC99F0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F0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F0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2.678</w:t>
            </w:r>
          </w:p>
        </w:tc>
        <w:tc>
          <w:tcPr>
            <w:tcW w:w="0" w:type="auto"/>
            <w:shd w:val="clear" w:color="auto" w:fill="E2E2E2"/>
            <w:tcMar>
              <w:top w:w="40" w:type="dxa"/>
              <w:bottom w:w="40" w:type="dxa"/>
              <w:right w:w="40" w:type="dxa"/>
            </w:tcMar>
            <w:vAlign w:val="bottom"/>
          </w:tcPr>
          <w:p w14:paraId="0BC99F0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9F1C" w14:textId="77777777">
        <w:trPr>
          <w:jc w:val="center"/>
        </w:trPr>
        <w:tc>
          <w:tcPr>
            <w:tcW w:w="0" w:type="auto"/>
            <w:shd w:val="clear" w:color="auto" w:fill="auto"/>
            <w:tcMar>
              <w:top w:w="40" w:type="dxa"/>
              <w:left w:w="240" w:type="dxa"/>
              <w:bottom w:w="40" w:type="dxa"/>
              <w:right w:w="40" w:type="dxa"/>
            </w:tcMar>
            <w:vAlign w:val="bottom"/>
          </w:tcPr>
          <w:p w14:paraId="0BC99F0D" w14:textId="77777777" w:rsidR="009F0928" w:rsidRDefault="002112BD">
            <w:pPr>
              <w:textAlignment w:val="bottom"/>
              <w:rPr>
                <w:rFonts w:ascii="Times New Roman" w:hAnsi="Times New Roman"/>
                <w:sz w:val="16"/>
                <w:szCs w:val="16"/>
              </w:rPr>
            </w:pPr>
            <w:r>
              <w:rPr>
                <w:rFonts w:ascii="Arial" w:eastAsia="宋体" w:hAnsi="Arial" w:cs="Arial"/>
                <w:sz w:val="16"/>
                <w:szCs w:val="16"/>
              </w:rPr>
              <w:t>Senior notes due 2023</w:t>
            </w:r>
          </w:p>
        </w:tc>
        <w:tc>
          <w:tcPr>
            <w:tcW w:w="0" w:type="auto"/>
            <w:shd w:val="clear" w:color="auto" w:fill="auto"/>
            <w:tcMar>
              <w:top w:w="40" w:type="dxa"/>
              <w:left w:w="40" w:type="dxa"/>
              <w:bottom w:w="40" w:type="dxa"/>
              <w:right w:w="40" w:type="dxa"/>
            </w:tcMar>
            <w:vAlign w:val="bottom"/>
          </w:tcPr>
          <w:p w14:paraId="0BC99F0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0F" w14:textId="77777777" w:rsidR="009F0928" w:rsidRDefault="002112BD">
            <w:pPr>
              <w:textAlignment w:val="bottom"/>
              <w:rPr>
                <w:rFonts w:ascii="Times New Roman" w:hAnsi="Times New Roman"/>
                <w:sz w:val="16"/>
                <w:szCs w:val="16"/>
              </w:rPr>
            </w:pPr>
            <w:r>
              <w:rPr>
                <w:rFonts w:ascii="Arial" w:eastAsia="宋体" w:hAnsi="Arial" w:cs="Arial"/>
                <w:sz w:val="16"/>
                <w:szCs w:val="16"/>
              </w:rPr>
              <w:t>2.750%</w:t>
            </w:r>
          </w:p>
        </w:tc>
        <w:tc>
          <w:tcPr>
            <w:tcW w:w="0" w:type="auto"/>
            <w:shd w:val="clear" w:color="auto" w:fill="auto"/>
            <w:tcMar>
              <w:top w:w="40" w:type="dxa"/>
              <w:left w:w="40" w:type="dxa"/>
              <w:bottom w:w="40" w:type="dxa"/>
              <w:right w:w="40" w:type="dxa"/>
            </w:tcMar>
            <w:vAlign w:val="bottom"/>
          </w:tcPr>
          <w:p w14:paraId="0BC99F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F1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750</w:t>
            </w:r>
          </w:p>
        </w:tc>
        <w:tc>
          <w:tcPr>
            <w:tcW w:w="0" w:type="auto"/>
            <w:shd w:val="clear" w:color="auto" w:fill="auto"/>
            <w:vAlign w:val="bottom"/>
          </w:tcPr>
          <w:p w14:paraId="0BC99F1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F1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F1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2.866</w:t>
            </w:r>
          </w:p>
        </w:tc>
        <w:tc>
          <w:tcPr>
            <w:tcW w:w="0" w:type="auto"/>
            <w:shd w:val="clear" w:color="auto" w:fill="auto"/>
            <w:tcMar>
              <w:top w:w="40" w:type="dxa"/>
              <w:bottom w:w="40" w:type="dxa"/>
              <w:right w:w="40" w:type="dxa"/>
            </w:tcMar>
            <w:vAlign w:val="bottom"/>
          </w:tcPr>
          <w:p w14:paraId="0BC99F1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F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F1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750</w:t>
            </w:r>
          </w:p>
        </w:tc>
        <w:tc>
          <w:tcPr>
            <w:tcW w:w="0" w:type="auto"/>
            <w:shd w:val="clear" w:color="auto" w:fill="auto"/>
            <w:vAlign w:val="bottom"/>
          </w:tcPr>
          <w:p w14:paraId="0BC99F1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F1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F1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2.866</w:t>
            </w:r>
          </w:p>
        </w:tc>
        <w:tc>
          <w:tcPr>
            <w:tcW w:w="0" w:type="auto"/>
            <w:shd w:val="clear" w:color="auto" w:fill="auto"/>
            <w:tcMar>
              <w:top w:w="40" w:type="dxa"/>
              <w:bottom w:w="40" w:type="dxa"/>
              <w:right w:w="40" w:type="dxa"/>
            </w:tcMar>
            <w:vAlign w:val="bottom"/>
          </w:tcPr>
          <w:p w14:paraId="0BC99F1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9F2C" w14:textId="77777777">
        <w:trPr>
          <w:jc w:val="center"/>
        </w:trPr>
        <w:tc>
          <w:tcPr>
            <w:tcW w:w="0" w:type="auto"/>
            <w:shd w:val="clear" w:color="auto" w:fill="E2E2E2"/>
            <w:tcMar>
              <w:top w:w="40" w:type="dxa"/>
              <w:left w:w="240" w:type="dxa"/>
              <w:bottom w:w="40" w:type="dxa"/>
              <w:right w:w="40" w:type="dxa"/>
            </w:tcMar>
            <w:vAlign w:val="bottom"/>
          </w:tcPr>
          <w:p w14:paraId="0BC99F1D" w14:textId="77777777" w:rsidR="009F0928" w:rsidRDefault="002112BD">
            <w:pPr>
              <w:textAlignment w:val="bottom"/>
              <w:rPr>
                <w:rFonts w:ascii="Times New Roman" w:hAnsi="Times New Roman"/>
                <w:sz w:val="16"/>
                <w:szCs w:val="16"/>
              </w:rPr>
            </w:pPr>
            <w:r>
              <w:rPr>
                <w:rFonts w:ascii="Arial" w:eastAsia="宋体" w:hAnsi="Arial" w:cs="Arial"/>
                <w:sz w:val="16"/>
                <w:szCs w:val="16"/>
              </w:rPr>
              <w:t>Senior notes due 2024</w:t>
            </w:r>
          </w:p>
        </w:tc>
        <w:tc>
          <w:tcPr>
            <w:tcW w:w="0" w:type="auto"/>
            <w:shd w:val="clear" w:color="auto" w:fill="E2E2E2"/>
            <w:tcMar>
              <w:top w:w="40" w:type="dxa"/>
              <w:left w:w="40" w:type="dxa"/>
              <w:bottom w:w="40" w:type="dxa"/>
              <w:right w:w="40" w:type="dxa"/>
            </w:tcMar>
            <w:vAlign w:val="bottom"/>
          </w:tcPr>
          <w:p w14:paraId="0BC99F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1F" w14:textId="77777777" w:rsidR="009F0928" w:rsidRDefault="002112BD">
            <w:pPr>
              <w:textAlignment w:val="bottom"/>
              <w:rPr>
                <w:rFonts w:ascii="Times New Roman" w:hAnsi="Times New Roman"/>
                <w:sz w:val="16"/>
                <w:szCs w:val="16"/>
              </w:rPr>
            </w:pPr>
            <w:r>
              <w:rPr>
                <w:rFonts w:ascii="Arial" w:eastAsia="宋体" w:hAnsi="Arial" w:cs="Arial"/>
                <w:sz w:val="16"/>
                <w:szCs w:val="16"/>
              </w:rPr>
              <w:t>3.450%</w:t>
            </w:r>
          </w:p>
        </w:tc>
        <w:tc>
          <w:tcPr>
            <w:tcW w:w="0" w:type="auto"/>
            <w:shd w:val="clear" w:color="auto" w:fill="E2E2E2"/>
            <w:tcMar>
              <w:top w:w="40" w:type="dxa"/>
              <w:left w:w="40" w:type="dxa"/>
              <w:bottom w:w="40" w:type="dxa"/>
              <w:right w:w="40" w:type="dxa"/>
            </w:tcMar>
            <w:vAlign w:val="bottom"/>
          </w:tcPr>
          <w:p w14:paraId="0BC99F2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F2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750</w:t>
            </w:r>
          </w:p>
        </w:tc>
        <w:tc>
          <w:tcPr>
            <w:tcW w:w="0" w:type="auto"/>
            <w:shd w:val="clear" w:color="auto" w:fill="E2E2E2"/>
            <w:vAlign w:val="bottom"/>
          </w:tcPr>
          <w:p w14:paraId="0BC99F2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F2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F2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3.531</w:t>
            </w:r>
          </w:p>
        </w:tc>
        <w:tc>
          <w:tcPr>
            <w:tcW w:w="0" w:type="auto"/>
            <w:shd w:val="clear" w:color="auto" w:fill="E2E2E2"/>
            <w:tcMar>
              <w:top w:w="40" w:type="dxa"/>
              <w:bottom w:w="40" w:type="dxa"/>
              <w:right w:w="40" w:type="dxa"/>
            </w:tcMar>
            <w:vAlign w:val="bottom"/>
          </w:tcPr>
          <w:p w14:paraId="0BC99F2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F2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F2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750</w:t>
            </w:r>
          </w:p>
        </w:tc>
        <w:tc>
          <w:tcPr>
            <w:tcW w:w="0" w:type="auto"/>
            <w:shd w:val="clear" w:color="auto" w:fill="E2E2E2"/>
            <w:vAlign w:val="bottom"/>
          </w:tcPr>
          <w:p w14:paraId="0BC99F2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F2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F2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3.531</w:t>
            </w:r>
          </w:p>
        </w:tc>
        <w:tc>
          <w:tcPr>
            <w:tcW w:w="0" w:type="auto"/>
            <w:shd w:val="clear" w:color="auto" w:fill="E2E2E2"/>
            <w:tcMar>
              <w:top w:w="40" w:type="dxa"/>
              <w:bottom w:w="40" w:type="dxa"/>
              <w:right w:w="40" w:type="dxa"/>
            </w:tcMar>
            <w:vAlign w:val="bottom"/>
          </w:tcPr>
          <w:p w14:paraId="0BC99F2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9F3C" w14:textId="77777777">
        <w:trPr>
          <w:jc w:val="center"/>
        </w:trPr>
        <w:tc>
          <w:tcPr>
            <w:tcW w:w="0" w:type="auto"/>
            <w:shd w:val="clear" w:color="auto" w:fill="auto"/>
            <w:tcMar>
              <w:top w:w="40" w:type="dxa"/>
              <w:left w:w="240" w:type="dxa"/>
              <w:bottom w:w="40" w:type="dxa"/>
              <w:right w:w="40" w:type="dxa"/>
            </w:tcMar>
            <w:vAlign w:val="bottom"/>
          </w:tcPr>
          <w:p w14:paraId="0BC99F2D" w14:textId="77777777" w:rsidR="009F0928" w:rsidRDefault="002112BD">
            <w:pPr>
              <w:textAlignment w:val="bottom"/>
              <w:rPr>
                <w:rFonts w:ascii="Times New Roman" w:hAnsi="Times New Roman"/>
                <w:sz w:val="16"/>
                <w:szCs w:val="16"/>
              </w:rPr>
            </w:pPr>
            <w:r>
              <w:rPr>
                <w:rFonts w:ascii="Arial" w:eastAsia="宋体" w:hAnsi="Arial" w:cs="Arial"/>
                <w:sz w:val="16"/>
                <w:szCs w:val="16"/>
              </w:rPr>
              <w:t>Senior notes due 2027</w:t>
            </w:r>
          </w:p>
        </w:tc>
        <w:tc>
          <w:tcPr>
            <w:tcW w:w="0" w:type="auto"/>
            <w:shd w:val="clear" w:color="auto" w:fill="auto"/>
            <w:tcMar>
              <w:top w:w="40" w:type="dxa"/>
              <w:left w:w="40" w:type="dxa"/>
              <w:bottom w:w="40" w:type="dxa"/>
              <w:right w:w="40" w:type="dxa"/>
            </w:tcMar>
            <w:vAlign w:val="bottom"/>
          </w:tcPr>
          <w:p w14:paraId="0BC99F2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2F" w14:textId="77777777" w:rsidR="009F0928" w:rsidRDefault="002112BD">
            <w:pPr>
              <w:textAlignment w:val="bottom"/>
              <w:rPr>
                <w:rFonts w:ascii="Times New Roman" w:hAnsi="Times New Roman"/>
                <w:sz w:val="16"/>
                <w:szCs w:val="16"/>
              </w:rPr>
            </w:pPr>
            <w:r>
              <w:rPr>
                <w:rFonts w:ascii="Arial" w:eastAsia="宋体" w:hAnsi="Arial" w:cs="Arial"/>
                <w:sz w:val="16"/>
                <w:szCs w:val="16"/>
              </w:rPr>
              <w:t>3.600%</w:t>
            </w:r>
          </w:p>
        </w:tc>
        <w:tc>
          <w:tcPr>
            <w:tcW w:w="0" w:type="auto"/>
            <w:shd w:val="clear" w:color="auto" w:fill="auto"/>
            <w:tcMar>
              <w:top w:w="40" w:type="dxa"/>
              <w:left w:w="40" w:type="dxa"/>
              <w:bottom w:w="40" w:type="dxa"/>
              <w:right w:w="40" w:type="dxa"/>
            </w:tcMar>
            <w:vAlign w:val="bottom"/>
          </w:tcPr>
          <w:p w14:paraId="0BC99F3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F3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850</w:t>
            </w:r>
          </w:p>
        </w:tc>
        <w:tc>
          <w:tcPr>
            <w:tcW w:w="0" w:type="auto"/>
            <w:shd w:val="clear" w:color="auto" w:fill="auto"/>
            <w:vAlign w:val="bottom"/>
          </w:tcPr>
          <w:p w14:paraId="0BC99F3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F3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F3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3.689</w:t>
            </w:r>
          </w:p>
        </w:tc>
        <w:tc>
          <w:tcPr>
            <w:tcW w:w="0" w:type="auto"/>
            <w:shd w:val="clear" w:color="auto" w:fill="auto"/>
            <w:tcMar>
              <w:top w:w="40" w:type="dxa"/>
              <w:bottom w:w="40" w:type="dxa"/>
              <w:right w:w="40" w:type="dxa"/>
            </w:tcMar>
            <w:vAlign w:val="bottom"/>
          </w:tcPr>
          <w:p w14:paraId="0BC99F3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F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F3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850</w:t>
            </w:r>
          </w:p>
        </w:tc>
        <w:tc>
          <w:tcPr>
            <w:tcW w:w="0" w:type="auto"/>
            <w:shd w:val="clear" w:color="auto" w:fill="auto"/>
            <w:vAlign w:val="bottom"/>
          </w:tcPr>
          <w:p w14:paraId="0BC99F3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F3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F3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3.689</w:t>
            </w:r>
          </w:p>
        </w:tc>
        <w:tc>
          <w:tcPr>
            <w:tcW w:w="0" w:type="auto"/>
            <w:shd w:val="clear" w:color="auto" w:fill="auto"/>
            <w:tcMar>
              <w:top w:w="40" w:type="dxa"/>
              <w:bottom w:w="40" w:type="dxa"/>
              <w:right w:w="40" w:type="dxa"/>
            </w:tcMar>
            <w:vAlign w:val="bottom"/>
          </w:tcPr>
          <w:p w14:paraId="0BC99F3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9F4C" w14:textId="77777777">
        <w:trPr>
          <w:jc w:val="center"/>
        </w:trPr>
        <w:tc>
          <w:tcPr>
            <w:tcW w:w="0" w:type="auto"/>
            <w:shd w:val="clear" w:color="auto" w:fill="E2E2E2"/>
            <w:tcMar>
              <w:top w:w="40" w:type="dxa"/>
              <w:left w:w="240" w:type="dxa"/>
              <w:bottom w:w="40" w:type="dxa"/>
              <w:right w:w="40" w:type="dxa"/>
            </w:tcMar>
            <w:vAlign w:val="bottom"/>
          </w:tcPr>
          <w:p w14:paraId="0BC99F3D" w14:textId="77777777" w:rsidR="009F0928" w:rsidRDefault="002112BD">
            <w:pPr>
              <w:textAlignment w:val="bottom"/>
              <w:rPr>
                <w:rFonts w:ascii="Times New Roman" w:hAnsi="Times New Roman"/>
                <w:sz w:val="16"/>
                <w:szCs w:val="16"/>
              </w:rPr>
            </w:pPr>
            <w:r>
              <w:rPr>
                <w:rFonts w:ascii="Arial" w:eastAsia="宋体" w:hAnsi="Arial" w:cs="Arial"/>
                <w:sz w:val="16"/>
                <w:szCs w:val="16"/>
              </w:rPr>
              <w:t>Senior notes due 2042</w:t>
            </w:r>
          </w:p>
        </w:tc>
        <w:tc>
          <w:tcPr>
            <w:tcW w:w="0" w:type="auto"/>
            <w:shd w:val="clear" w:color="auto" w:fill="E2E2E2"/>
            <w:tcMar>
              <w:top w:w="40" w:type="dxa"/>
              <w:left w:w="40" w:type="dxa"/>
              <w:bottom w:w="40" w:type="dxa"/>
              <w:right w:w="40" w:type="dxa"/>
            </w:tcMar>
            <w:vAlign w:val="bottom"/>
          </w:tcPr>
          <w:p w14:paraId="0BC99F3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3F" w14:textId="77777777" w:rsidR="009F0928" w:rsidRDefault="002112BD">
            <w:pPr>
              <w:textAlignment w:val="bottom"/>
              <w:rPr>
                <w:rFonts w:ascii="Times New Roman" w:hAnsi="Times New Roman"/>
                <w:sz w:val="16"/>
                <w:szCs w:val="16"/>
              </w:rPr>
            </w:pPr>
            <w:r>
              <w:rPr>
                <w:rFonts w:ascii="Arial" w:eastAsia="宋体" w:hAnsi="Arial" w:cs="Arial"/>
                <w:sz w:val="16"/>
                <w:szCs w:val="16"/>
              </w:rPr>
              <w:t>4.000%</w:t>
            </w:r>
          </w:p>
        </w:tc>
        <w:tc>
          <w:tcPr>
            <w:tcW w:w="0" w:type="auto"/>
            <w:shd w:val="clear" w:color="auto" w:fill="E2E2E2"/>
            <w:tcMar>
              <w:top w:w="40" w:type="dxa"/>
              <w:left w:w="40" w:type="dxa"/>
              <w:bottom w:w="40" w:type="dxa"/>
              <w:right w:w="40" w:type="dxa"/>
            </w:tcMar>
            <w:vAlign w:val="bottom"/>
          </w:tcPr>
          <w:p w14:paraId="0BC99F4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F4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750</w:t>
            </w:r>
          </w:p>
        </w:tc>
        <w:tc>
          <w:tcPr>
            <w:tcW w:w="0" w:type="auto"/>
            <w:shd w:val="clear" w:color="auto" w:fill="E2E2E2"/>
            <w:vAlign w:val="bottom"/>
          </w:tcPr>
          <w:p w14:paraId="0BC99F4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F4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F4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4.114</w:t>
            </w:r>
          </w:p>
        </w:tc>
        <w:tc>
          <w:tcPr>
            <w:tcW w:w="0" w:type="auto"/>
            <w:shd w:val="clear" w:color="auto" w:fill="E2E2E2"/>
            <w:tcMar>
              <w:top w:w="40" w:type="dxa"/>
              <w:bottom w:w="40" w:type="dxa"/>
              <w:right w:w="40" w:type="dxa"/>
            </w:tcMar>
            <w:vAlign w:val="bottom"/>
          </w:tcPr>
          <w:p w14:paraId="0BC99F4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F4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F4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750</w:t>
            </w:r>
          </w:p>
        </w:tc>
        <w:tc>
          <w:tcPr>
            <w:tcW w:w="0" w:type="auto"/>
            <w:shd w:val="clear" w:color="auto" w:fill="E2E2E2"/>
            <w:vAlign w:val="bottom"/>
          </w:tcPr>
          <w:p w14:paraId="0BC99F4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F4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9F4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4.114</w:t>
            </w:r>
          </w:p>
        </w:tc>
        <w:tc>
          <w:tcPr>
            <w:tcW w:w="0" w:type="auto"/>
            <w:shd w:val="clear" w:color="auto" w:fill="E2E2E2"/>
            <w:tcMar>
              <w:top w:w="40" w:type="dxa"/>
              <w:bottom w:w="40" w:type="dxa"/>
              <w:right w:w="40" w:type="dxa"/>
            </w:tcMar>
            <w:vAlign w:val="bottom"/>
          </w:tcPr>
          <w:p w14:paraId="0BC99F4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9F5C" w14:textId="77777777">
        <w:trPr>
          <w:jc w:val="center"/>
        </w:trPr>
        <w:tc>
          <w:tcPr>
            <w:tcW w:w="0" w:type="auto"/>
            <w:shd w:val="clear" w:color="auto" w:fill="auto"/>
            <w:tcMar>
              <w:top w:w="40" w:type="dxa"/>
              <w:left w:w="240" w:type="dxa"/>
              <w:bottom w:w="40" w:type="dxa"/>
              <w:right w:w="40" w:type="dxa"/>
            </w:tcMar>
            <w:vAlign w:val="bottom"/>
          </w:tcPr>
          <w:p w14:paraId="0BC99F4D" w14:textId="77777777" w:rsidR="009F0928" w:rsidRDefault="002112BD">
            <w:pPr>
              <w:textAlignment w:val="bottom"/>
              <w:rPr>
                <w:rFonts w:ascii="Times New Roman" w:hAnsi="Times New Roman"/>
                <w:sz w:val="16"/>
                <w:szCs w:val="16"/>
              </w:rPr>
            </w:pPr>
            <w:r>
              <w:rPr>
                <w:rFonts w:ascii="Arial" w:eastAsia="宋体" w:hAnsi="Arial" w:cs="Arial"/>
                <w:sz w:val="16"/>
                <w:szCs w:val="16"/>
              </w:rPr>
              <w:t>Senior notes due 2056</w:t>
            </w:r>
          </w:p>
        </w:tc>
        <w:tc>
          <w:tcPr>
            <w:tcW w:w="0" w:type="auto"/>
            <w:shd w:val="clear" w:color="auto" w:fill="auto"/>
            <w:tcMar>
              <w:top w:w="40" w:type="dxa"/>
              <w:left w:w="40" w:type="dxa"/>
              <w:bottom w:w="40" w:type="dxa"/>
              <w:right w:w="40" w:type="dxa"/>
            </w:tcMar>
            <w:vAlign w:val="bottom"/>
          </w:tcPr>
          <w:p w14:paraId="0BC99F4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4F" w14:textId="77777777" w:rsidR="009F0928" w:rsidRDefault="002112BD">
            <w:pPr>
              <w:textAlignment w:val="bottom"/>
              <w:rPr>
                <w:rFonts w:ascii="Times New Roman" w:hAnsi="Times New Roman"/>
                <w:sz w:val="16"/>
                <w:szCs w:val="16"/>
              </w:rPr>
            </w:pPr>
            <w:r>
              <w:rPr>
                <w:rFonts w:ascii="Arial" w:eastAsia="宋体" w:hAnsi="Arial" w:cs="Arial"/>
                <w:sz w:val="16"/>
                <w:szCs w:val="16"/>
              </w:rPr>
              <w:t>6.000%</w:t>
            </w:r>
          </w:p>
        </w:tc>
        <w:tc>
          <w:tcPr>
            <w:tcW w:w="0" w:type="auto"/>
            <w:shd w:val="clear" w:color="auto" w:fill="auto"/>
            <w:tcMar>
              <w:top w:w="40" w:type="dxa"/>
              <w:left w:w="40" w:type="dxa"/>
              <w:bottom w:w="40" w:type="dxa"/>
              <w:right w:w="40" w:type="dxa"/>
            </w:tcMar>
            <w:vAlign w:val="bottom"/>
          </w:tcPr>
          <w:p w14:paraId="0BC99F5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F5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750</w:t>
            </w:r>
          </w:p>
        </w:tc>
        <w:tc>
          <w:tcPr>
            <w:tcW w:w="0" w:type="auto"/>
            <w:tcBorders>
              <w:bottom w:val="single" w:sz="8" w:space="0" w:color="000000"/>
            </w:tcBorders>
            <w:shd w:val="clear" w:color="auto" w:fill="auto"/>
            <w:vAlign w:val="bottom"/>
          </w:tcPr>
          <w:p w14:paraId="0BC99F5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F5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F5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6.547</w:t>
            </w:r>
          </w:p>
        </w:tc>
        <w:tc>
          <w:tcPr>
            <w:tcW w:w="0" w:type="auto"/>
            <w:shd w:val="clear" w:color="auto" w:fill="auto"/>
            <w:tcMar>
              <w:top w:w="40" w:type="dxa"/>
              <w:bottom w:w="40" w:type="dxa"/>
              <w:right w:w="40" w:type="dxa"/>
            </w:tcMar>
            <w:vAlign w:val="bottom"/>
          </w:tcPr>
          <w:p w14:paraId="0BC99F5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F5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9F5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750</w:t>
            </w:r>
          </w:p>
        </w:tc>
        <w:tc>
          <w:tcPr>
            <w:tcW w:w="0" w:type="auto"/>
            <w:tcBorders>
              <w:bottom w:val="single" w:sz="8" w:space="0" w:color="000000"/>
            </w:tcBorders>
            <w:shd w:val="clear" w:color="auto" w:fill="auto"/>
            <w:vAlign w:val="bottom"/>
          </w:tcPr>
          <w:p w14:paraId="0BC99F5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F5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9F5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6.547</w:t>
            </w:r>
          </w:p>
        </w:tc>
        <w:tc>
          <w:tcPr>
            <w:tcW w:w="0" w:type="auto"/>
            <w:shd w:val="clear" w:color="auto" w:fill="auto"/>
            <w:tcMar>
              <w:top w:w="40" w:type="dxa"/>
              <w:bottom w:w="40" w:type="dxa"/>
              <w:right w:w="40" w:type="dxa"/>
            </w:tcMar>
            <w:vAlign w:val="bottom"/>
          </w:tcPr>
          <w:p w14:paraId="0BC99F5B"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r>
      <w:tr w:rsidR="009F0928" w14:paraId="0BC99F6A" w14:textId="77777777">
        <w:trPr>
          <w:jc w:val="center"/>
        </w:trPr>
        <w:tc>
          <w:tcPr>
            <w:tcW w:w="0" w:type="auto"/>
            <w:shd w:val="clear" w:color="auto" w:fill="E2E2E2"/>
            <w:tcMar>
              <w:top w:w="40" w:type="dxa"/>
              <w:left w:w="560" w:type="dxa"/>
              <w:bottom w:w="40" w:type="dxa"/>
              <w:right w:w="40" w:type="dxa"/>
            </w:tcMar>
            <w:vAlign w:val="bottom"/>
          </w:tcPr>
          <w:p w14:paraId="0BC99F5D" w14:textId="77777777" w:rsidR="009F0928" w:rsidRDefault="002112BD">
            <w:pPr>
              <w:textAlignment w:val="bottom"/>
              <w:rPr>
                <w:rFonts w:ascii="Times New Roman" w:hAnsi="Times New Roman"/>
                <w:sz w:val="16"/>
                <w:szCs w:val="16"/>
              </w:rPr>
            </w:pPr>
            <w:r>
              <w:rPr>
                <w:rFonts w:ascii="Arial" w:eastAsia="宋体" w:hAnsi="Arial" w:cs="Arial"/>
                <w:sz w:val="16"/>
                <w:szCs w:val="16"/>
              </w:rPr>
              <w:t>Total senior notes</w:t>
            </w:r>
          </w:p>
        </w:tc>
        <w:tc>
          <w:tcPr>
            <w:tcW w:w="0" w:type="auto"/>
            <w:shd w:val="clear" w:color="auto" w:fill="E2E2E2"/>
            <w:tcMar>
              <w:top w:w="40" w:type="dxa"/>
              <w:left w:w="40" w:type="dxa"/>
              <w:bottom w:w="40" w:type="dxa"/>
              <w:right w:w="40" w:type="dxa"/>
            </w:tcMar>
            <w:vAlign w:val="bottom"/>
          </w:tcPr>
          <w:p w14:paraId="0BC99F5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5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6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F61"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7,750</w:t>
            </w:r>
          </w:p>
        </w:tc>
        <w:tc>
          <w:tcPr>
            <w:tcW w:w="0" w:type="auto"/>
            <w:shd w:val="clear" w:color="auto" w:fill="E2E2E2"/>
            <w:vAlign w:val="bottom"/>
          </w:tcPr>
          <w:p w14:paraId="0BC99F6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F6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9F6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F66"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9,300</w:t>
            </w:r>
          </w:p>
        </w:tc>
        <w:tc>
          <w:tcPr>
            <w:tcW w:w="0" w:type="auto"/>
            <w:shd w:val="clear" w:color="auto" w:fill="E2E2E2"/>
            <w:vAlign w:val="bottom"/>
          </w:tcPr>
          <w:p w14:paraId="0BC99F6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F6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9F6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F78" w14:textId="77777777">
        <w:trPr>
          <w:jc w:val="center"/>
        </w:trPr>
        <w:tc>
          <w:tcPr>
            <w:tcW w:w="0" w:type="auto"/>
            <w:shd w:val="clear" w:color="auto" w:fill="auto"/>
            <w:tcMar>
              <w:top w:w="40" w:type="dxa"/>
              <w:left w:w="40" w:type="dxa"/>
              <w:bottom w:w="40" w:type="dxa"/>
              <w:right w:w="40" w:type="dxa"/>
            </w:tcMar>
            <w:vAlign w:val="bottom"/>
          </w:tcPr>
          <w:p w14:paraId="0BC99F6B" w14:textId="77777777" w:rsidR="009F0928" w:rsidRDefault="002112BD">
            <w:pPr>
              <w:textAlignment w:val="bottom"/>
              <w:rPr>
                <w:rFonts w:ascii="Times New Roman" w:hAnsi="Times New Roman"/>
                <w:sz w:val="16"/>
                <w:szCs w:val="16"/>
              </w:rPr>
            </w:pPr>
            <w:r>
              <w:rPr>
                <w:rFonts w:ascii="Arial" w:eastAsia="宋体" w:hAnsi="Arial" w:cs="Arial"/>
                <w:sz w:val="16"/>
                <w:szCs w:val="16"/>
              </w:rPr>
              <w:t xml:space="preserve">Hedge accounting fair value adjustments </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bottom"/>
          </w:tcPr>
          <w:p w14:paraId="0BC99F6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6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6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F6F"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15</w:t>
            </w:r>
          </w:p>
        </w:tc>
        <w:tc>
          <w:tcPr>
            <w:tcW w:w="0" w:type="auto"/>
            <w:shd w:val="clear" w:color="auto" w:fill="auto"/>
            <w:vAlign w:val="bottom"/>
          </w:tcPr>
          <w:p w14:paraId="0BC99F7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F7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9F7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7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F7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w:t>
            </w:r>
          </w:p>
        </w:tc>
        <w:tc>
          <w:tcPr>
            <w:tcW w:w="0" w:type="auto"/>
            <w:shd w:val="clear" w:color="auto" w:fill="auto"/>
            <w:tcMar>
              <w:top w:w="40" w:type="dxa"/>
              <w:bottom w:w="40" w:type="dxa"/>
              <w:right w:w="40" w:type="dxa"/>
            </w:tcMar>
            <w:vAlign w:val="bottom"/>
          </w:tcPr>
          <w:p w14:paraId="0BC99F75"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F7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9F7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F86" w14:textId="77777777">
        <w:trPr>
          <w:jc w:val="center"/>
        </w:trPr>
        <w:tc>
          <w:tcPr>
            <w:tcW w:w="0" w:type="auto"/>
            <w:shd w:val="clear" w:color="auto" w:fill="E2E2E2"/>
            <w:tcMar>
              <w:top w:w="40" w:type="dxa"/>
              <w:left w:w="40" w:type="dxa"/>
              <w:bottom w:w="40" w:type="dxa"/>
              <w:right w:w="40" w:type="dxa"/>
            </w:tcMar>
            <w:vAlign w:val="bottom"/>
          </w:tcPr>
          <w:p w14:paraId="0BC99F79" w14:textId="77777777" w:rsidR="009F0928" w:rsidRDefault="002112BD">
            <w:pPr>
              <w:textAlignment w:val="bottom"/>
              <w:rPr>
                <w:rFonts w:ascii="Times New Roman" w:hAnsi="Times New Roman"/>
                <w:sz w:val="16"/>
                <w:szCs w:val="16"/>
              </w:rPr>
            </w:pPr>
            <w:r>
              <w:rPr>
                <w:rFonts w:ascii="Arial" w:eastAsia="宋体" w:hAnsi="Arial" w:cs="Arial"/>
                <w:sz w:val="16"/>
                <w:szCs w:val="16"/>
              </w:rPr>
              <w:t xml:space="preserve">Unamortized discount and debt </w:t>
            </w:r>
            <w:r>
              <w:rPr>
                <w:rFonts w:ascii="Arial" w:eastAsia="宋体" w:hAnsi="Arial" w:cs="Arial"/>
                <w:sz w:val="16"/>
                <w:szCs w:val="16"/>
              </w:rPr>
              <w:t>issuance costs</w:t>
            </w:r>
          </w:p>
        </w:tc>
        <w:tc>
          <w:tcPr>
            <w:tcW w:w="0" w:type="auto"/>
            <w:shd w:val="clear" w:color="auto" w:fill="E2E2E2"/>
            <w:tcMar>
              <w:top w:w="40" w:type="dxa"/>
              <w:left w:w="40" w:type="dxa"/>
              <w:bottom w:w="40" w:type="dxa"/>
              <w:right w:w="40" w:type="dxa"/>
            </w:tcMar>
            <w:vAlign w:val="bottom"/>
          </w:tcPr>
          <w:p w14:paraId="0BC99F7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7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7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F7D"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(44</w:t>
            </w:r>
          </w:p>
        </w:tc>
        <w:tc>
          <w:tcPr>
            <w:tcW w:w="0" w:type="auto"/>
            <w:shd w:val="clear" w:color="auto" w:fill="E2E2E2"/>
            <w:tcMar>
              <w:top w:w="40" w:type="dxa"/>
              <w:bottom w:w="40" w:type="dxa"/>
              <w:right w:w="40" w:type="dxa"/>
            </w:tcMar>
            <w:vAlign w:val="bottom"/>
          </w:tcPr>
          <w:p w14:paraId="0BC99F7E"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F7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9F8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8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F8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(55</w:t>
            </w:r>
          </w:p>
        </w:tc>
        <w:tc>
          <w:tcPr>
            <w:tcW w:w="0" w:type="auto"/>
            <w:shd w:val="clear" w:color="auto" w:fill="E2E2E2"/>
            <w:tcMar>
              <w:top w:w="40" w:type="dxa"/>
              <w:bottom w:w="40" w:type="dxa"/>
              <w:right w:w="40" w:type="dxa"/>
            </w:tcMar>
            <w:vAlign w:val="bottom"/>
          </w:tcPr>
          <w:p w14:paraId="0BC99F8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F8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9F8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F94" w14:textId="77777777">
        <w:trPr>
          <w:jc w:val="center"/>
        </w:trPr>
        <w:tc>
          <w:tcPr>
            <w:tcW w:w="0" w:type="auto"/>
            <w:shd w:val="clear" w:color="auto" w:fill="auto"/>
            <w:tcMar>
              <w:top w:w="40" w:type="dxa"/>
              <w:left w:w="40" w:type="dxa"/>
              <w:bottom w:w="40" w:type="dxa"/>
              <w:right w:w="40" w:type="dxa"/>
            </w:tcMar>
            <w:vAlign w:val="bottom"/>
          </w:tcPr>
          <w:p w14:paraId="0BC99F87" w14:textId="77777777" w:rsidR="009F0928" w:rsidRDefault="002112BD">
            <w:pPr>
              <w:textAlignment w:val="bottom"/>
              <w:rPr>
                <w:rFonts w:ascii="Times New Roman" w:hAnsi="Times New Roman"/>
                <w:sz w:val="16"/>
                <w:szCs w:val="16"/>
              </w:rPr>
            </w:pPr>
            <w:r>
              <w:rPr>
                <w:rFonts w:ascii="Arial" w:eastAsia="宋体" w:hAnsi="Arial" w:cs="Arial"/>
                <w:sz w:val="16"/>
                <w:szCs w:val="16"/>
              </w:rPr>
              <w:t>Other long-term borrowings</w:t>
            </w:r>
          </w:p>
        </w:tc>
        <w:tc>
          <w:tcPr>
            <w:tcW w:w="0" w:type="auto"/>
            <w:shd w:val="clear" w:color="auto" w:fill="auto"/>
            <w:tcMar>
              <w:top w:w="40" w:type="dxa"/>
              <w:left w:w="40" w:type="dxa"/>
              <w:bottom w:w="40" w:type="dxa"/>
              <w:right w:w="40" w:type="dxa"/>
            </w:tcMar>
            <w:vAlign w:val="bottom"/>
          </w:tcPr>
          <w:p w14:paraId="0BC99F8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8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8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F8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17</w:t>
            </w:r>
          </w:p>
        </w:tc>
        <w:tc>
          <w:tcPr>
            <w:tcW w:w="0" w:type="auto"/>
            <w:shd w:val="clear" w:color="auto" w:fill="auto"/>
            <w:vAlign w:val="bottom"/>
          </w:tcPr>
          <w:p w14:paraId="0BC99F8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F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9F8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8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F9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0BC99F9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F9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9F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FA2" w14:textId="77777777">
        <w:trPr>
          <w:jc w:val="center"/>
        </w:trPr>
        <w:tc>
          <w:tcPr>
            <w:tcW w:w="0" w:type="auto"/>
            <w:shd w:val="clear" w:color="auto" w:fill="E2E2E2"/>
            <w:tcMar>
              <w:top w:w="40" w:type="dxa"/>
              <w:left w:w="40" w:type="dxa"/>
              <w:bottom w:w="40" w:type="dxa"/>
              <w:right w:w="40" w:type="dxa"/>
            </w:tcMar>
            <w:vAlign w:val="bottom"/>
          </w:tcPr>
          <w:p w14:paraId="0BC99F95" w14:textId="77777777" w:rsidR="009F0928" w:rsidRDefault="002112BD">
            <w:pPr>
              <w:textAlignment w:val="bottom"/>
              <w:rPr>
                <w:rFonts w:ascii="Times New Roman" w:hAnsi="Times New Roman"/>
                <w:sz w:val="16"/>
                <w:szCs w:val="16"/>
              </w:rPr>
            </w:pPr>
            <w:r>
              <w:rPr>
                <w:rFonts w:ascii="Arial" w:eastAsia="宋体" w:hAnsi="Arial" w:cs="Arial"/>
                <w:sz w:val="16"/>
                <w:szCs w:val="16"/>
              </w:rPr>
              <w:t>Less: Current portion of long-term debt</w:t>
            </w:r>
          </w:p>
        </w:tc>
        <w:tc>
          <w:tcPr>
            <w:tcW w:w="0" w:type="auto"/>
            <w:shd w:val="clear" w:color="auto" w:fill="E2E2E2"/>
            <w:tcMar>
              <w:top w:w="40" w:type="dxa"/>
              <w:left w:w="40" w:type="dxa"/>
              <w:bottom w:w="40" w:type="dxa"/>
              <w:right w:w="40" w:type="dxa"/>
            </w:tcMar>
            <w:vAlign w:val="bottom"/>
          </w:tcPr>
          <w:p w14:paraId="0BC99F9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9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F9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(1,000</w:t>
            </w:r>
          </w:p>
        </w:tc>
        <w:tc>
          <w:tcPr>
            <w:tcW w:w="0" w:type="auto"/>
            <w:shd w:val="clear" w:color="auto" w:fill="E2E2E2"/>
            <w:tcMar>
              <w:top w:w="40" w:type="dxa"/>
              <w:bottom w:w="40" w:type="dxa"/>
              <w:right w:w="40" w:type="dxa"/>
            </w:tcMar>
            <w:vAlign w:val="bottom"/>
          </w:tcPr>
          <w:p w14:paraId="0BC99F9A"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F9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9F9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9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F9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(1,550</w:t>
            </w:r>
          </w:p>
        </w:tc>
        <w:tc>
          <w:tcPr>
            <w:tcW w:w="0" w:type="auto"/>
            <w:shd w:val="clear" w:color="auto" w:fill="E2E2E2"/>
            <w:tcMar>
              <w:top w:w="40" w:type="dxa"/>
              <w:bottom w:w="40" w:type="dxa"/>
              <w:right w:w="40" w:type="dxa"/>
            </w:tcMar>
            <w:vAlign w:val="bottom"/>
          </w:tcPr>
          <w:p w14:paraId="0BC99F9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F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9FA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FB0" w14:textId="77777777">
        <w:trPr>
          <w:jc w:val="center"/>
        </w:trPr>
        <w:tc>
          <w:tcPr>
            <w:tcW w:w="0" w:type="auto"/>
            <w:shd w:val="clear" w:color="auto" w:fill="auto"/>
            <w:tcMar>
              <w:top w:w="40" w:type="dxa"/>
              <w:left w:w="560" w:type="dxa"/>
              <w:bottom w:w="40" w:type="dxa"/>
              <w:right w:w="40" w:type="dxa"/>
            </w:tcMar>
            <w:vAlign w:val="bottom"/>
          </w:tcPr>
          <w:p w14:paraId="0BC99FA3" w14:textId="77777777" w:rsidR="009F0928" w:rsidRDefault="002112BD">
            <w:pPr>
              <w:textAlignment w:val="bottom"/>
              <w:rPr>
                <w:rFonts w:ascii="Times New Roman" w:hAnsi="Times New Roman"/>
                <w:sz w:val="16"/>
                <w:szCs w:val="16"/>
              </w:rPr>
            </w:pPr>
            <w:r>
              <w:rPr>
                <w:rFonts w:ascii="Arial" w:eastAsia="宋体" w:hAnsi="Arial" w:cs="Arial"/>
                <w:sz w:val="16"/>
                <w:szCs w:val="16"/>
              </w:rPr>
              <w:t>Total long-term debt</w:t>
            </w:r>
          </w:p>
        </w:tc>
        <w:tc>
          <w:tcPr>
            <w:tcW w:w="0" w:type="auto"/>
            <w:shd w:val="clear" w:color="auto" w:fill="auto"/>
            <w:tcMar>
              <w:top w:w="40" w:type="dxa"/>
              <w:left w:w="40" w:type="dxa"/>
              <w:bottom w:w="40" w:type="dxa"/>
              <w:right w:w="40" w:type="dxa"/>
            </w:tcMar>
            <w:vAlign w:val="bottom"/>
          </w:tcPr>
          <w:p w14:paraId="0BC99FA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9FA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6,738</w:t>
            </w:r>
          </w:p>
        </w:tc>
        <w:tc>
          <w:tcPr>
            <w:tcW w:w="0" w:type="auto"/>
            <w:tcBorders>
              <w:top w:val="single" w:sz="8" w:space="0" w:color="000000"/>
              <w:bottom w:val="single" w:sz="8" w:space="0" w:color="000000"/>
            </w:tcBorders>
            <w:shd w:val="clear" w:color="auto" w:fill="auto"/>
            <w:vAlign w:val="bottom"/>
          </w:tcPr>
          <w:p w14:paraId="0BC99FA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F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9FA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A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0BC99FA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7,685</w:t>
            </w:r>
          </w:p>
        </w:tc>
        <w:tc>
          <w:tcPr>
            <w:tcW w:w="0" w:type="auto"/>
            <w:tcBorders>
              <w:top w:val="single" w:sz="8" w:space="0" w:color="000000"/>
              <w:bottom w:val="single" w:sz="8" w:space="0" w:color="000000"/>
            </w:tcBorders>
            <w:shd w:val="clear" w:color="auto" w:fill="auto"/>
            <w:vAlign w:val="bottom"/>
          </w:tcPr>
          <w:p w14:paraId="0BC99FA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FA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9FA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FBC" w14:textId="77777777">
        <w:trPr>
          <w:jc w:val="center"/>
        </w:trPr>
        <w:tc>
          <w:tcPr>
            <w:tcW w:w="0" w:type="auto"/>
            <w:shd w:val="clear" w:color="auto" w:fill="E2E2E2"/>
            <w:tcMar>
              <w:top w:w="40" w:type="dxa"/>
              <w:left w:w="40" w:type="dxa"/>
              <w:bottom w:w="40" w:type="dxa"/>
              <w:right w:w="40" w:type="dxa"/>
            </w:tcMar>
            <w:vAlign w:val="bottom"/>
          </w:tcPr>
          <w:p w14:paraId="0BC99FB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B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FB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9FB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B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9FB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B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9FB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FC8" w14:textId="77777777">
        <w:trPr>
          <w:jc w:val="center"/>
        </w:trPr>
        <w:tc>
          <w:tcPr>
            <w:tcW w:w="0" w:type="auto"/>
            <w:shd w:val="clear" w:color="auto" w:fill="auto"/>
            <w:tcMar>
              <w:top w:w="40" w:type="dxa"/>
              <w:left w:w="40" w:type="dxa"/>
              <w:bottom w:w="40" w:type="dxa"/>
              <w:right w:w="40" w:type="dxa"/>
            </w:tcMar>
            <w:vAlign w:val="bottom"/>
          </w:tcPr>
          <w:p w14:paraId="0BC99FBD" w14:textId="77777777" w:rsidR="009F0928" w:rsidRDefault="002112BD">
            <w:pPr>
              <w:textAlignment w:val="bottom"/>
              <w:rPr>
                <w:rFonts w:ascii="Times New Roman" w:hAnsi="Times New Roman"/>
                <w:sz w:val="16"/>
                <w:szCs w:val="16"/>
              </w:rPr>
            </w:pPr>
            <w:r>
              <w:rPr>
                <w:rFonts w:ascii="Arial" w:eastAsia="宋体" w:hAnsi="Arial" w:cs="Arial"/>
                <w:b/>
                <w:bCs/>
                <w:sz w:val="16"/>
                <w:szCs w:val="16"/>
              </w:rPr>
              <w:t>Short-Term Debt</w:t>
            </w:r>
          </w:p>
        </w:tc>
        <w:tc>
          <w:tcPr>
            <w:tcW w:w="0" w:type="auto"/>
            <w:shd w:val="clear" w:color="auto" w:fill="auto"/>
            <w:tcMar>
              <w:top w:w="40" w:type="dxa"/>
              <w:left w:w="40" w:type="dxa"/>
              <w:bottom w:w="40" w:type="dxa"/>
              <w:right w:w="40" w:type="dxa"/>
            </w:tcMar>
            <w:vAlign w:val="bottom"/>
          </w:tcPr>
          <w:p w14:paraId="0BC99FB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B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FC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C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9FC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C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9FC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C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9FC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FD6" w14:textId="77777777">
        <w:trPr>
          <w:jc w:val="center"/>
        </w:trPr>
        <w:tc>
          <w:tcPr>
            <w:tcW w:w="0" w:type="auto"/>
            <w:shd w:val="clear" w:color="auto" w:fill="E2E2E2"/>
            <w:tcMar>
              <w:top w:w="40" w:type="dxa"/>
              <w:left w:w="240" w:type="dxa"/>
              <w:bottom w:w="40" w:type="dxa"/>
              <w:right w:w="40" w:type="dxa"/>
            </w:tcMar>
            <w:vAlign w:val="bottom"/>
          </w:tcPr>
          <w:p w14:paraId="0BC99FC9" w14:textId="77777777" w:rsidR="009F0928" w:rsidRDefault="002112BD">
            <w:pPr>
              <w:textAlignment w:val="bottom"/>
              <w:rPr>
                <w:rFonts w:ascii="Times New Roman" w:hAnsi="Times New Roman"/>
                <w:sz w:val="16"/>
                <w:szCs w:val="16"/>
              </w:rPr>
            </w:pPr>
            <w:r>
              <w:rPr>
                <w:rFonts w:ascii="Arial" w:eastAsia="宋体" w:hAnsi="Arial" w:cs="Arial"/>
                <w:sz w:val="16"/>
                <w:szCs w:val="16"/>
              </w:rPr>
              <w:t>Current portion of long-term debt</w:t>
            </w:r>
          </w:p>
        </w:tc>
        <w:tc>
          <w:tcPr>
            <w:tcW w:w="0" w:type="auto"/>
            <w:shd w:val="clear" w:color="auto" w:fill="E2E2E2"/>
            <w:tcMar>
              <w:top w:w="40" w:type="dxa"/>
              <w:left w:w="40" w:type="dxa"/>
              <w:bottom w:w="40" w:type="dxa"/>
              <w:right w:w="40" w:type="dxa"/>
            </w:tcMar>
            <w:vAlign w:val="bottom"/>
          </w:tcPr>
          <w:p w14:paraId="0BC99FC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C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C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FCD"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1,000</w:t>
            </w:r>
          </w:p>
        </w:tc>
        <w:tc>
          <w:tcPr>
            <w:tcW w:w="0" w:type="auto"/>
            <w:shd w:val="clear" w:color="auto" w:fill="E2E2E2"/>
            <w:vAlign w:val="bottom"/>
          </w:tcPr>
          <w:p w14:paraId="0BC99FC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F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9F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D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FD2"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1,550</w:t>
            </w:r>
          </w:p>
        </w:tc>
        <w:tc>
          <w:tcPr>
            <w:tcW w:w="0" w:type="auto"/>
            <w:shd w:val="clear" w:color="auto" w:fill="E2E2E2"/>
            <w:vAlign w:val="bottom"/>
          </w:tcPr>
          <w:p w14:paraId="0BC99FD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9FD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9FD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FE4" w14:textId="77777777">
        <w:trPr>
          <w:jc w:val="center"/>
        </w:trPr>
        <w:tc>
          <w:tcPr>
            <w:tcW w:w="0" w:type="auto"/>
            <w:shd w:val="clear" w:color="auto" w:fill="auto"/>
            <w:tcMar>
              <w:top w:w="40" w:type="dxa"/>
              <w:left w:w="240" w:type="dxa"/>
              <w:bottom w:w="40" w:type="dxa"/>
              <w:right w:w="40" w:type="dxa"/>
            </w:tcMar>
            <w:vAlign w:val="bottom"/>
          </w:tcPr>
          <w:p w14:paraId="0BC99FD7" w14:textId="77777777" w:rsidR="009F0928" w:rsidRDefault="002112BD">
            <w:pPr>
              <w:textAlignment w:val="bottom"/>
              <w:rPr>
                <w:rFonts w:ascii="Times New Roman" w:hAnsi="Times New Roman"/>
                <w:sz w:val="16"/>
                <w:szCs w:val="16"/>
              </w:rPr>
            </w:pPr>
            <w:r>
              <w:rPr>
                <w:rFonts w:ascii="Arial" w:eastAsia="宋体" w:hAnsi="Arial" w:cs="Arial"/>
                <w:sz w:val="16"/>
                <w:szCs w:val="16"/>
              </w:rPr>
              <w:t xml:space="preserve">Hedge accounting fair value adjustments </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bottom"/>
          </w:tcPr>
          <w:p w14:paraId="0BC99FD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D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FDB"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0BC99FD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FD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9F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D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FE0"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w:t>
            </w:r>
          </w:p>
        </w:tc>
        <w:tc>
          <w:tcPr>
            <w:tcW w:w="0" w:type="auto"/>
            <w:shd w:val="clear" w:color="auto" w:fill="auto"/>
            <w:tcMar>
              <w:top w:w="40" w:type="dxa"/>
              <w:bottom w:w="40" w:type="dxa"/>
              <w:right w:w="40" w:type="dxa"/>
            </w:tcMar>
            <w:vAlign w:val="bottom"/>
          </w:tcPr>
          <w:p w14:paraId="0BC99FE1"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0BC99FE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9F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9FF2" w14:textId="77777777">
        <w:trPr>
          <w:jc w:val="center"/>
        </w:trPr>
        <w:tc>
          <w:tcPr>
            <w:tcW w:w="0" w:type="auto"/>
            <w:shd w:val="clear" w:color="auto" w:fill="E2E2E2"/>
            <w:tcMar>
              <w:top w:w="40" w:type="dxa"/>
              <w:left w:w="240" w:type="dxa"/>
              <w:bottom w:w="40" w:type="dxa"/>
              <w:right w:w="40" w:type="dxa"/>
            </w:tcMar>
            <w:vAlign w:val="bottom"/>
          </w:tcPr>
          <w:p w14:paraId="0BC99FE5" w14:textId="77777777" w:rsidR="009F0928" w:rsidRDefault="002112BD">
            <w:pPr>
              <w:textAlignment w:val="bottom"/>
              <w:rPr>
                <w:rFonts w:ascii="Times New Roman" w:hAnsi="Times New Roman"/>
                <w:sz w:val="16"/>
                <w:szCs w:val="16"/>
              </w:rPr>
            </w:pPr>
            <w:r>
              <w:rPr>
                <w:rFonts w:ascii="Arial" w:eastAsia="宋体" w:hAnsi="Arial" w:cs="Arial"/>
                <w:sz w:val="16"/>
                <w:szCs w:val="16"/>
              </w:rPr>
              <w:t>Unamortized discount and debt issuance costs</w:t>
            </w:r>
          </w:p>
        </w:tc>
        <w:tc>
          <w:tcPr>
            <w:tcW w:w="0" w:type="auto"/>
            <w:shd w:val="clear" w:color="auto" w:fill="E2E2E2"/>
            <w:tcMar>
              <w:top w:w="40" w:type="dxa"/>
              <w:left w:w="40" w:type="dxa"/>
              <w:bottom w:w="40" w:type="dxa"/>
              <w:right w:w="40" w:type="dxa"/>
            </w:tcMar>
            <w:vAlign w:val="bottom"/>
          </w:tcPr>
          <w:p w14:paraId="0BC99F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E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E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FE9"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E2E2E2"/>
            <w:tcMar>
              <w:top w:w="40" w:type="dxa"/>
              <w:bottom w:w="40" w:type="dxa"/>
              <w:right w:w="40" w:type="dxa"/>
            </w:tcMar>
            <w:vAlign w:val="bottom"/>
          </w:tcPr>
          <w:p w14:paraId="0BC99FEA"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FE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9FE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9FE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9FEE"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E2E2E2"/>
            <w:tcMar>
              <w:top w:w="40" w:type="dxa"/>
              <w:bottom w:w="40" w:type="dxa"/>
              <w:right w:w="40" w:type="dxa"/>
            </w:tcMar>
            <w:vAlign w:val="bottom"/>
          </w:tcPr>
          <w:p w14:paraId="0BC99FEF"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E2E2E2"/>
            <w:tcMar>
              <w:top w:w="40" w:type="dxa"/>
              <w:left w:w="40" w:type="dxa"/>
              <w:bottom w:w="40" w:type="dxa"/>
              <w:right w:w="40" w:type="dxa"/>
            </w:tcMar>
            <w:vAlign w:val="bottom"/>
          </w:tcPr>
          <w:p w14:paraId="0BC99FF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9FF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000" w14:textId="77777777">
        <w:trPr>
          <w:jc w:val="center"/>
        </w:trPr>
        <w:tc>
          <w:tcPr>
            <w:tcW w:w="0" w:type="auto"/>
            <w:shd w:val="clear" w:color="auto" w:fill="auto"/>
            <w:tcMar>
              <w:top w:w="40" w:type="dxa"/>
              <w:left w:w="240" w:type="dxa"/>
              <w:bottom w:w="40" w:type="dxa"/>
              <w:right w:w="40" w:type="dxa"/>
            </w:tcMar>
            <w:vAlign w:val="bottom"/>
          </w:tcPr>
          <w:p w14:paraId="0BC99FF3" w14:textId="77777777" w:rsidR="009F0928" w:rsidRDefault="002112BD">
            <w:pPr>
              <w:textAlignment w:val="bottom"/>
              <w:rPr>
                <w:rFonts w:ascii="Times New Roman" w:hAnsi="Times New Roman"/>
                <w:sz w:val="16"/>
                <w:szCs w:val="16"/>
              </w:rPr>
            </w:pPr>
            <w:r>
              <w:rPr>
                <w:rFonts w:ascii="Arial" w:eastAsia="宋体" w:hAnsi="Arial" w:cs="Arial"/>
                <w:sz w:val="16"/>
                <w:szCs w:val="16"/>
              </w:rPr>
              <w:t xml:space="preserve">Other </w:t>
            </w:r>
            <w:r>
              <w:rPr>
                <w:rFonts w:ascii="Arial" w:eastAsia="宋体" w:hAnsi="Arial" w:cs="Arial"/>
                <w:sz w:val="16"/>
                <w:szCs w:val="16"/>
              </w:rPr>
              <w:t>short-term borrowings</w:t>
            </w:r>
          </w:p>
        </w:tc>
        <w:tc>
          <w:tcPr>
            <w:tcW w:w="0" w:type="auto"/>
            <w:shd w:val="clear" w:color="auto" w:fill="auto"/>
            <w:tcMar>
              <w:top w:w="40" w:type="dxa"/>
              <w:left w:w="40" w:type="dxa"/>
              <w:bottom w:w="40" w:type="dxa"/>
              <w:right w:w="40" w:type="dxa"/>
            </w:tcMar>
            <w:vAlign w:val="bottom"/>
          </w:tcPr>
          <w:p w14:paraId="0BC99FF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F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FF7"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23</w:t>
            </w:r>
          </w:p>
        </w:tc>
        <w:tc>
          <w:tcPr>
            <w:tcW w:w="0" w:type="auto"/>
            <w:shd w:val="clear" w:color="auto" w:fill="auto"/>
            <w:vAlign w:val="bottom"/>
          </w:tcPr>
          <w:p w14:paraId="0BC99FF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F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9FF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9FF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9FFC"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4</w:t>
            </w:r>
          </w:p>
        </w:tc>
        <w:tc>
          <w:tcPr>
            <w:tcW w:w="0" w:type="auto"/>
            <w:shd w:val="clear" w:color="auto" w:fill="auto"/>
            <w:vAlign w:val="bottom"/>
          </w:tcPr>
          <w:p w14:paraId="0BC99FF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9FF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9FF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00E" w14:textId="77777777">
        <w:trPr>
          <w:jc w:val="center"/>
        </w:trPr>
        <w:tc>
          <w:tcPr>
            <w:tcW w:w="0" w:type="auto"/>
            <w:shd w:val="clear" w:color="auto" w:fill="E2E2E2"/>
            <w:tcMar>
              <w:top w:w="40" w:type="dxa"/>
              <w:left w:w="560" w:type="dxa"/>
              <w:bottom w:w="40" w:type="dxa"/>
              <w:right w:w="40" w:type="dxa"/>
            </w:tcMar>
            <w:vAlign w:val="bottom"/>
          </w:tcPr>
          <w:p w14:paraId="0BC9A001" w14:textId="77777777" w:rsidR="009F0928" w:rsidRDefault="002112BD">
            <w:pPr>
              <w:textAlignment w:val="bottom"/>
              <w:rPr>
                <w:rFonts w:ascii="Times New Roman" w:hAnsi="Times New Roman"/>
                <w:sz w:val="16"/>
                <w:szCs w:val="16"/>
              </w:rPr>
            </w:pPr>
            <w:r>
              <w:rPr>
                <w:rFonts w:ascii="Arial" w:eastAsia="宋体" w:hAnsi="Arial" w:cs="Arial"/>
                <w:sz w:val="16"/>
                <w:szCs w:val="16"/>
              </w:rPr>
              <w:t>Total short-term debt</w:t>
            </w:r>
          </w:p>
        </w:tc>
        <w:tc>
          <w:tcPr>
            <w:tcW w:w="0" w:type="auto"/>
            <w:shd w:val="clear" w:color="auto" w:fill="E2E2E2"/>
            <w:tcMar>
              <w:top w:w="40" w:type="dxa"/>
              <w:left w:w="40" w:type="dxa"/>
              <w:bottom w:w="40" w:type="dxa"/>
              <w:right w:w="40" w:type="dxa"/>
            </w:tcMar>
            <w:vAlign w:val="bottom"/>
          </w:tcPr>
          <w:p w14:paraId="0BC9A00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00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0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A005"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1,022</w:t>
            </w:r>
          </w:p>
        </w:tc>
        <w:tc>
          <w:tcPr>
            <w:tcW w:w="0" w:type="auto"/>
            <w:tcBorders>
              <w:top w:val="single" w:sz="8" w:space="0" w:color="000000"/>
              <w:bottom w:val="single" w:sz="8" w:space="0" w:color="000000"/>
            </w:tcBorders>
            <w:shd w:val="clear" w:color="auto" w:fill="E2E2E2"/>
            <w:vAlign w:val="bottom"/>
          </w:tcPr>
          <w:p w14:paraId="0BC9A00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00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A00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00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A00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1,546</w:t>
            </w:r>
          </w:p>
        </w:tc>
        <w:tc>
          <w:tcPr>
            <w:tcW w:w="0" w:type="auto"/>
            <w:tcBorders>
              <w:top w:val="single" w:sz="8" w:space="0" w:color="000000"/>
              <w:bottom w:val="single" w:sz="8" w:space="0" w:color="000000"/>
            </w:tcBorders>
            <w:shd w:val="clear" w:color="auto" w:fill="E2E2E2"/>
            <w:vAlign w:val="bottom"/>
          </w:tcPr>
          <w:p w14:paraId="0BC9A00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00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A00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01E" w14:textId="77777777">
        <w:trPr>
          <w:jc w:val="center"/>
        </w:trPr>
        <w:tc>
          <w:tcPr>
            <w:tcW w:w="0" w:type="auto"/>
            <w:shd w:val="clear" w:color="auto" w:fill="auto"/>
            <w:tcMar>
              <w:top w:w="40" w:type="dxa"/>
              <w:left w:w="240" w:type="dxa"/>
              <w:bottom w:w="40" w:type="dxa"/>
              <w:right w:w="40" w:type="dxa"/>
            </w:tcMar>
            <w:vAlign w:val="bottom"/>
          </w:tcPr>
          <w:p w14:paraId="0BC9A00F" w14:textId="77777777" w:rsidR="009F0928" w:rsidRDefault="002112BD">
            <w:pPr>
              <w:textAlignment w:val="bottom"/>
              <w:rPr>
                <w:rFonts w:ascii="Times New Roman" w:hAnsi="Times New Roman"/>
                <w:sz w:val="16"/>
                <w:szCs w:val="16"/>
              </w:rPr>
            </w:pPr>
            <w:r>
              <w:rPr>
                <w:rFonts w:ascii="Arial" w:eastAsia="宋体" w:hAnsi="Arial" w:cs="Arial"/>
                <w:b/>
                <w:bCs/>
                <w:sz w:val="16"/>
                <w:szCs w:val="16"/>
              </w:rPr>
              <w:t>Total Debt</w:t>
            </w:r>
          </w:p>
        </w:tc>
        <w:tc>
          <w:tcPr>
            <w:tcW w:w="0" w:type="auto"/>
            <w:shd w:val="clear" w:color="auto" w:fill="auto"/>
            <w:tcMar>
              <w:top w:w="40" w:type="dxa"/>
              <w:left w:w="40" w:type="dxa"/>
              <w:bottom w:w="40" w:type="dxa"/>
              <w:right w:w="40" w:type="dxa"/>
            </w:tcMar>
            <w:vAlign w:val="bottom"/>
          </w:tcPr>
          <w:p w14:paraId="0BC9A0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01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01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A013"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double" w:sz="6" w:space="0" w:color="000000"/>
            </w:tcBorders>
            <w:shd w:val="clear" w:color="auto" w:fill="auto"/>
            <w:tcMar>
              <w:top w:w="40" w:type="dxa"/>
              <w:bottom w:w="40" w:type="dxa"/>
            </w:tcMar>
            <w:vAlign w:val="bottom"/>
          </w:tcPr>
          <w:p w14:paraId="0BC9A014"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7,760</w:t>
            </w:r>
          </w:p>
        </w:tc>
        <w:tc>
          <w:tcPr>
            <w:tcW w:w="0" w:type="auto"/>
            <w:tcBorders>
              <w:bottom w:val="double" w:sz="6" w:space="0" w:color="000000"/>
            </w:tcBorders>
            <w:shd w:val="clear" w:color="auto" w:fill="auto"/>
            <w:vAlign w:val="bottom"/>
          </w:tcPr>
          <w:p w14:paraId="0BC9A01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0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01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0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A019" w14:textId="77777777" w:rsidR="009F0928" w:rsidRDefault="002112BD">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double" w:sz="6" w:space="0" w:color="000000"/>
            </w:tcBorders>
            <w:shd w:val="clear" w:color="auto" w:fill="auto"/>
            <w:tcMar>
              <w:top w:w="40" w:type="dxa"/>
              <w:bottom w:w="40" w:type="dxa"/>
            </w:tcMar>
            <w:vAlign w:val="bottom"/>
          </w:tcPr>
          <w:p w14:paraId="0BC9A01A" w14:textId="77777777" w:rsidR="009F0928" w:rsidRDefault="002112BD">
            <w:pPr>
              <w:jc w:val="right"/>
              <w:textAlignment w:val="bottom"/>
              <w:rPr>
                <w:rFonts w:ascii="Times New Roman" w:hAnsi="Times New Roman"/>
                <w:sz w:val="16"/>
                <w:szCs w:val="16"/>
              </w:rPr>
            </w:pPr>
            <w:r>
              <w:rPr>
                <w:rFonts w:ascii="Arial" w:eastAsia="宋体" w:hAnsi="Arial" w:cs="Arial"/>
                <w:sz w:val="16"/>
                <w:szCs w:val="16"/>
              </w:rPr>
              <w:t>9,231</w:t>
            </w:r>
          </w:p>
        </w:tc>
        <w:tc>
          <w:tcPr>
            <w:tcW w:w="0" w:type="auto"/>
            <w:tcBorders>
              <w:bottom w:val="double" w:sz="6" w:space="0" w:color="000000"/>
            </w:tcBorders>
            <w:shd w:val="clear" w:color="auto" w:fill="auto"/>
            <w:vAlign w:val="bottom"/>
          </w:tcPr>
          <w:p w14:paraId="0BC9A01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01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01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A01F" w14:textId="77777777" w:rsidR="009F0928" w:rsidRDefault="009F0928">
      <w:pPr>
        <w:spacing w:line="288" w:lineRule="auto"/>
        <w:jc w:val="center"/>
        <w:rPr>
          <w:rFonts w:ascii="Times New Roman" w:hAnsi="Times New Roman"/>
          <w:sz w:val="20"/>
          <w:szCs w:val="20"/>
        </w:rPr>
      </w:pPr>
    </w:p>
    <w:tbl>
      <w:tblPr>
        <w:tblW w:w="0" w:type="auto"/>
        <w:tblCellSpacing w:w="0" w:type="dxa"/>
        <w:tblCellMar>
          <w:top w:w="160" w:type="dxa"/>
          <w:left w:w="0" w:type="dxa"/>
          <w:right w:w="0" w:type="dxa"/>
        </w:tblCellMar>
        <w:tblLook w:val="04A0" w:firstRow="1" w:lastRow="0" w:firstColumn="1" w:lastColumn="0" w:noHBand="0" w:noVBand="1"/>
      </w:tblPr>
      <w:tblGrid>
        <w:gridCol w:w="360"/>
        <w:gridCol w:w="7946"/>
      </w:tblGrid>
      <w:tr w:rsidR="009F0928" w14:paraId="0BC9A022" w14:textId="77777777">
        <w:trPr>
          <w:tblCellSpacing w:w="0" w:type="dxa"/>
        </w:trPr>
        <w:tc>
          <w:tcPr>
            <w:tcW w:w="360" w:type="dxa"/>
            <w:shd w:val="clear" w:color="auto" w:fill="auto"/>
            <w:vAlign w:val="center"/>
          </w:tcPr>
          <w:p w14:paraId="0BC9A020" w14:textId="77777777" w:rsidR="009F0928" w:rsidRDefault="009F0928">
            <w:pPr>
              <w:rPr>
                <w:rFonts w:ascii="Times New Roman" w:hAnsi="Times New Roman"/>
                <w:sz w:val="20"/>
                <w:szCs w:val="20"/>
              </w:rPr>
            </w:pPr>
          </w:p>
        </w:tc>
        <w:tc>
          <w:tcPr>
            <w:tcW w:w="0" w:type="auto"/>
            <w:shd w:val="clear" w:color="auto" w:fill="auto"/>
            <w:vAlign w:val="center"/>
          </w:tcPr>
          <w:p w14:paraId="0BC9A021" w14:textId="77777777" w:rsidR="009F0928" w:rsidRDefault="009F0928">
            <w:pPr>
              <w:rPr>
                <w:rFonts w:ascii="Times New Roman" w:hAnsi="Times New Roman"/>
                <w:sz w:val="20"/>
                <w:szCs w:val="20"/>
              </w:rPr>
            </w:pPr>
          </w:p>
        </w:tc>
      </w:tr>
      <w:tr w:rsidR="009F0928" w14:paraId="0BC9A025" w14:textId="77777777">
        <w:trPr>
          <w:tblCellSpacing w:w="0" w:type="dxa"/>
        </w:trPr>
        <w:tc>
          <w:tcPr>
            <w:tcW w:w="0" w:type="auto"/>
            <w:shd w:val="clear" w:color="auto" w:fill="auto"/>
          </w:tcPr>
          <w:p w14:paraId="0BC9A023"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(1)</w:t>
            </w:r>
          </w:p>
        </w:tc>
        <w:tc>
          <w:tcPr>
            <w:tcW w:w="0" w:type="auto"/>
            <w:shd w:val="clear" w:color="auto" w:fill="auto"/>
          </w:tcPr>
          <w:p w14:paraId="0BC9A024"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 xml:space="preserve">Includes the fair value adjustments to debt associated with terminated interest rate swaps which are </w:t>
            </w:r>
            <w:r>
              <w:rPr>
                <w:rFonts w:ascii="Arial" w:eastAsia="宋体" w:hAnsi="Arial" w:cs="Arial"/>
                <w:sz w:val="16"/>
                <w:szCs w:val="16"/>
              </w:rPr>
              <w:t>being recorded as a reduction to interest expense over the remaining term of the related notes.</w:t>
            </w:r>
          </w:p>
        </w:tc>
      </w:tr>
    </w:tbl>
    <w:p w14:paraId="0BC9A026" w14:textId="77777777" w:rsidR="009F0928" w:rsidRDefault="009F0928">
      <w:pPr>
        <w:spacing w:line="288" w:lineRule="auto"/>
        <w:rPr>
          <w:rFonts w:ascii="Times New Roman" w:hAnsi="Times New Roman"/>
          <w:sz w:val="20"/>
          <w:szCs w:val="20"/>
        </w:rPr>
      </w:pPr>
    </w:p>
    <w:p w14:paraId="0BC9A027" w14:textId="77777777" w:rsidR="009F0928" w:rsidRDefault="009F0928">
      <w:pPr>
        <w:rPr>
          <w:rFonts w:ascii="Times New Roman" w:hAnsi="Times New Roman"/>
          <w:sz w:val="20"/>
          <w:szCs w:val="20"/>
        </w:rPr>
      </w:pPr>
    </w:p>
    <w:p w14:paraId="0BC9A028"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F-30</w:t>
      </w:r>
    </w:p>
    <w:p w14:paraId="0BC9A029" w14:textId="77777777" w:rsidR="009F0928" w:rsidRDefault="002112BD">
      <w:r>
        <w:rPr>
          <w:rFonts w:ascii="Times New Roman" w:hAnsi="Times New Roman"/>
          <w:sz w:val="18"/>
          <w:szCs w:val="18"/>
        </w:rPr>
        <w:pict w14:anchorId="0BC9B518">
          <v:rect id="_x0000_i1116" style="width:415.3pt;height:1.5pt" o:hralign="center" o:hrstd="t" o:hr="t" fillcolor="#a0a0a0" stroked="f"/>
        </w:pict>
      </w:r>
    </w:p>
    <w:p w14:paraId="0BC9A02A" w14:textId="77777777" w:rsidR="009F0928" w:rsidRDefault="009F0928">
      <w:pPr>
        <w:spacing w:line="288" w:lineRule="auto"/>
        <w:rPr>
          <w:rFonts w:ascii="Times New Roman" w:hAnsi="Times New Roman"/>
          <w:sz w:val="20"/>
          <w:szCs w:val="20"/>
        </w:rPr>
      </w:pPr>
    </w:p>
    <w:p w14:paraId="0BC9A02B" w14:textId="77777777" w:rsidR="009F0928" w:rsidRDefault="009F0928">
      <w:pPr>
        <w:rPr>
          <w:rFonts w:ascii="Times New Roman" w:hAnsi="Times New Roman"/>
          <w:sz w:val="20"/>
          <w:szCs w:val="20"/>
        </w:rPr>
      </w:pPr>
    </w:p>
    <w:p w14:paraId="0BC9A02C" w14:textId="77777777" w:rsidR="009F0928" w:rsidRDefault="002112BD">
      <w:pPr>
        <w:spacing w:line="288" w:lineRule="auto"/>
        <w:ind w:firstLine="360"/>
        <w:rPr>
          <w:rFonts w:ascii="Times New Roman" w:hAnsi="Times New Roman"/>
          <w:sz w:val="20"/>
          <w:szCs w:val="20"/>
        </w:rPr>
      </w:pPr>
      <w:r>
        <w:rPr>
          <w:rFonts w:ascii="Arial" w:eastAsia="宋体" w:hAnsi="Arial" w:cs="Arial"/>
          <w:b/>
          <w:bCs/>
          <w:i/>
          <w:iCs/>
          <w:sz w:val="20"/>
          <w:szCs w:val="20"/>
        </w:rPr>
        <w:t xml:space="preserve">Senior Notes </w:t>
      </w:r>
    </w:p>
    <w:p w14:paraId="0BC9A02D" w14:textId="77777777" w:rsidR="009F0928" w:rsidRDefault="009F0928">
      <w:pPr>
        <w:spacing w:line="288" w:lineRule="auto"/>
        <w:jc w:val="both"/>
        <w:rPr>
          <w:rFonts w:ascii="Times New Roman" w:hAnsi="Times New Roman"/>
          <w:sz w:val="20"/>
          <w:szCs w:val="20"/>
        </w:rPr>
      </w:pPr>
    </w:p>
    <w:p w14:paraId="0BC9A02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In 2019, $400 million of floating rate notes and $1.15 billion of 2.200% fixed rate notes matured and were repaid. In 2018, $750 million of 2.500% fixed rate notes due 2018 matured and were repaid. </w:t>
      </w:r>
    </w:p>
    <w:p w14:paraId="0BC9A02F" w14:textId="77777777" w:rsidR="009F0928" w:rsidRDefault="009F0928">
      <w:pPr>
        <w:spacing w:line="288" w:lineRule="auto"/>
        <w:jc w:val="both"/>
        <w:rPr>
          <w:rFonts w:ascii="Times New Roman" w:hAnsi="Times New Roman"/>
          <w:sz w:val="20"/>
          <w:szCs w:val="20"/>
        </w:rPr>
      </w:pPr>
    </w:p>
    <w:p w14:paraId="0BC9A03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None of the floating rate notes are redeemable prior to </w:t>
      </w:r>
      <w:r>
        <w:rPr>
          <w:rFonts w:ascii="Arial" w:eastAsia="宋体" w:hAnsi="Arial" w:cs="Arial"/>
          <w:sz w:val="20"/>
          <w:szCs w:val="20"/>
        </w:rPr>
        <w:t xml:space="preserve">maturity. On and after March 1, 2021, we may redeem some or all of the 6.000% fixed rate notes due 2056 at any time and from time to time prior to their maturity at a redemption price equal to 100% of the principal amount of the notes to be redeemed, plus </w:t>
      </w:r>
      <w:r>
        <w:rPr>
          <w:rFonts w:ascii="Arial" w:eastAsia="宋体" w:hAnsi="Arial" w:cs="Arial"/>
          <w:sz w:val="20"/>
          <w:szCs w:val="20"/>
        </w:rPr>
        <w:t xml:space="preserve">accrued and unpaid interest. We may redeem some or all of the other fixed rate notes of each series at any time and from time to time prior to their maturity, generally at a make-whole redemption price, plus accrued and unpaid interest. </w:t>
      </w:r>
    </w:p>
    <w:p w14:paraId="0BC9A031" w14:textId="77777777" w:rsidR="009F0928" w:rsidRDefault="009F0928">
      <w:pPr>
        <w:spacing w:line="288" w:lineRule="auto"/>
        <w:ind w:firstLine="720"/>
        <w:jc w:val="both"/>
        <w:rPr>
          <w:rFonts w:ascii="Times New Roman" w:hAnsi="Times New Roman"/>
          <w:sz w:val="20"/>
          <w:szCs w:val="20"/>
        </w:rPr>
      </w:pPr>
    </w:p>
    <w:p w14:paraId="0BC9A03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If a change of co</w:t>
      </w:r>
      <w:r>
        <w:rPr>
          <w:rFonts w:ascii="Arial" w:eastAsia="宋体" w:hAnsi="Arial" w:cs="Arial"/>
          <w:sz w:val="20"/>
          <w:szCs w:val="20"/>
        </w:rPr>
        <w:t xml:space="preserve">ntrol triggering event occurs with respect to the 2.150% fixed rate notes due 2020, the 3.800% fixed rate notes due 2022, the floating rate notes due 2023, the 2.750% fixed rate notes due 2023, the 3.600% fixed rate notes due 2027 or the 6.000% fixed rate </w:t>
      </w:r>
      <w:r>
        <w:rPr>
          <w:rFonts w:ascii="Arial" w:eastAsia="宋体" w:hAnsi="Arial" w:cs="Arial"/>
          <w:sz w:val="20"/>
          <w:szCs w:val="20"/>
        </w:rPr>
        <w:t xml:space="preserve">notes due 2056, we must, subject to certain exceptions, offer to repurchase all of the notes of the applicable series at a price equal to 101% of the principal amount, plus accrued and unpaid interest. </w:t>
      </w:r>
    </w:p>
    <w:p w14:paraId="0BC9A033" w14:textId="77777777" w:rsidR="009F0928" w:rsidRDefault="009F0928">
      <w:pPr>
        <w:spacing w:line="288" w:lineRule="auto"/>
        <w:ind w:firstLine="720"/>
        <w:jc w:val="both"/>
        <w:rPr>
          <w:rFonts w:ascii="Times New Roman" w:hAnsi="Times New Roman"/>
          <w:sz w:val="20"/>
          <w:szCs w:val="20"/>
        </w:rPr>
      </w:pPr>
    </w:p>
    <w:p w14:paraId="0BC9A034"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indenture pursuant to which the senior notes wer</w:t>
      </w:r>
      <w:r>
        <w:rPr>
          <w:rFonts w:ascii="Arial" w:eastAsia="宋体" w:hAnsi="Arial" w:cs="Arial"/>
          <w:sz w:val="20"/>
          <w:szCs w:val="20"/>
        </w:rPr>
        <w:t>e issued includes customary covenants that, among other things and subject to exceptions, limit our ability to incur, assume or guarantee debt secured by liens on specified assets or enter into sale and lease-back transactions with respect to specified pro</w:t>
      </w:r>
      <w:r>
        <w:rPr>
          <w:rFonts w:ascii="Arial" w:eastAsia="宋体" w:hAnsi="Arial" w:cs="Arial"/>
          <w:sz w:val="20"/>
          <w:szCs w:val="20"/>
        </w:rPr>
        <w:t xml:space="preserve">perties, and also includes customary events of default. </w:t>
      </w:r>
    </w:p>
    <w:p w14:paraId="0BC9A035" w14:textId="77777777" w:rsidR="009F0928" w:rsidRDefault="009F0928">
      <w:pPr>
        <w:spacing w:line="288" w:lineRule="auto"/>
        <w:ind w:firstLine="720"/>
        <w:jc w:val="both"/>
        <w:rPr>
          <w:rFonts w:ascii="Times New Roman" w:hAnsi="Times New Roman"/>
          <w:sz w:val="20"/>
          <w:szCs w:val="20"/>
        </w:rPr>
      </w:pPr>
    </w:p>
    <w:p w14:paraId="0BC9A03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To help achieve our interest rate risk management objectives, in connection with the previous issuance of certain senior notes, we entered into interest rate swap agreements that effectively convert</w:t>
      </w:r>
      <w:r>
        <w:rPr>
          <w:rFonts w:ascii="Arial" w:eastAsia="宋体" w:hAnsi="Arial" w:cs="Arial"/>
          <w:sz w:val="20"/>
          <w:szCs w:val="20"/>
        </w:rPr>
        <w:t xml:space="preserve">ed $2.4 billion of our fixed rate notes to floating rate debt based on LIBOR plus a spread. These swaps were designated as fair value hedges against changes in the fair value of certain fixed rate senior notes resulting from changes in interest rates. The </w:t>
      </w:r>
      <w:r>
        <w:rPr>
          <w:rFonts w:ascii="Arial" w:eastAsia="宋体" w:hAnsi="Arial" w:cs="Arial"/>
          <w:sz w:val="20"/>
          <w:szCs w:val="20"/>
        </w:rPr>
        <w:t>gains and losses related to changes in the fair value of interest rate swaps substantially offset changes in the fair value of the hedged portion of the underlying debt that are attributable to changes in market interest rates. In 2019, $1.15 billion relat</w:t>
      </w:r>
      <w:r>
        <w:rPr>
          <w:rFonts w:ascii="Arial" w:eastAsia="宋体" w:hAnsi="Arial" w:cs="Arial"/>
          <w:sz w:val="20"/>
          <w:szCs w:val="20"/>
        </w:rPr>
        <w:t>ed to our 2.200% senior notes of the $2.4 billion aggregate notional amount matured. In addition, during the three months ended September 30, 2019, we terminated the interest rate swaps related to $750 million of our 2.875% senior notes due July 2021 and $</w:t>
      </w:r>
      <w:r>
        <w:rPr>
          <w:rFonts w:ascii="Arial" w:eastAsia="宋体" w:hAnsi="Arial" w:cs="Arial"/>
          <w:sz w:val="20"/>
          <w:szCs w:val="20"/>
        </w:rPr>
        <w:t>500 million of our 3.450% senior notes due July 2024. As a result of the early termination, hedge accounting was discontinued prospectively and the gain on termination was recorded as an increase to the long-term debt balance and is being recognized over t</w:t>
      </w:r>
      <w:r>
        <w:rPr>
          <w:rFonts w:ascii="Arial" w:eastAsia="宋体" w:hAnsi="Arial" w:cs="Arial"/>
          <w:sz w:val="20"/>
          <w:szCs w:val="20"/>
        </w:rPr>
        <w:t>he remaining life of the underlying debt as a reduction to interest expense. The gain recognized during the year ended December 31, 2019 was immaterial</w:t>
      </w:r>
      <w:r>
        <w:rPr>
          <w:rFonts w:ascii="Times New Roman" w:eastAsia="宋体" w:hAnsi="Times New Roman"/>
          <w:sz w:val="20"/>
          <w:szCs w:val="20"/>
        </w:rPr>
        <w:t>.</w:t>
      </w:r>
    </w:p>
    <w:p w14:paraId="0BC9A037" w14:textId="77777777" w:rsidR="009F0928" w:rsidRDefault="009F0928">
      <w:pPr>
        <w:spacing w:line="288" w:lineRule="auto"/>
        <w:ind w:firstLine="720"/>
        <w:jc w:val="both"/>
        <w:rPr>
          <w:rFonts w:ascii="Times New Roman" w:hAnsi="Times New Roman"/>
          <w:sz w:val="20"/>
          <w:szCs w:val="20"/>
        </w:rPr>
      </w:pPr>
    </w:p>
    <w:p w14:paraId="0BC9A03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effective interest rates for our senior notes include the interest payable, the amortization of de</w:t>
      </w:r>
      <w:r>
        <w:rPr>
          <w:rFonts w:ascii="Arial" w:eastAsia="宋体" w:hAnsi="Arial" w:cs="Arial"/>
          <w:sz w:val="20"/>
          <w:szCs w:val="20"/>
        </w:rPr>
        <w:t>bt issuance costs and the amortization of any original issue discount on these senior notes. Interest on these senior notes is payable either quarterly or semiannually. Interest expense associated with these senior notes, including amortization of debt iss</w:t>
      </w:r>
      <w:r>
        <w:rPr>
          <w:rFonts w:ascii="Arial" w:eastAsia="宋体" w:hAnsi="Arial" w:cs="Arial"/>
          <w:sz w:val="20"/>
          <w:szCs w:val="20"/>
        </w:rPr>
        <w:t>uance costs, during the years ended December 31, 2019, 2018 and 2017 was approximately $301 million, $318 million and $307 million, respectively. As of December 31, 2019 and 2018, the estimated fair value of these senior notes, using Level 2 inputs, was ap</w:t>
      </w:r>
      <w:r>
        <w:rPr>
          <w:rFonts w:ascii="Arial" w:eastAsia="宋体" w:hAnsi="Arial" w:cs="Arial"/>
          <w:sz w:val="20"/>
          <w:szCs w:val="20"/>
        </w:rPr>
        <w:t>proximately $7.9 billion and $9.0 billion, respectively.</w:t>
      </w:r>
    </w:p>
    <w:p w14:paraId="0BC9A039" w14:textId="77777777" w:rsidR="009F0928" w:rsidRDefault="009F0928">
      <w:pPr>
        <w:spacing w:line="288" w:lineRule="auto"/>
        <w:jc w:val="both"/>
        <w:rPr>
          <w:rFonts w:ascii="Times New Roman" w:hAnsi="Times New Roman"/>
          <w:sz w:val="20"/>
          <w:szCs w:val="20"/>
        </w:rPr>
      </w:pPr>
    </w:p>
    <w:p w14:paraId="0BC9A03A"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b/>
          <w:bCs/>
          <w:i/>
          <w:iCs/>
          <w:sz w:val="20"/>
          <w:szCs w:val="20"/>
        </w:rPr>
        <w:t>Commercial Paper</w:t>
      </w:r>
    </w:p>
    <w:p w14:paraId="0BC9A03B" w14:textId="77777777" w:rsidR="009F0928" w:rsidRDefault="009F0928">
      <w:pPr>
        <w:spacing w:line="288" w:lineRule="auto"/>
        <w:jc w:val="both"/>
        <w:rPr>
          <w:rFonts w:ascii="Times New Roman" w:hAnsi="Times New Roman"/>
          <w:sz w:val="20"/>
          <w:szCs w:val="20"/>
        </w:rPr>
      </w:pPr>
    </w:p>
    <w:p w14:paraId="0BC9A03C"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have a commercial paper program pursuant to which we may issue commercial paper notes in an aggregate principal amount at maturity of up to $1.5 billion outstanding at any time </w:t>
      </w:r>
      <w:r>
        <w:rPr>
          <w:rFonts w:ascii="Arial" w:eastAsia="宋体" w:hAnsi="Arial" w:cs="Arial"/>
          <w:sz w:val="20"/>
          <w:szCs w:val="20"/>
        </w:rPr>
        <w:t>with maturities of up to 397 days from the date of issue. As of December 31, 2019 and 2018, there were no commercial paper notes outstanding.</w:t>
      </w:r>
    </w:p>
    <w:p w14:paraId="0BC9A03D" w14:textId="77777777" w:rsidR="009F0928" w:rsidRDefault="009F0928">
      <w:pPr>
        <w:spacing w:line="288" w:lineRule="auto"/>
        <w:jc w:val="both"/>
        <w:rPr>
          <w:rFonts w:ascii="Times New Roman" w:hAnsi="Times New Roman"/>
          <w:sz w:val="20"/>
          <w:szCs w:val="20"/>
        </w:rPr>
      </w:pPr>
    </w:p>
    <w:p w14:paraId="0BC9A03E"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b/>
          <w:bCs/>
          <w:i/>
          <w:iCs/>
          <w:sz w:val="20"/>
          <w:szCs w:val="20"/>
        </w:rPr>
        <w:t xml:space="preserve">Credit Agreement </w:t>
      </w:r>
    </w:p>
    <w:p w14:paraId="0BC9A03F" w14:textId="77777777" w:rsidR="009F0928" w:rsidRDefault="009F0928">
      <w:pPr>
        <w:spacing w:line="288" w:lineRule="auto"/>
        <w:jc w:val="both"/>
        <w:rPr>
          <w:rFonts w:ascii="Times New Roman" w:hAnsi="Times New Roman"/>
          <w:sz w:val="20"/>
          <w:szCs w:val="20"/>
        </w:rPr>
      </w:pPr>
    </w:p>
    <w:p w14:paraId="0BC9A04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November 2015, we entered into a credit agreement that provides for an unsecured $2 billion</w:t>
      </w:r>
      <w:r>
        <w:rPr>
          <w:rFonts w:ascii="Arial" w:eastAsia="宋体" w:hAnsi="Arial" w:cs="Arial"/>
          <w:sz w:val="20"/>
          <w:szCs w:val="20"/>
        </w:rPr>
        <w:t xml:space="preserve"> five-year revolving credit facility. We may also, subject to the agreement of the applicable lenders, increase the commitments under the revolving credit facility by up to an aggregate amount of $1 billion. Funds borrowed under the credit agreement may be</w:t>
      </w:r>
      <w:r>
        <w:rPr>
          <w:rFonts w:ascii="Arial" w:eastAsia="宋体" w:hAnsi="Arial" w:cs="Arial"/>
          <w:sz w:val="20"/>
          <w:szCs w:val="20"/>
        </w:rPr>
        <w:t xml:space="preserve"> used for working capital, capital expenditures, dividends, acquisitions and other general corporate purposes. </w:t>
      </w:r>
    </w:p>
    <w:p w14:paraId="0BC9A041" w14:textId="77777777" w:rsidR="009F0928" w:rsidRDefault="009F0928">
      <w:pPr>
        <w:spacing w:line="288" w:lineRule="auto"/>
        <w:ind w:firstLine="720"/>
        <w:jc w:val="both"/>
        <w:rPr>
          <w:rFonts w:ascii="Times New Roman" w:hAnsi="Times New Roman"/>
          <w:sz w:val="20"/>
          <w:szCs w:val="20"/>
        </w:rPr>
      </w:pPr>
    </w:p>
    <w:p w14:paraId="0BC9A04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As of December 31, 2019, no borrowings were outstanding under our $2 billion credit agreement. However, as described above, we have an up to $1</w:t>
      </w:r>
      <w:r>
        <w:rPr>
          <w:rFonts w:ascii="Arial" w:eastAsia="宋体" w:hAnsi="Arial" w:cs="Arial"/>
          <w:sz w:val="20"/>
          <w:szCs w:val="20"/>
        </w:rPr>
        <w:t xml:space="preserve">.5 billion commercial paper program and therefore maintain $1.5 billion of available borrowing capacity under our credit agreement in order to repay commercial paper borrowings in the event </w:t>
      </w:r>
    </w:p>
    <w:p w14:paraId="0BC9A043" w14:textId="77777777" w:rsidR="009F0928" w:rsidRDefault="009F0928">
      <w:pPr>
        <w:rPr>
          <w:rFonts w:ascii="Times New Roman" w:hAnsi="Times New Roman"/>
          <w:sz w:val="20"/>
          <w:szCs w:val="20"/>
        </w:rPr>
      </w:pPr>
    </w:p>
    <w:p w14:paraId="0BC9A044"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F-31</w:t>
      </w:r>
    </w:p>
    <w:p w14:paraId="0BC9A045" w14:textId="77777777" w:rsidR="009F0928" w:rsidRDefault="002112BD">
      <w:r>
        <w:rPr>
          <w:rFonts w:ascii="Times New Roman" w:hAnsi="Times New Roman"/>
          <w:sz w:val="18"/>
          <w:szCs w:val="18"/>
        </w:rPr>
        <w:pict w14:anchorId="0BC9B519">
          <v:rect id="_x0000_i1117" style="width:415.3pt;height:1.5pt" o:hralign="center" o:hrstd="t" o:hr="t" fillcolor="#a0a0a0" stroked="f"/>
        </w:pict>
      </w:r>
    </w:p>
    <w:p w14:paraId="0BC9A046" w14:textId="77777777" w:rsidR="009F0928" w:rsidRDefault="009F0928">
      <w:pPr>
        <w:spacing w:line="288" w:lineRule="auto"/>
        <w:rPr>
          <w:rFonts w:ascii="Times New Roman" w:hAnsi="Times New Roman"/>
          <w:sz w:val="20"/>
          <w:szCs w:val="20"/>
        </w:rPr>
      </w:pPr>
    </w:p>
    <w:p w14:paraId="0BC9A047" w14:textId="77777777" w:rsidR="009F0928" w:rsidRDefault="009F0928">
      <w:pPr>
        <w:rPr>
          <w:rFonts w:ascii="Times New Roman" w:hAnsi="Times New Roman"/>
          <w:sz w:val="20"/>
          <w:szCs w:val="20"/>
        </w:rPr>
      </w:pPr>
    </w:p>
    <w:p w14:paraId="0BC9A048"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xml:space="preserve">we are unable to repay those borrowings from other </w:t>
      </w:r>
      <w:r>
        <w:rPr>
          <w:rFonts w:ascii="Arial" w:eastAsia="宋体" w:hAnsi="Arial" w:cs="Arial"/>
          <w:sz w:val="20"/>
          <w:szCs w:val="20"/>
        </w:rPr>
        <w:t>sources when they become due. As a result, $500 million of borrowing capacity was available as of December 31, 2019 for other purposes permitted by the credit agreement.  </w:t>
      </w:r>
    </w:p>
    <w:p w14:paraId="0BC9A049" w14:textId="77777777" w:rsidR="009F0928" w:rsidRDefault="009F0928">
      <w:pPr>
        <w:spacing w:line="288" w:lineRule="auto"/>
        <w:ind w:firstLine="720"/>
        <w:jc w:val="both"/>
        <w:rPr>
          <w:rFonts w:ascii="Times New Roman" w:hAnsi="Times New Roman"/>
          <w:sz w:val="20"/>
          <w:szCs w:val="20"/>
        </w:rPr>
      </w:pPr>
    </w:p>
    <w:p w14:paraId="0BC9A04A"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Loans under the credit agreement bear interest at either (i) LIBOR plus a margin (b</w:t>
      </w:r>
      <w:r>
        <w:rPr>
          <w:rFonts w:ascii="Arial" w:eastAsia="宋体" w:hAnsi="Arial" w:cs="Arial"/>
          <w:sz w:val="20"/>
          <w:szCs w:val="20"/>
        </w:rPr>
        <w:t>ased on our public debt credit ratings) ranging from 0.875 percent to 1.5 percent or (ii) a formula based on the agent bank’s prime rate, the federal funds effective rate plus 0.5 percent or LIBOR plus 1.0 percent, plus a margin (based on our public debt c</w:t>
      </w:r>
      <w:r>
        <w:rPr>
          <w:rFonts w:ascii="Arial" w:eastAsia="宋体" w:hAnsi="Arial" w:cs="Arial"/>
          <w:sz w:val="20"/>
          <w:szCs w:val="20"/>
        </w:rPr>
        <w:t>redit ratings) ranging from zero percent to 0.5 percent. The credit agreement will terminate and all amounts owing thereunder will be due and payable on November 9, 2020, unless (a) the commitments are terminated earlier, either at our request or, if an ev</w:t>
      </w:r>
      <w:r>
        <w:rPr>
          <w:rFonts w:ascii="Arial" w:eastAsia="宋体" w:hAnsi="Arial" w:cs="Arial"/>
          <w:sz w:val="20"/>
          <w:szCs w:val="20"/>
        </w:rPr>
        <w:t>ent of default occurs, by the lenders (or automatically in the case of certain bankruptcy-related events of default), or (b) the maturity date is extended upon our request, subject to the agreement of the lenders. The credit agreement includes customary re</w:t>
      </w:r>
      <w:r>
        <w:rPr>
          <w:rFonts w:ascii="Arial" w:eastAsia="宋体" w:hAnsi="Arial" w:cs="Arial"/>
          <w:sz w:val="20"/>
          <w:szCs w:val="20"/>
        </w:rPr>
        <w:t>presentations, warranties, affirmative and negative covenants, including financial covenants, events of default and indemnification provisions in favor of the banks. The negative covenants include restrictions regarding the incurrence of liens and subsidia</w:t>
      </w:r>
      <w:r>
        <w:rPr>
          <w:rFonts w:ascii="Arial" w:eastAsia="宋体" w:hAnsi="Arial" w:cs="Arial"/>
          <w:sz w:val="20"/>
          <w:szCs w:val="20"/>
        </w:rPr>
        <w:t>ry indebtedness, in each case, subject to certain exceptions. The financial covenants require us to meet a quarterly financial test with respect to a minimum consolidated interest coverage ratio and a maximum consolidated leverage ratio. The events of defa</w:t>
      </w:r>
      <w:r>
        <w:rPr>
          <w:rFonts w:ascii="Arial" w:eastAsia="宋体" w:hAnsi="Arial" w:cs="Arial"/>
          <w:sz w:val="20"/>
          <w:szCs w:val="20"/>
        </w:rPr>
        <w:t>ult include the occurrence of a change of control (as defined in the credit agreement) with respect to us.</w:t>
      </w:r>
    </w:p>
    <w:p w14:paraId="0BC9A04B" w14:textId="77777777" w:rsidR="009F0928" w:rsidRDefault="009F0928">
      <w:pPr>
        <w:spacing w:line="288" w:lineRule="auto"/>
        <w:ind w:firstLine="720"/>
        <w:jc w:val="both"/>
        <w:rPr>
          <w:rFonts w:ascii="Times New Roman" w:hAnsi="Times New Roman"/>
          <w:sz w:val="20"/>
          <w:szCs w:val="20"/>
        </w:rPr>
      </w:pPr>
    </w:p>
    <w:p w14:paraId="0BC9A04C"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were in compliance with all covenants in our outstanding debt instruments for the period ended December 31, 2019.</w:t>
      </w:r>
    </w:p>
    <w:p w14:paraId="0BC9A04D" w14:textId="77777777" w:rsidR="009F0928" w:rsidRDefault="009F0928">
      <w:pPr>
        <w:spacing w:line="288" w:lineRule="auto"/>
        <w:jc w:val="both"/>
        <w:rPr>
          <w:rFonts w:ascii="Times New Roman" w:hAnsi="Times New Roman"/>
          <w:sz w:val="20"/>
          <w:szCs w:val="20"/>
        </w:rPr>
      </w:pPr>
    </w:p>
    <w:p w14:paraId="0BC9A04E"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i/>
          <w:iCs/>
          <w:sz w:val="20"/>
          <w:szCs w:val="20"/>
        </w:rPr>
        <w:t xml:space="preserve">Future Maturities </w:t>
      </w:r>
    </w:p>
    <w:p w14:paraId="0BC9A04F" w14:textId="77777777" w:rsidR="009F0928" w:rsidRDefault="009F0928">
      <w:pPr>
        <w:spacing w:line="288" w:lineRule="auto"/>
        <w:jc w:val="both"/>
        <w:rPr>
          <w:rFonts w:ascii="Times New Roman" w:hAnsi="Times New Roman"/>
          <w:sz w:val="20"/>
          <w:szCs w:val="20"/>
        </w:rPr>
      </w:pPr>
    </w:p>
    <w:p w14:paraId="0BC9A05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Expected f</w:t>
      </w:r>
      <w:r>
        <w:rPr>
          <w:rFonts w:ascii="Arial" w:eastAsia="宋体" w:hAnsi="Arial" w:cs="Arial"/>
          <w:sz w:val="20"/>
          <w:szCs w:val="20"/>
        </w:rPr>
        <w:t>uture principal maturities as of December 31, 2019 are as follows (in millions):</w:t>
      </w:r>
    </w:p>
    <w:tbl>
      <w:tblPr>
        <w:tblW w:w="5000" w:type="pct"/>
        <w:tblCellMar>
          <w:left w:w="0" w:type="dxa"/>
          <w:right w:w="0" w:type="dxa"/>
        </w:tblCellMar>
        <w:tblLook w:val="04A0" w:firstRow="1" w:lastRow="0" w:firstColumn="1" w:lastColumn="0" w:noHBand="0" w:noVBand="1"/>
      </w:tblPr>
      <w:tblGrid>
        <w:gridCol w:w="7206"/>
        <w:gridCol w:w="141"/>
        <w:gridCol w:w="895"/>
        <w:gridCol w:w="64"/>
      </w:tblGrid>
      <w:tr w:rsidR="009F0928" w14:paraId="0BC9A052" w14:textId="77777777">
        <w:tc>
          <w:tcPr>
            <w:tcW w:w="0" w:type="auto"/>
            <w:gridSpan w:val="4"/>
            <w:shd w:val="clear" w:color="auto" w:fill="auto"/>
            <w:vAlign w:val="center"/>
          </w:tcPr>
          <w:p w14:paraId="0BC9A051" w14:textId="77777777" w:rsidR="009F0928" w:rsidRDefault="009F0928">
            <w:pPr>
              <w:rPr>
                <w:rFonts w:ascii="Times New Roman" w:hAnsi="Times New Roman"/>
                <w:sz w:val="20"/>
                <w:szCs w:val="20"/>
              </w:rPr>
            </w:pPr>
          </w:p>
        </w:tc>
      </w:tr>
      <w:tr w:rsidR="009F0928" w14:paraId="0BC9A057" w14:textId="77777777">
        <w:tc>
          <w:tcPr>
            <w:tcW w:w="4350" w:type="pct"/>
            <w:shd w:val="clear" w:color="auto" w:fill="auto"/>
            <w:vAlign w:val="center"/>
          </w:tcPr>
          <w:p w14:paraId="0BC9A053" w14:textId="77777777" w:rsidR="009F0928" w:rsidRDefault="009F0928">
            <w:pPr>
              <w:rPr>
                <w:rFonts w:ascii="Times New Roman" w:hAnsi="Times New Roman"/>
                <w:sz w:val="20"/>
                <w:szCs w:val="20"/>
              </w:rPr>
            </w:pPr>
          </w:p>
        </w:tc>
        <w:tc>
          <w:tcPr>
            <w:tcW w:w="50" w:type="pct"/>
            <w:shd w:val="clear" w:color="auto" w:fill="auto"/>
            <w:vAlign w:val="center"/>
          </w:tcPr>
          <w:p w14:paraId="0BC9A054" w14:textId="77777777" w:rsidR="009F0928" w:rsidRDefault="009F0928">
            <w:pPr>
              <w:rPr>
                <w:rFonts w:ascii="Times New Roman" w:hAnsi="Times New Roman"/>
                <w:sz w:val="20"/>
                <w:szCs w:val="20"/>
              </w:rPr>
            </w:pPr>
          </w:p>
        </w:tc>
        <w:tc>
          <w:tcPr>
            <w:tcW w:w="550" w:type="pct"/>
            <w:shd w:val="clear" w:color="auto" w:fill="auto"/>
            <w:vAlign w:val="center"/>
          </w:tcPr>
          <w:p w14:paraId="0BC9A055" w14:textId="77777777" w:rsidR="009F0928" w:rsidRDefault="009F0928">
            <w:pPr>
              <w:rPr>
                <w:rFonts w:ascii="Times New Roman" w:hAnsi="Times New Roman"/>
                <w:sz w:val="20"/>
                <w:szCs w:val="20"/>
              </w:rPr>
            </w:pPr>
          </w:p>
        </w:tc>
        <w:tc>
          <w:tcPr>
            <w:tcW w:w="50" w:type="pct"/>
            <w:shd w:val="clear" w:color="auto" w:fill="auto"/>
            <w:vAlign w:val="center"/>
          </w:tcPr>
          <w:p w14:paraId="0BC9A056" w14:textId="77777777" w:rsidR="009F0928" w:rsidRDefault="009F0928">
            <w:pPr>
              <w:rPr>
                <w:rFonts w:ascii="Times New Roman" w:hAnsi="Times New Roman"/>
                <w:sz w:val="20"/>
                <w:szCs w:val="20"/>
              </w:rPr>
            </w:pPr>
          </w:p>
        </w:tc>
      </w:tr>
      <w:tr w:rsidR="009F0928" w14:paraId="0BC9A05A" w14:textId="77777777">
        <w:tc>
          <w:tcPr>
            <w:tcW w:w="0" w:type="auto"/>
            <w:shd w:val="clear" w:color="auto" w:fill="E2E2E2"/>
            <w:tcMar>
              <w:top w:w="40" w:type="dxa"/>
              <w:left w:w="40" w:type="dxa"/>
              <w:bottom w:w="40" w:type="dxa"/>
              <w:right w:w="40" w:type="dxa"/>
            </w:tcMar>
            <w:vAlign w:val="bottom"/>
          </w:tcPr>
          <w:p w14:paraId="0BC9A058"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Fiscal Years:</w:t>
            </w:r>
          </w:p>
        </w:tc>
        <w:tc>
          <w:tcPr>
            <w:tcW w:w="0" w:type="auto"/>
            <w:gridSpan w:val="3"/>
            <w:shd w:val="clear" w:color="auto" w:fill="E2E2E2"/>
            <w:tcMar>
              <w:top w:w="40" w:type="dxa"/>
              <w:left w:w="40" w:type="dxa"/>
              <w:bottom w:w="40" w:type="dxa"/>
              <w:right w:w="40" w:type="dxa"/>
            </w:tcMar>
            <w:vAlign w:val="bottom"/>
          </w:tcPr>
          <w:p w14:paraId="0BC9A05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05F" w14:textId="77777777">
        <w:tc>
          <w:tcPr>
            <w:tcW w:w="0" w:type="auto"/>
            <w:shd w:val="clear" w:color="auto" w:fill="auto"/>
            <w:tcMar>
              <w:top w:w="40" w:type="dxa"/>
              <w:left w:w="40" w:type="dxa"/>
              <w:bottom w:w="40" w:type="dxa"/>
              <w:right w:w="40" w:type="dxa"/>
            </w:tcMar>
            <w:vAlign w:val="bottom"/>
          </w:tcPr>
          <w:p w14:paraId="0BC9A05B" w14:textId="77777777" w:rsidR="009F0928" w:rsidRDefault="002112BD">
            <w:pPr>
              <w:textAlignment w:val="bottom"/>
              <w:rPr>
                <w:rFonts w:ascii="Times New Roman" w:hAnsi="Times New Roman"/>
                <w:sz w:val="18"/>
                <w:szCs w:val="18"/>
              </w:rPr>
            </w:pPr>
            <w:r>
              <w:rPr>
                <w:rFonts w:ascii="Arial" w:eastAsia="宋体" w:hAnsi="Arial" w:cs="Arial"/>
                <w:sz w:val="18"/>
                <w:szCs w:val="18"/>
              </w:rPr>
              <w:t>2020</w:t>
            </w:r>
          </w:p>
        </w:tc>
        <w:tc>
          <w:tcPr>
            <w:tcW w:w="0" w:type="auto"/>
            <w:shd w:val="clear" w:color="auto" w:fill="auto"/>
            <w:tcMar>
              <w:top w:w="40" w:type="dxa"/>
              <w:left w:w="40" w:type="dxa"/>
              <w:bottom w:w="40" w:type="dxa"/>
            </w:tcMar>
            <w:vAlign w:val="bottom"/>
          </w:tcPr>
          <w:p w14:paraId="0BC9A05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05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1,000</w:t>
            </w:r>
          </w:p>
        </w:tc>
        <w:tc>
          <w:tcPr>
            <w:tcW w:w="0" w:type="auto"/>
            <w:shd w:val="clear" w:color="auto" w:fill="auto"/>
            <w:vAlign w:val="bottom"/>
          </w:tcPr>
          <w:p w14:paraId="0BC9A05E" w14:textId="77777777" w:rsidR="009F0928" w:rsidRDefault="009F0928">
            <w:pPr>
              <w:textAlignment w:val="bottom"/>
              <w:rPr>
                <w:rFonts w:ascii="Times New Roman" w:hAnsi="Times New Roman"/>
                <w:sz w:val="20"/>
                <w:szCs w:val="20"/>
              </w:rPr>
            </w:pPr>
          </w:p>
        </w:tc>
      </w:tr>
      <w:tr w:rsidR="009F0928" w14:paraId="0BC9A063" w14:textId="77777777">
        <w:tc>
          <w:tcPr>
            <w:tcW w:w="0" w:type="auto"/>
            <w:shd w:val="clear" w:color="auto" w:fill="E2E2E2"/>
            <w:tcMar>
              <w:top w:w="40" w:type="dxa"/>
              <w:left w:w="40" w:type="dxa"/>
              <w:bottom w:w="40" w:type="dxa"/>
              <w:right w:w="40" w:type="dxa"/>
            </w:tcMar>
            <w:vAlign w:val="bottom"/>
          </w:tcPr>
          <w:p w14:paraId="0BC9A060" w14:textId="77777777" w:rsidR="009F0928" w:rsidRDefault="002112BD">
            <w:pPr>
              <w:textAlignment w:val="bottom"/>
              <w:rPr>
                <w:rFonts w:ascii="Times New Roman" w:hAnsi="Times New Roman"/>
                <w:sz w:val="18"/>
                <w:szCs w:val="18"/>
              </w:rPr>
            </w:pPr>
            <w:r>
              <w:rPr>
                <w:rFonts w:ascii="Arial" w:eastAsia="宋体" w:hAnsi="Arial" w:cs="Arial"/>
                <w:sz w:val="18"/>
                <w:szCs w:val="18"/>
              </w:rPr>
              <w:t>2021</w:t>
            </w:r>
          </w:p>
        </w:tc>
        <w:tc>
          <w:tcPr>
            <w:tcW w:w="0" w:type="auto"/>
            <w:gridSpan w:val="2"/>
            <w:shd w:val="clear" w:color="auto" w:fill="E2E2E2"/>
            <w:tcMar>
              <w:top w:w="40" w:type="dxa"/>
              <w:left w:w="40" w:type="dxa"/>
              <w:bottom w:w="40" w:type="dxa"/>
            </w:tcMar>
            <w:vAlign w:val="bottom"/>
          </w:tcPr>
          <w:p w14:paraId="0BC9A06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750</w:t>
            </w:r>
          </w:p>
        </w:tc>
        <w:tc>
          <w:tcPr>
            <w:tcW w:w="0" w:type="auto"/>
            <w:shd w:val="clear" w:color="auto" w:fill="E2E2E2"/>
            <w:vAlign w:val="bottom"/>
          </w:tcPr>
          <w:p w14:paraId="0BC9A062" w14:textId="77777777" w:rsidR="009F0928" w:rsidRDefault="009F0928">
            <w:pPr>
              <w:textAlignment w:val="bottom"/>
              <w:rPr>
                <w:rFonts w:ascii="Times New Roman" w:hAnsi="Times New Roman"/>
                <w:sz w:val="20"/>
                <w:szCs w:val="20"/>
              </w:rPr>
            </w:pPr>
          </w:p>
        </w:tc>
      </w:tr>
      <w:tr w:rsidR="009F0928" w14:paraId="0BC9A067" w14:textId="77777777">
        <w:tc>
          <w:tcPr>
            <w:tcW w:w="0" w:type="auto"/>
            <w:shd w:val="clear" w:color="auto" w:fill="auto"/>
            <w:tcMar>
              <w:top w:w="40" w:type="dxa"/>
              <w:left w:w="40" w:type="dxa"/>
              <w:bottom w:w="40" w:type="dxa"/>
              <w:right w:w="40" w:type="dxa"/>
            </w:tcMar>
            <w:vAlign w:val="bottom"/>
          </w:tcPr>
          <w:p w14:paraId="0BC9A064" w14:textId="77777777" w:rsidR="009F0928" w:rsidRDefault="002112BD">
            <w:pPr>
              <w:textAlignment w:val="bottom"/>
              <w:rPr>
                <w:rFonts w:ascii="Times New Roman" w:hAnsi="Times New Roman"/>
                <w:sz w:val="18"/>
                <w:szCs w:val="18"/>
              </w:rPr>
            </w:pPr>
            <w:r>
              <w:rPr>
                <w:rFonts w:ascii="Arial" w:eastAsia="宋体" w:hAnsi="Arial" w:cs="Arial"/>
                <w:sz w:val="18"/>
                <w:szCs w:val="18"/>
              </w:rPr>
              <w:t>2022</w:t>
            </w:r>
          </w:p>
        </w:tc>
        <w:tc>
          <w:tcPr>
            <w:tcW w:w="0" w:type="auto"/>
            <w:gridSpan w:val="2"/>
            <w:shd w:val="clear" w:color="auto" w:fill="auto"/>
            <w:tcMar>
              <w:top w:w="40" w:type="dxa"/>
              <w:left w:w="40" w:type="dxa"/>
              <w:bottom w:w="40" w:type="dxa"/>
            </w:tcMar>
            <w:vAlign w:val="bottom"/>
          </w:tcPr>
          <w:p w14:paraId="0BC9A06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1,750</w:t>
            </w:r>
          </w:p>
        </w:tc>
        <w:tc>
          <w:tcPr>
            <w:tcW w:w="0" w:type="auto"/>
            <w:shd w:val="clear" w:color="auto" w:fill="auto"/>
            <w:vAlign w:val="bottom"/>
          </w:tcPr>
          <w:p w14:paraId="0BC9A066" w14:textId="77777777" w:rsidR="009F0928" w:rsidRDefault="009F0928">
            <w:pPr>
              <w:textAlignment w:val="bottom"/>
              <w:rPr>
                <w:rFonts w:ascii="Times New Roman" w:hAnsi="Times New Roman"/>
                <w:sz w:val="20"/>
                <w:szCs w:val="20"/>
              </w:rPr>
            </w:pPr>
          </w:p>
        </w:tc>
      </w:tr>
      <w:tr w:rsidR="009F0928" w14:paraId="0BC9A06B" w14:textId="77777777">
        <w:tc>
          <w:tcPr>
            <w:tcW w:w="0" w:type="auto"/>
            <w:shd w:val="clear" w:color="auto" w:fill="E2E2E2"/>
            <w:tcMar>
              <w:top w:w="40" w:type="dxa"/>
              <w:left w:w="40" w:type="dxa"/>
              <w:bottom w:w="40" w:type="dxa"/>
              <w:right w:w="40" w:type="dxa"/>
            </w:tcMar>
            <w:vAlign w:val="bottom"/>
          </w:tcPr>
          <w:p w14:paraId="0BC9A068" w14:textId="77777777" w:rsidR="009F0928" w:rsidRDefault="002112BD">
            <w:pPr>
              <w:textAlignment w:val="bottom"/>
              <w:rPr>
                <w:rFonts w:ascii="Times New Roman" w:hAnsi="Times New Roman"/>
                <w:sz w:val="18"/>
                <w:szCs w:val="18"/>
              </w:rPr>
            </w:pPr>
            <w:r>
              <w:rPr>
                <w:rFonts w:ascii="Arial" w:eastAsia="宋体" w:hAnsi="Arial" w:cs="Arial"/>
                <w:sz w:val="18"/>
                <w:szCs w:val="18"/>
              </w:rPr>
              <w:t>2023</w:t>
            </w:r>
          </w:p>
        </w:tc>
        <w:tc>
          <w:tcPr>
            <w:tcW w:w="0" w:type="auto"/>
            <w:gridSpan w:val="2"/>
            <w:shd w:val="clear" w:color="auto" w:fill="E2E2E2"/>
            <w:tcMar>
              <w:top w:w="40" w:type="dxa"/>
              <w:left w:w="40" w:type="dxa"/>
              <w:bottom w:w="40" w:type="dxa"/>
            </w:tcMar>
            <w:vAlign w:val="bottom"/>
          </w:tcPr>
          <w:p w14:paraId="0BC9A06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1,150</w:t>
            </w:r>
          </w:p>
        </w:tc>
        <w:tc>
          <w:tcPr>
            <w:tcW w:w="0" w:type="auto"/>
            <w:shd w:val="clear" w:color="auto" w:fill="E2E2E2"/>
            <w:vAlign w:val="bottom"/>
          </w:tcPr>
          <w:p w14:paraId="0BC9A06A" w14:textId="77777777" w:rsidR="009F0928" w:rsidRDefault="009F0928">
            <w:pPr>
              <w:textAlignment w:val="bottom"/>
              <w:rPr>
                <w:rFonts w:ascii="Times New Roman" w:hAnsi="Times New Roman"/>
                <w:sz w:val="20"/>
                <w:szCs w:val="20"/>
              </w:rPr>
            </w:pPr>
          </w:p>
        </w:tc>
      </w:tr>
      <w:tr w:rsidR="009F0928" w14:paraId="0BC9A06F" w14:textId="77777777">
        <w:tc>
          <w:tcPr>
            <w:tcW w:w="0" w:type="auto"/>
            <w:shd w:val="clear" w:color="auto" w:fill="auto"/>
            <w:tcMar>
              <w:top w:w="40" w:type="dxa"/>
              <w:left w:w="40" w:type="dxa"/>
              <w:bottom w:w="40" w:type="dxa"/>
              <w:right w:w="40" w:type="dxa"/>
            </w:tcMar>
            <w:vAlign w:val="bottom"/>
          </w:tcPr>
          <w:p w14:paraId="0BC9A06C" w14:textId="77777777" w:rsidR="009F0928" w:rsidRDefault="002112BD">
            <w:pPr>
              <w:textAlignment w:val="bottom"/>
              <w:rPr>
                <w:rFonts w:ascii="Times New Roman" w:hAnsi="Times New Roman"/>
                <w:sz w:val="18"/>
                <w:szCs w:val="18"/>
              </w:rPr>
            </w:pPr>
            <w:r>
              <w:rPr>
                <w:rFonts w:ascii="Arial" w:eastAsia="宋体" w:hAnsi="Arial" w:cs="Arial"/>
                <w:sz w:val="18"/>
                <w:szCs w:val="18"/>
              </w:rPr>
              <w:t>2024</w:t>
            </w:r>
          </w:p>
        </w:tc>
        <w:tc>
          <w:tcPr>
            <w:tcW w:w="0" w:type="auto"/>
            <w:gridSpan w:val="2"/>
            <w:shd w:val="clear" w:color="auto" w:fill="auto"/>
            <w:tcMar>
              <w:top w:w="40" w:type="dxa"/>
              <w:left w:w="40" w:type="dxa"/>
              <w:bottom w:w="40" w:type="dxa"/>
            </w:tcMar>
            <w:vAlign w:val="bottom"/>
          </w:tcPr>
          <w:p w14:paraId="0BC9A06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750</w:t>
            </w:r>
          </w:p>
        </w:tc>
        <w:tc>
          <w:tcPr>
            <w:tcW w:w="0" w:type="auto"/>
            <w:shd w:val="clear" w:color="auto" w:fill="auto"/>
            <w:vAlign w:val="bottom"/>
          </w:tcPr>
          <w:p w14:paraId="0BC9A06E" w14:textId="77777777" w:rsidR="009F0928" w:rsidRDefault="009F0928">
            <w:pPr>
              <w:textAlignment w:val="bottom"/>
              <w:rPr>
                <w:rFonts w:ascii="Times New Roman" w:hAnsi="Times New Roman"/>
                <w:sz w:val="20"/>
                <w:szCs w:val="20"/>
              </w:rPr>
            </w:pPr>
          </w:p>
        </w:tc>
      </w:tr>
      <w:tr w:rsidR="009F0928" w14:paraId="0BC9A073" w14:textId="77777777">
        <w:tc>
          <w:tcPr>
            <w:tcW w:w="0" w:type="auto"/>
            <w:shd w:val="clear" w:color="auto" w:fill="E2E2E2"/>
            <w:tcMar>
              <w:top w:w="40" w:type="dxa"/>
              <w:left w:w="40" w:type="dxa"/>
              <w:bottom w:w="40" w:type="dxa"/>
              <w:right w:w="40" w:type="dxa"/>
            </w:tcMar>
            <w:vAlign w:val="bottom"/>
          </w:tcPr>
          <w:p w14:paraId="0BC9A070" w14:textId="77777777" w:rsidR="009F0928" w:rsidRDefault="002112BD">
            <w:pPr>
              <w:textAlignment w:val="bottom"/>
              <w:rPr>
                <w:rFonts w:ascii="Times New Roman" w:hAnsi="Times New Roman"/>
                <w:sz w:val="18"/>
                <w:szCs w:val="18"/>
              </w:rPr>
            </w:pPr>
            <w:r>
              <w:rPr>
                <w:rFonts w:ascii="Arial" w:eastAsia="宋体" w:hAnsi="Arial" w:cs="Arial"/>
                <w:sz w:val="18"/>
                <w:szCs w:val="18"/>
              </w:rPr>
              <w:t>Thereafter</w:t>
            </w:r>
          </w:p>
        </w:tc>
        <w:tc>
          <w:tcPr>
            <w:tcW w:w="0" w:type="auto"/>
            <w:gridSpan w:val="2"/>
            <w:shd w:val="clear" w:color="auto" w:fill="E2E2E2"/>
            <w:tcMar>
              <w:top w:w="40" w:type="dxa"/>
              <w:left w:w="40" w:type="dxa"/>
              <w:bottom w:w="40" w:type="dxa"/>
            </w:tcMar>
            <w:vAlign w:val="bottom"/>
          </w:tcPr>
          <w:p w14:paraId="0BC9A07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2,350</w:t>
            </w:r>
          </w:p>
        </w:tc>
        <w:tc>
          <w:tcPr>
            <w:tcW w:w="0" w:type="auto"/>
            <w:shd w:val="clear" w:color="auto" w:fill="E2E2E2"/>
            <w:vAlign w:val="bottom"/>
          </w:tcPr>
          <w:p w14:paraId="0BC9A072" w14:textId="77777777" w:rsidR="009F0928" w:rsidRDefault="009F0928">
            <w:pPr>
              <w:textAlignment w:val="bottom"/>
              <w:rPr>
                <w:rFonts w:ascii="Times New Roman" w:hAnsi="Times New Roman"/>
                <w:sz w:val="20"/>
                <w:szCs w:val="20"/>
              </w:rPr>
            </w:pPr>
          </w:p>
        </w:tc>
      </w:tr>
      <w:tr w:rsidR="009F0928" w14:paraId="0BC9A078" w14:textId="77777777">
        <w:tc>
          <w:tcPr>
            <w:tcW w:w="0" w:type="auto"/>
            <w:shd w:val="clear" w:color="auto" w:fill="auto"/>
            <w:tcMar>
              <w:top w:w="40" w:type="dxa"/>
              <w:left w:w="400" w:type="dxa"/>
              <w:bottom w:w="40" w:type="dxa"/>
              <w:right w:w="40" w:type="dxa"/>
            </w:tcMar>
            <w:vAlign w:val="bottom"/>
          </w:tcPr>
          <w:p w14:paraId="0BC9A074"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future maturities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07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07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7,750</w:t>
            </w:r>
          </w:p>
        </w:tc>
        <w:tc>
          <w:tcPr>
            <w:tcW w:w="0" w:type="auto"/>
            <w:tcBorders>
              <w:top w:val="single" w:sz="8" w:space="0" w:color="000000"/>
              <w:bottom w:val="double" w:sz="6" w:space="0" w:color="000000"/>
            </w:tcBorders>
            <w:shd w:val="clear" w:color="auto" w:fill="auto"/>
            <w:vAlign w:val="bottom"/>
          </w:tcPr>
          <w:p w14:paraId="0BC9A077" w14:textId="77777777" w:rsidR="009F0928" w:rsidRDefault="009F0928">
            <w:pPr>
              <w:textAlignment w:val="bottom"/>
              <w:rPr>
                <w:rFonts w:ascii="Times New Roman" w:hAnsi="Times New Roman"/>
                <w:sz w:val="20"/>
                <w:szCs w:val="20"/>
              </w:rPr>
            </w:pPr>
          </w:p>
        </w:tc>
      </w:tr>
    </w:tbl>
    <w:p w14:paraId="0BC9A079" w14:textId="77777777" w:rsidR="009F0928" w:rsidRDefault="009F0928">
      <w:pPr>
        <w:spacing w:line="288" w:lineRule="auto"/>
        <w:jc w:val="both"/>
        <w:rPr>
          <w:rFonts w:ascii="Times New Roman" w:hAnsi="Times New Roman"/>
          <w:sz w:val="20"/>
          <w:szCs w:val="20"/>
        </w:rPr>
      </w:pPr>
    </w:p>
    <w:p w14:paraId="0BC9A07A" w14:textId="77777777" w:rsidR="009F0928" w:rsidRDefault="009F0928">
      <w:pPr>
        <w:spacing w:line="288" w:lineRule="auto"/>
        <w:jc w:val="both"/>
        <w:rPr>
          <w:rFonts w:ascii="Times New Roman" w:hAnsi="Times New Roman"/>
          <w:sz w:val="20"/>
          <w:szCs w:val="20"/>
        </w:rPr>
      </w:pPr>
    </w:p>
    <w:p w14:paraId="0BC9A07B" w14:textId="77777777" w:rsidR="009F0928" w:rsidRDefault="002112BD">
      <w:pPr>
        <w:spacing w:line="288" w:lineRule="auto"/>
        <w:rPr>
          <w:rFonts w:ascii="Times New Roman" w:hAnsi="Times New Roman"/>
          <w:sz w:val="20"/>
          <w:szCs w:val="20"/>
        </w:rPr>
      </w:pPr>
      <w:r>
        <w:rPr>
          <w:rFonts w:ascii="Arial" w:eastAsia="宋体" w:hAnsi="Arial" w:cs="Arial"/>
          <w:b/>
          <w:bCs/>
          <w:sz w:val="20"/>
          <w:szCs w:val="20"/>
        </w:rPr>
        <w:t>Note 11 – Leases</w:t>
      </w:r>
    </w:p>
    <w:p w14:paraId="0BC9A07C" w14:textId="77777777" w:rsidR="009F0928" w:rsidRDefault="009F0928">
      <w:pPr>
        <w:spacing w:line="288" w:lineRule="auto"/>
        <w:rPr>
          <w:rFonts w:ascii="Times New Roman" w:hAnsi="Times New Roman"/>
          <w:sz w:val="20"/>
          <w:szCs w:val="20"/>
        </w:rPr>
      </w:pPr>
    </w:p>
    <w:p w14:paraId="0BC9A07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have operating and finance leases for office space, data and fulfillment centers, and other corporate assets that we utilize under lease arrangements. </w:t>
      </w:r>
    </w:p>
    <w:p w14:paraId="0BC9A07E" w14:textId="77777777" w:rsidR="009F0928" w:rsidRDefault="009F0928">
      <w:pPr>
        <w:spacing w:line="288" w:lineRule="auto"/>
        <w:ind w:firstLine="720"/>
        <w:jc w:val="both"/>
        <w:rPr>
          <w:rFonts w:ascii="Times New Roman" w:hAnsi="Times New Roman"/>
          <w:sz w:val="20"/>
          <w:szCs w:val="20"/>
        </w:rPr>
      </w:pPr>
    </w:p>
    <w:p w14:paraId="0BC9A07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following table provides a summary of leases by balance sheet location as of </w:t>
      </w:r>
      <w:r>
        <w:rPr>
          <w:rFonts w:ascii="Arial" w:eastAsia="宋体" w:hAnsi="Arial" w:cs="Arial"/>
          <w:sz w:val="20"/>
          <w:szCs w:val="20"/>
        </w:rPr>
        <w:t>December 31, 2019 (in millions):</w:t>
      </w:r>
    </w:p>
    <w:p w14:paraId="0BC9A080" w14:textId="77777777" w:rsidR="009F0928" w:rsidRDefault="009F0928">
      <w:pPr>
        <w:spacing w:line="288" w:lineRule="auto"/>
        <w:ind w:firstLine="720"/>
        <w:jc w:val="both"/>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3307"/>
        <w:gridCol w:w="3557"/>
        <w:gridCol w:w="142"/>
        <w:gridCol w:w="1231"/>
        <w:gridCol w:w="69"/>
      </w:tblGrid>
      <w:tr w:rsidR="009F0928" w14:paraId="0BC9A082" w14:textId="77777777">
        <w:tc>
          <w:tcPr>
            <w:tcW w:w="0" w:type="auto"/>
            <w:gridSpan w:val="5"/>
            <w:shd w:val="clear" w:color="auto" w:fill="auto"/>
            <w:vAlign w:val="center"/>
          </w:tcPr>
          <w:p w14:paraId="0BC9A081" w14:textId="77777777" w:rsidR="009F0928" w:rsidRDefault="009F0928">
            <w:pPr>
              <w:rPr>
                <w:rFonts w:ascii="Times New Roman" w:hAnsi="Times New Roman"/>
                <w:sz w:val="20"/>
                <w:szCs w:val="20"/>
              </w:rPr>
            </w:pPr>
          </w:p>
        </w:tc>
      </w:tr>
      <w:tr w:rsidR="009F0928" w14:paraId="0BC9A088" w14:textId="77777777">
        <w:tc>
          <w:tcPr>
            <w:tcW w:w="2000" w:type="pct"/>
            <w:shd w:val="clear" w:color="auto" w:fill="auto"/>
            <w:vAlign w:val="center"/>
          </w:tcPr>
          <w:p w14:paraId="0BC9A083" w14:textId="77777777" w:rsidR="009F0928" w:rsidRDefault="009F0928">
            <w:pPr>
              <w:rPr>
                <w:rFonts w:ascii="Times New Roman" w:hAnsi="Times New Roman"/>
                <w:sz w:val="20"/>
                <w:szCs w:val="20"/>
              </w:rPr>
            </w:pPr>
          </w:p>
        </w:tc>
        <w:tc>
          <w:tcPr>
            <w:tcW w:w="2150" w:type="pct"/>
            <w:shd w:val="clear" w:color="auto" w:fill="auto"/>
            <w:vAlign w:val="center"/>
          </w:tcPr>
          <w:p w14:paraId="0BC9A084" w14:textId="77777777" w:rsidR="009F0928" w:rsidRDefault="009F0928">
            <w:pPr>
              <w:rPr>
                <w:rFonts w:ascii="Times New Roman" w:hAnsi="Times New Roman"/>
                <w:sz w:val="20"/>
                <w:szCs w:val="20"/>
              </w:rPr>
            </w:pPr>
          </w:p>
        </w:tc>
        <w:tc>
          <w:tcPr>
            <w:tcW w:w="50" w:type="pct"/>
            <w:shd w:val="clear" w:color="auto" w:fill="auto"/>
            <w:vAlign w:val="center"/>
          </w:tcPr>
          <w:p w14:paraId="0BC9A085" w14:textId="77777777" w:rsidR="009F0928" w:rsidRDefault="009F0928">
            <w:pPr>
              <w:rPr>
                <w:rFonts w:ascii="Times New Roman" w:hAnsi="Times New Roman"/>
                <w:sz w:val="20"/>
                <w:szCs w:val="20"/>
              </w:rPr>
            </w:pPr>
          </w:p>
        </w:tc>
        <w:tc>
          <w:tcPr>
            <w:tcW w:w="750" w:type="pct"/>
            <w:shd w:val="clear" w:color="auto" w:fill="auto"/>
            <w:vAlign w:val="center"/>
          </w:tcPr>
          <w:p w14:paraId="0BC9A086" w14:textId="77777777" w:rsidR="009F0928" w:rsidRDefault="009F0928">
            <w:pPr>
              <w:rPr>
                <w:rFonts w:ascii="Times New Roman" w:hAnsi="Times New Roman"/>
                <w:sz w:val="20"/>
                <w:szCs w:val="20"/>
              </w:rPr>
            </w:pPr>
          </w:p>
        </w:tc>
        <w:tc>
          <w:tcPr>
            <w:tcW w:w="50" w:type="pct"/>
            <w:shd w:val="clear" w:color="auto" w:fill="auto"/>
            <w:vAlign w:val="center"/>
          </w:tcPr>
          <w:p w14:paraId="0BC9A087" w14:textId="77777777" w:rsidR="009F0928" w:rsidRDefault="009F0928">
            <w:pPr>
              <w:rPr>
                <w:rFonts w:ascii="Times New Roman" w:hAnsi="Times New Roman"/>
                <w:sz w:val="20"/>
                <w:szCs w:val="20"/>
              </w:rPr>
            </w:pPr>
          </w:p>
        </w:tc>
      </w:tr>
      <w:tr w:rsidR="009F0928" w14:paraId="0BC9A08C" w14:textId="77777777">
        <w:tc>
          <w:tcPr>
            <w:tcW w:w="0" w:type="auto"/>
            <w:shd w:val="clear" w:color="auto" w:fill="auto"/>
            <w:tcMar>
              <w:top w:w="40" w:type="dxa"/>
              <w:left w:w="40" w:type="dxa"/>
              <w:bottom w:w="40" w:type="dxa"/>
              <w:right w:w="40" w:type="dxa"/>
            </w:tcMar>
            <w:vAlign w:val="bottom"/>
          </w:tcPr>
          <w:p w14:paraId="0BC9A089"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A08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A08B"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As of</w:t>
            </w:r>
          </w:p>
        </w:tc>
      </w:tr>
      <w:tr w:rsidR="009F0928" w14:paraId="0BC9A090" w14:textId="77777777">
        <w:tc>
          <w:tcPr>
            <w:tcW w:w="0" w:type="auto"/>
            <w:shd w:val="clear" w:color="auto" w:fill="auto"/>
            <w:tcMar>
              <w:top w:w="40" w:type="dxa"/>
              <w:left w:w="40" w:type="dxa"/>
              <w:bottom w:w="40" w:type="dxa"/>
              <w:right w:w="40" w:type="dxa"/>
            </w:tcMar>
            <w:vAlign w:val="bottom"/>
          </w:tcPr>
          <w:p w14:paraId="0BC9A0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08E" w14:textId="77777777" w:rsidR="009F0928" w:rsidRDefault="002112BD">
            <w:pPr>
              <w:textAlignment w:val="bottom"/>
              <w:rPr>
                <w:rFonts w:ascii="Times New Roman" w:hAnsi="Times New Roman"/>
                <w:sz w:val="16"/>
                <w:szCs w:val="16"/>
              </w:rPr>
            </w:pPr>
            <w:r>
              <w:rPr>
                <w:rFonts w:ascii="Arial" w:eastAsia="宋体" w:hAnsi="Arial" w:cs="Arial"/>
                <w:b/>
                <w:bCs/>
                <w:sz w:val="16"/>
                <w:szCs w:val="16"/>
              </w:rPr>
              <w:t>Balance Sheet Location</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08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 2019</w:t>
            </w:r>
          </w:p>
        </w:tc>
      </w:tr>
      <w:tr w:rsidR="009F0928" w14:paraId="0BC9A094" w14:textId="77777777">
        <w:tc>
          <w:tcPr>
            <w:tcW w:w="0" w:type="auto"/>
            <w:shd w:val="clear" w:color="auto" w:fill="E2E2E2"/>
            <w:tcMar>
              <w:top w:w="40" w:type="dxa"/>
              <w:left w:w="40" w:type="dxa"/>
              <w:bottom w:w="40" w:type="dxa"/>
              <w:right w:w="40" w:type="dxa"/>
            </w:tcMar>
            <w:vAlign w:val="bottom"/>
          </w:tcPr>
          <w:p w14:paraId="0BC9A091"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Assets</w:t>
            </w:r>
          </w:p>
        </w:tc>
        <w:tc>
          <w:tcPr>
            <w:tcW w:w="0" w:type="auto"/>
            <w:shd w:val="clear" w:color="auto" w:fill="E2E2E2"/>
            <w:tcMar>
              <w:top w:w="40" w:type="dxa"/>
              <w:left w:w="40" w:type="dxa"/>
              <w:bottom w:w="40" w:type="dxa"/>
              <w:right w:w="40" w:type="dxa"/>
            </w:tcMar>
            <w:vAlign w:val="bottom"/>
          </w:tcPr>
          <w:p w14:paraId="0BC9A09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0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09A" w14:textId="77777777">
        <w:tc>
          <w:tcPr>
            <w:tcW w:w="0" w:type="auto"/>
            <w:shd w:val="clear" w:color="auto" w:fill="auto"/>
            <w:tcMar>
              <w:top w:w="40" w:type="dxa"/>
              <w:left w:w="40" w:type="dxa"/>
              <w:bottom w:w="40" w:type="dxa"/>
              <w:right w:w="40" w:type="dxa"/>
            </w:tcMar>
            <w:vAlign w:val="bottom"/>
          </w:tcPr>
          <w:p w14:paraId="0BC9A095" w14:textId="77777777" w:rsidR="009F0928" w:rsidRDefault="002112BD">
            <w:pPr>
              <w:textAlignment w:val="bottom"/>
              <w:rPr>
                <w:rFonts w:ascii="Times New Roman" w:hAnsi="Times New Roman"/>
                <w:sz w:val="18"/>
                <w:szCs w:val="18"/>
              </w:rPr>
            </w:pPr>
            <w:r>
              <w:rPr>
                <w:rFonts w:ascii="Arial" w:eastAsia="宋体" w:hAnsi="Arial" w:cs="Arial"/>
                <w:sz w:val="18"/>
                <w:szCs w:val="18"/>
              </w:rPr>
              <w:t>Operating</w:t>
            </w:r>
          </w:p>
        </w:tc>
        <w:tc>
          <w:tcPr>
            <w:tcW w:w="0" w:type="auto"/>
            <w:shd w:val="clear" w:color="auto" w:fill="auto"/>
            <w:tcMar>
              <w:top w:w="40" w:type="dxa"/>
              <w:left w:w="40" w:type="dxa"/>
              <w:bottom w:w="40" w:type="dxa"/>
              <w:right w:w="40" w:type="dxa"/>
            </w:tcMar>
            <w:vAlign w:val="bottom"/>
          </w:tcPr>
          <w:p w14:paraId="0BC9A096" w14:textId="77777777" w:rsidR="009F0928" w:rsidRDefault="002112BD">
            <w:pPr>
              <w:textAlignment w:val="bottom"/>
              <w:rPr>
                <w:rFonts w:ascii="Times New Roman" w:hAnsi="Times New Roman"/>
                <w:sz w:val="18"/>
                <w:szCs w:val="18"/>
              </w:rPr>
            </w:pPr>
            <w:r>
              <w:rPr>
                <w:rFonts w:ascii="Arial" w:eastAsia="宋体" w:hAnsi="Arial" w:cs="Arial"/>
                <w:sz w:val="18"/>
                <w:szCs w:val="18"/>
              </w:rPr>
              <w:t>Operating lease right-of-use assets</w:t>
            </w:r>
          </w:p>
        </w:tc>
        <w:tc>
          <w:tcPr>
            <w:tcW w:w="0" w:type="auto"/>
            <w:shd w:val="clear" w:color="auto" w:fill="auto"/>
            <w:tcMar>
              <w:top w:w="40" w:type="dxa"/>
              <w:left w:w="40" w:type="dxa"/>
              <w:bottom w:w="40" w:type="dxa"/>
            </w:tcMar>
            <w:vAlign w:val="bottom"/>
          </w:tcPr>
          <w:p w14:paraId="0BC9A09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09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628</w:t>
            </w:r>
          </w:p>
        </w:tc>
        <w:tc>
          <w:tcPr>
            <w:tcW w:w="0" w:type="auto"/>
            <w:shd w:val="clear" w:color="auto" w:fill="auto"/>
            <w:vAlign w:val="bottom"/>
          </w:tcPr>
          <w:p w14:paraId="0BC9A099" w14:textId="77777777" w:rsidR="009F0928" w:rsidRDefault="009F0928">
            <w:pPr>
              <w:textAlignment w:val="bottom"/>
              <w:rPr>
                <w:rFonts w:ascii="Times New Roman" w:hAnsi="Times New Roman"/>
                <w:sz w:val="20"/>
                <w:szCs w:val="20"/>
              </w:rPr>
            </w:pPr>
          </w:p>
        </w:tc>
      </w:tr>
      <w:tr w:rsidR="009F0928" w14:paraId="0BC9A09F" w14:textId="77777777">
        <w:tc>
          <w:tcPr>
            <w:tcW w:w="0" w:type="auto"/>
            <w:shd w:val="clear" w:color="auto" w:fill="E2E2E2"/>
            <w:tcMar>
              <w:top w:w="40" w:type="dxa"/>
              <w:left w:w="40" w:type="dxa"/>
              <w:bottom w:w="40" w:type="dxa"/>
              <w:right w:w="40" w:type="dxa"/>
            </w:tcMar>
            <w:vAlign w:val="bottom"/>
          </w:tcPr>
          <w:p w14:paraId="0BC9A09B" w14:textId="77777777" w:rsidR="009F0928" w:rsidRDefault="002112BD">
            <w:pPr>
              <w:textAlignment w:val="bottom"/>
              <w:rPr>
                <w:rFonts w:ascii="Times New Roman" w:hAnsi="Times New Roman"/>
                <w:sz w:val="18"/>
                <w:szCs w:val="18"/>
              </w:rPr>
            </w:pPr>
            <w:r>
              <w:rPr>
                <w:rFonts w:ascii="Arial" w:eastAsia="宋体" w:hAnsi="Arial" w:cs="Arial"/>
                <w:sz w:val="18"/>
                <w:szCs w:val="18"/>
              </w:rPr>
              <w:t>Finance</w:t>
            </w:r>
          </w:p>
        </w:tc>
        <w:tc>
          <w:tcPr>
            <w:tcW w:w="0" w:type="auto"/>
            <w:shd w:val="clear" w:color="auto" w:fill="E2E2E2"/>
            <w:tcMar>
              <w:top w:w="40" w:type="dxa"/>
              <w:left w:w="40" w:type="dxa"/>
              <w:bottom w:w="40" w:type="dxa"/>
              <w:right w:w="40" w:type="dxa"/>
            </w:tcMar>
            <w:vAlign w:val="bottom"/>
          </w:tcPr>
          <w:p w14:paraId="0BC9A09C"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Property and equipment, net </w:t>
            </w:r>
            <w:r>
              <w:rPr>
                <w:rFonts w:ascii="Arial" w:eastAsia="宋体" w:hAnsi="Arial" w:cs="Arial"/>
                <w:sz w:val="12"/>
                <w:szCs w:val="12"/>
              </w:rPr>
              <w:t>(1)</w:t>
            </w:r>
          </w:p>
        </w:tc>
        <w:tc>
          <w:tcPr>
            <w:tcW w:w="0" w:type="auto"/>
            <w:gridSpan w:val="2"/>
            <w:shd w:val="clear" w:color="auto" w:fill="E2E2E2"/>
            <w:tcMar>
              <w:top w:w="40" w:type="dxa"/>
              <w:left w:w="40" w:type="dxa"/>
              <w:bottom w:w="40" w:type="dxa"/>
            </w:tcMar>
            <w:vAlign w:val="bottom"/>
          </w:tcPr>
          <w:p w14:paraId="0BC9A09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31</w:t>
            </w:r>
          </w:p>
        </w:tc>
        <w:tc>
          <w:tcPr>
            <w:tcW w:w="0" w:type="auto"/>
            <w:shd w:val="clear" w:color="auto" w:fill="E2E2E2"/>
            <w:vAlign w:val="bottom"/>
          </w:tcPr>
          <w:p w14:paraId="0BC9A09E" w14:textId="77777777" w:rsidR="009F0928" w:rsidRDefault="009F0928">
            <w:pPr>
              <w:textAlignment w:val="bottom"/>
              <w:rPr>
                <w:rFonts w:ascii="Times New Roman" w:hAnsi="Times New Roman"/>
                <w:sz w:val="20"/>
                <w:szCs w:val="20"/>
              </w:rPr>
            </w:pPr>
          </w:p>
        </w:tc>
      </w:tr>
      <w:tr w:rsidR="009F0928" w14:paraId="0BC9A0A5" w14:textId="77777777">
        <w:tc>
          <w:tcPr>
            <w:tcW w:w="0" w:type="auto"/>
            <w:shd w:val="clear" w:color="auto" w:fill="auto"/>
            <w:tcMar>
              <w:top w:w="40" w:type="dxa"/>
              <w:left w:w="400" w:type="dxa"/>
              <w:bottom w:w="40" w:type="dxa"/>
              <w:right w:w="40" w:type="dxa"/>
            </w:tcMar>
            <w:vAlign w:val="bottom"/>
          </w:tcPr>
          <w:p w14:paraId="0BC9A0A0"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leased assets</w:t>
            </w:r>
          </w:p>
        </w:tc>
        <w:tc>
          <w:tcPr>
            <w:tcW w:w="0" w:type="auto"/>
            <w:shd w:val="clear" w:color="auto" w:fill="auto"/>
            <w:tcMar>
              <w:top w:w="40" w:type="dxa"/>
              <w:left w:w="40" w:type="dxa"/>
              <w:bottom w:w="40" w:type="dxa"/>
              <w:right w:w="40" w:type="dxa"/>
            </w:tcMar>
            <w:vAlign w:val="bottom"/>
          </w:tcPr>
          <w:p w14:paraId="0BC9A0A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0A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0A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659</w:t>
            </w:r>
          </w:p>
        </w:tc>
        <w:tc>
          <w:tcPr>
            <w:tcW w:w="0" w:type="auto"/>
            <w:tcBorders>
              <w:top w:val="single" w:sz="8" w:space="0" w:color="000000"/>
              <w:bottom w:val="double" w:sz="6" w:space="0" w:color="000000"/>
            </w:tcBorders>
            <w:shd w:val="clear" w:color="auto" w:fill="auto"/>
            <w:vAlign w:val="bottom"/>
          </w:tcPr>
          <w:p w14:paraId="0BC9A0A4" w14:textId="77777777" w:rsidR="009F0928" w:rsidRDefault="009F0928">
            <w:pPr>
              <w:textAlignment w:val="bottom"/>
              <w:rPr>
                <w:rFonts w:ascii="Times New Roman" w:hAnsi="Times New Roman"/>
                <w:sz w:val="20"/>
                <w:szCs w:val="20"/>
              </w:rPr>
            </w:pPr>
          </w:p>
        </w:tc>
      </w:tr>
      <w:tr w:rsidR="009F0928" w14:paraId="0BC9A0A9" w14:textId="77777777">
        <w:tc>
          <w:tcPr>
            <w:tcW w:w="0" w:type="auto"/>
            <w:shd w:val="clear" w:color="auto" w:fill="E2E2E2"/>
            <w:tcMar>
              <w:top w:w="40" w:type="dxa"/>
              <w:left w:w="40" w:type="dxa"/>
              <w:bottom w:w="40" w:type="dxa"/>
              <w:right w:w="40" w:type="dxa"/>
            </w:tcMar>
            <w:vAlign w:val="bottom"/>
          </w:tcPr>
          <w:p w14:paraId="0BC9A0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0A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0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0AD" w14:textId="77777777">
        <w:tc>
          <w:tcPr>
            <w:tcW w:w="0" w:type="auto"/>
            <w:shd w:val="clear" w:color="auto" w:fill="auto"/>
            <w:tcMar>
              <w:top w:w="40" w:type="dxa"/>
              <w:left w:w="40" w:type="dxa"/>
              <w:bottom w:w="40" w:type="dxa"/>
              <w:right w:w="40" w:type="dxa"/>
            </w:tcMar>
            <w:vAlign w:val="bottom"/>
          </w:tcPr>
          <w:p w14:paraId="0BC9A0AA"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Liabilities</w:t>
            </w:r>
          </w:p>
        </w:tc>
        <w:tc>
          <w:tcPr>
            <w:tcW w:w="0" w:type="auto"/>
            <w:shd w:val="clear" w:color="auto" w:fill="auto"/>
            <w:tcMar>
              <w:top w:w="40" w:type="dxa"/>
              <w:left w:w="40" w:type="dxa"/>
              <w:bottom w:w="40" w:type="dxa"/>
              <w:right w:w="40" w:type="dxa"/>
            </w:tcMar>
            <w:vAlign w:val="bottom"/>
          </w:tcPr>
          <w:p w14:paraId="0BC9A0A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A0A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0B3" w14:textId="77777777">
        <w:tc>
          <w:tcPr>
            <w:tcW w:w="0" w:type="auto"/>
            <w:shd w:val="clear" w:color="auto" w:fill="E2E2E2"/>
            <w:tcMar>
              <w:top w:w="40" w:type="dxa"/>
              <w:left w:w="40" w:type="dxa"/>
              <w:bottom w:w="40" w:type="dxa"/>
              <w:right w:w="40" w:type="dxa"/>
            </w:tcMar>
            <w:vAlign w:val="bottom"/>
          </w:tcPr>
          <w:p w14:paraId="0BC9A0AE" w14:textId="77777777" w:rsidR="009F0928" w:rsidRDefault="002112BD">
            <w:pPr>
              <w:textAlignment w:val="bottom"/>
              <w:rPr>
                <w:rFonts w:ascii="Times New Roman" w:hAnsi="Times New Roman"/>
                <w:sz w:val="18"/>
                <w:szCs w:val="18"/>
              </w:rPr>
            </w:pPr>
            <w:r>
              <w:rPr>
                <w:rFonts w:ascii="Arial" w:eastAsia="宋体" w:hAnsi="Arial" w:cs="Arial"/>
                <w:sz w:val="18"/>
                <w:szCs w:val="18"/>
              </w:rPr>
              <w:t>Operating - current</w:t>
            </w:r>
          </w:p>
        </w:tc>
        <w:tc>
          <w:tcPr>
            <w:tcW w:w="0" w:type="auto"/>
            <w:shd w:val="clear" w:color="auto" w:fill="E2E2E2"/>
            <w:tcMar>
              <w:top w:w="40" w:type="dxa"/>
              <w:left w:w="40" w:type="dxa"/>
              <w:bottom w:w="40" w:type="dxa"/>
              <w:right w:w="40" w:type="dxa"/>
            </w:tcMar>
            <w:vAlign w:val="bottom"/>
          </w:tcPr>
          <w:p w14:paraId="0BC9A0AF" w14:textId="77777777" w:rsidR="009F0928" w:rsidRDefault="002112BD">
            <w:pPr>
              <w:textAlignment w:val="bottom"/>
              <w:rPr>
                <w:rFonts w:ascii="Times New Roman" w:hAnsi="Times New Roman"/>
                <w:sz w:val="18"/>
                <w:szCs w:val="18"/>
              </w:rPr>
            </w:pPr>
            <w:r>
              <w:rPr>
                <w:rFonts w:ascii="Arial" w:eastAsia="宋体" w:hAnsi="Arial" w:cs="Arial"/>
                <w:sz w:val="18"/>
                <w:szCs w:val="18"/>
              </w:rPr>
              <w:t>Accrued expenses and other current liabilities</w:t>
            </w:r>
          </w:p>
        </w:tc>
        <w:tc>
          <w:tcPr>
            <w:tcW w:w="0" w:type="auto"/>
            <w:shd w:val="clear" w:color="auto" w:fill="E2E2E2"/>
            <w:tcMar>
              <w:top w:w="40" w:type="dxa"/>
              <w:left w:w="40" w:type="dxa"/>
              <w:bottom w:w="40" w:type="dxa"/>
            </w:tcMar>
            <w:vAlign w:val="bottom"/>
          </w:tcPr>
          <w:p w14:paraId="0BC9A0B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0B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170</w:t>
            </w:r>
          </w:p>
        </w:tc>
        <w:tc>
          <w:tcPr>
            <w:tcW w:w="0" w:type="auto"/>
            <w:shd w:val="clear" w:color="auto" w:fill="E2E2E2"/>
            <w:vAlign w:val="bottom"/>
          </w:tcPr>
          <w:p w14:paraId="0BC9A0B2" w14:textId="77777777" w:rsidR="009F0928" w:rsidRDefault="009F0928">
            <w:pPr>
              <w:textAlignment w:val="bottom"/>
              <w:rPr>
                <w:rFonts w:ascii="Times New Roman" w:hAnsi="Times New Roman"/>
                <w:sz w:val="20"/>
                <w:szCs w:val="20"/>
              </w:rPr>
            </w:pPr>
          </w:p>
        </w:tc>
      </w:tr>
      <w:tr w:rsidR="009F0928" w14:paraId="0BC9A0B8" w14:textId="77777777">
        <w:tc>
          <w:tcPr>
            <w:tcW w:w="0" w:type="auto"/>
            <w:shd w:val="clear" w:color="auto" w:fill="auto"/>
            <w:tcMar>
              <w:top w:w="40" w:type="dxa"/>
              <w:left w:w="40" w:type="dxa"/>
              <w:bottom w:w="40" w:type="dxa"/>
              <w:right w:w="40" w:type="dxa"/>
            </w:tcMar>
            <w:vAlign w:val="bottom"/>
          </w:tcPr>
          <w:p w14:paraId="0BC9A0B4" w14:textId="77777777" w:rsidR="009F0928" w:rsidRDefault="002112BD">
            <w:pPr>
              <w:textAlignment w:val="bottom"/>
              <w:rPr>
                <w:rFonts w:ascii="Times New Roman" w:hAnsi="Times New Roman"/>
                <w:sz w:val="18"/>
                <w:szCs w:val="18"/>
              </w:rPr>
            </w:pPr>
            <w:r>
              <w:rPr>
                <w:rFonts w:ascii="Arial" w:eastAsia="宋体" w:hAnsi="Arial" w:cs="Arial"/>
                <w:sz w:val="18"/>
                <w:szCs w:val="18"/>
              </w:rPr>
              <w:t>Finance - current</w:t>
            </w:r>
          </w:p>
        </w:tc>
        <w:tc>
          <w:tcPr>
            <w:tcW w:w="0" w:type="auto"/>
            <w:shd w:val="clear" w:color="auto" w:fill="auto"/>
            <w:tcMar>
              <w:top w:w="40" w:type="dxa"/>
              <w:left w:w="40" w:type="dxa"/>
              <w:bottom w:w="40" w:type="dxa"/>
              <w:right w:w="40" w:type="dxa"/>
            </w:tcMar>
            <w:vAlign w:val="bottom"/>
          </w:tcPr>
          <w:p w14:paraId="0BC9A0B5" w14:textId="77777777" w:rsidR="009F0928" w:rsidRDefault="002112BD">
            <w:pPr>
              <w:textAlignment w:val="bottom"/>
              <w:rPr>
                <w:rFonts w:ascii="Times New Roman" w:hAnsi="Times New Roman"/>
                <w:sz w:val="18"/>
                <w:szCs w:val="18"/>
              </w:rPr>
            </w:pPr>
            <w:r>
              <w:rPr>
                <w:rFonts w:ascii="Arial" w:eastAsia="宋体" w:hAnsi="Arial" w:cs="Arial"/>
                <w:sz w:val="18"/>
                <w:szCs w:val="18"/>
              </w:rPr>
              <w:t>Short-term debt</w:t>
            </w:r>
          </w:p>
        </w:tc>
        <w:tc>
          <w:tcPr>
            <w:tcW w:w="0" w:type="auto"/>
            <w:gridSpan w:val="2"/>
            <w:shd w:val="clear" w:color="auto" w:fill="auto"/>
            <w:tcMar>
              <w:top w:w="40" w:type="dxa"/>
              <w:left w:w="40" w:type="dxa"/>
              <w:bottom w:w="40" w:type="dxa"/>
            </w:tcMar>
            <w:vAlign w:val="bottom"/>
          </w:tcPr>
          <w:p w14:paraId="0BC9A0B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w:t>
            </w:r>
          </w:p>
        </w:tc>
        <w:tc>
          <w:tcPr>
            <w:tcW w:w="0" w:type="auto"/>
            <w:shd w:val="clear" w:color="auto" w:fill="auto"/>
            <w:vAlign w:val="bottom"/>
          </w:tcPr>
          <w:p w14:paraId="0BC9A0B7" w14:textId="77777777" w:rsidR="009F0928" w:rsidRDefault="009F0928">
            <w:pPr>
              <w:textAlignment w:val="bottom"/>
              <w:rPr>
                <w:rFonts w:ascii="Times New Roman" w:hAnsi="Times New Roman"/>
                <w:sz w:val="20"/>
                <w:szCs w:val="20"/>
              </w:rPr>
            </w:pPr>
          </w:p>
        </w:tc>
      </w:tr>
      <w:tr w:rsidR="009F0928" w14:paraId="0BC9A0BD" w14:textId="77777777">
        <w:tc>
          <w:tcPr>
            <w:tcW w:w="0" w:type="auto"/>
            <w:shd w:val="clear" w:color="auto" w:fill="E2E2E2"/>
            <w:tcMar>
              <w:top w:w="40" w:type="dxa"/>
              <w:left w:w="40" w:type="dxa"/>
              <w:bottom w:w="40" w:type="dxa"/>
              <w:right w:w="40" w:type="dxa"/>
            </w:tcMar>
            <w:vAlign w:val="bottom"/>
          </w:tcPr>
          <w:p w14:paraId="0BC9A0B9" w14:textId="77777777" w:rsidR="009F0928" w:rsidRDefault="002112BD">
            <w:pPr>
              <w:textAlignment w:val="bottom"/>
              <w:rPr>
                <w:rFonts w:ascii="Times New Roman" w:hAnsi="Times New Roman"/>
                <w:sz w:val="18"/>
                <w:szCs w:val="18"/>
              </w:rPr>
            </w:pPr>
            <w:r>
              <w:rPr>
                <w:rFonts w:ascii="Arial" w:eastAsia="宋体" w:hAnsi="Arial" w:cs="Arial"/>
                <w:sz w:val="18"/>
                <w:szCs w:val="18"/>
              </w:rPr>
              <w:t>Operating - noncurrent</w:t>
            </w:r>
          </w:p>
        </w:tc>
        <w:tc>
          <w:tcPr>
            <w:tcW w:w="0" w:type="auto"/>
            <w:shd w:val="clear" w:color="auto" w:fill="E2E2E2"/>
            <w:tcMar>
              <w:top w:w="40" w:type="dxa"/>
              <w:left w:w="40" w:type="dxa"/>
              <w:bottom w:w="40" w:type="dxa"/>
              <w:right w:w="40" w:type="dxa"/>
            </w:tcMar>
            <w:vAlign w:val="bottom"/>
          </w:tcPr>
          <w:p w14:paraId="0BC9A0BA" w14:textId="77777777" w:rsidR="009F0928" w:rsidRDefault="002112BD">
            <w:pPr>
              <w:textAlignment w:val="bottom"/>
              <w:rPr>
                <w:rFonts w:ascii="Times New Roman" w:hAnsi="Times New Roman"/>
                <w:sz w:val="18"/>
                <w:szCs w:val="18"/>
              </w:rPr>
            </w:pPr>
            <w:r>
              <w:rPr>
                <w:rFonts w:ascii="Arial" w:eastAsia="宋体" w:hAnsi="Arial" w:cs="Arial"/>
                <w:sz w:val="18"/>
                <w:szCs w:val="18"/>
              </w:rPr>
              <w:t>Operating lease liabilities</w:t>
            </w:r>
          </w:p>
        </w:tc>
        <w:tc>
          <w:tcPr>
            <w:tcW w:w="0" w:type="auto"/>
            <w:gridSpan w:val="2"/>
            <w:shd w:val="clear" w:color="auto" w:fill="E2E2E2"/>
            <w:tcMar>
              <w:top w:w="40" w:type="dxa"/>
              <w:left w:w="40" w:type="dxa"/>
              <w:bottom w:w="40" w:type="dxa"/>
            </w:tcMar>
            <w:vAlign w:val="bottom"/>
          </w:tcPr>
          <w:p w14:paraId="0BC9A0B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492</w:t>
            </w:r>
          </w:p>
        </w:tc>
        <w:tc>
          <w:tcPr>
            <w:tcW w:w="0" w:type="auto"/>
            <w:shd w:val="clear" w:color="auto" w:fill="E2E2E2"/>
            <w:vAlign w:val="bottom"/>
          </w:tcPr>
          <w:p w14:paraId="0BC9A0BC" w14:textId="77777777" w:rsidR="009F0928" w:rsidRDefault="009F0928">
            <w:pPr>
              <w:textAlignment w:val="bottom"/>
              <w:rPr>
                <w:rFonts w:ascii="Times New Roman" w:hAnsi="Times New Roman"/>
                <w:sz w:val="20"/>
                <w:szCs w:val="20"/>
              </w:rPr>
            </w:pPr>
          </w:p>
        </w:tc>
      </w:tr>
      <w:tr w:rsidR="009F0928" w14:paraId="0BC9A0C2" w14:textId="77777777">
        <w:tc>
          <w:tcPr>
            <w:tcW w:w="0" w:type="auto"/>
            <w:shd w:val="clear" w:color="auto" w:fill="auto"/>
            <w:tcMar>
              <w:top w:w="40" w:type="dxa"/>
              <w:left w:w="40" w:type="dxa"/>
              <w:bottom w:w="40" w:type="dxa"/>
              <w:right w:w="40" w:type="dxa"/>
            </w:tcMar>
            <w:vAlign w:val="bottom"/>
          </w:tcPr>
          <w:p w14:paraId="0BC9A0BE" w14:textId="77777777" w:rsidR="009F0928" w:rsidRDefault="002112BD">
            <w:pPr>
              <w:textAlignment w:val="bottom"/>
              <w:rPr>
                <w:rFonts w:ascii="Times New Roman" w:hAnsi="Times New Roman"/>
                <w:sz w:val="18"/>
                <w:szCs w:val="18"/>
              </w:rPr>
            </w:pPr>
            <w:r>
              <w:rPr>
                <w:rFonts w:ascii="Arial" w:eastAsia="宋体" w:hAnsi="Arial" w:cs="Arial"/>
                <w:sz w:val="18"/>
                <w:szCs w:val="18"/>
              </w:rPr>
              <w:t>Finance - noncurrent</w:t>
            </w:r>
          </w:p>
        </w:tc>
        <w:tc>
          <w:tcPr>
            <w:tcW w:w="0" w:type="auto"/>
            <w:shd w:val="clear" w:color="auto" w:fill="auto"/>
            <w:tcMar>
              <w:top w:w="40" w:type="dxa"/>
              <w:left w:w="40" w:type="dxa"/>
              <w:bottom w:w="40" w:type="dxa"/>
              <w:right w:w="40" w:type="dxa"/>
            </w:tcMar>
            <w:vAlign w:val="bottom"/>
          </w:tcPr>
          <w:p w14:paraId="0BC9A0BF" w14:textId="77777777" w:rsidR="009F0928" w:rsidRDefault="002112BD">
            <w:pPr>
              <w:textAlignment w:val="bottom"/>
              <w:rPr>
                <w:rFonts w:ascii="Times New Roman" w:hAnsi="Times New Roman"/>
                <w:sz w:val="18"/>
                <w:szCs w:val="18"/>
              </w:rPr>
            </w:pPr>
            <w:r>
              <w:rPr>
                <w:rFonts w:ascii="Arial" w:eastAsia="宋体" w:hAnsi="Arial" w:cs="Arial"/>
                <w:sz w:val="18"/>
                <w:szCs w:val="18"/>
              </w:rPr>
              <w:t>Long-term debt</w:t>
            </w:r>
          </w:p>
        </w:tc>
        <w:tc>
          <w:tcPr>
            <w:tcW w:w="0" w:type="auto"/>
            <w:gridSpan w:val="2"/>
            <w:shd w:val="clear" w:color="auto" w:fill="auto"/>
            <w:tcMar>
              <w:top w:w="40" w:type="dxa"/>
              <w:left w:w="40" w:type="dxa"/>
              <w:bottom w:w="40" w:type="dxa"/>
            </w:tcMar>
            <w:vAlign w:val="bottom"/>
          </w:tcPr>
          <w:p w14:paraId="0BC9A0C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16</w:t>
            </w:r>
          </w:p>
        </w:tc>
        <w:tc>
          <w:tcPr>
            <w:tcW w:w="0" w:type="auto"/>
            <w:shd w:val="clear" w:color="auto" w:fill="auto"/>
            <w:vAlign w:val="bottom"/>
          </w:tcPr>
          <w:p w14:paraId="0BC9A0C1" w14:textId="77777777" w:rsidR="009F0928" w:rsidRDefault="009F0928">
            <w:pPr>
              <w:textAlignment w:val="bottom"/>
              <w:rPr>
                <w:rFonts w:ascii="Times New Roman" w:hAnsi="Times New Roman"/>
                <w:sz w:val="20"/>
                <w:szCs w:val="20"/>
              </w:rPr>
            </w:pPr>
          </w:p>
        </w:tc>
      </w:tr>
      <w:tr w:rsidR="009F0928" w14:paraId="0BC9A0C8" w14:textId="77777777">
        <w:tc>
          <w:tcPr>
            <w:tcW w:w="0" w:type="auto"/>
            <w:shd w:val="clear" w:color="auto" w:fill="E2E2E2"/>
            <w:tcMar>
              <w:top w:w="40" w:type="dxa"/>
              <w:left w:w="400" w:type="dxa"/>
              <w:bottom w:w="40" w:type="dxa"/>
              <w:right w:w="40" w:type="dxa"/>
            </w:tcMar>
            <w:vAlign w:val="bottom"/>
          </w:tcPr>
          <w:p w14:paraId="0BC9A0C3"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Total lease </w:t>
            </w:r>
            <w:r>
              <w:rPr>
                <w:rFonts w:ascii="Arial" w:eastAsia="宋体" w:hAnsi="Arial" w:cs="Arial"/>
                <w:sz w:val="18"/>
                <w:szCs w:val="18"/>
              </w:rPr>
              <w:t>liabilities</w:t>
            </w:r>
          </w:p>
        </w:tc>
        <w:tc>
          <w:tcPr>
            <w:tcW w:w="0" w:type="auto"/>
            <w:shd w:val="clear" w:color="auto" w:fill="E2E2E2"/>
            <w:tcMar>
              <w:top w:w="40" w:type="dxa"/>
              <w:left w:w="40" w:type="dxa"/>
              <w:bottom w:w="40" w:type="dxa"/>
              <w:right w:w="40" w:type="dxa"/>
            </w:tcMar>
            <w:vAlign w:val="bottom"/>
          </w:tcPr>
          <w:p w14:paraId="0BC9A0C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0C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0C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689</w:t>
            </w:r>
          </w:p>
        </w:tc>
        <w:tc>
          <w:tcPr>
            <w:tcW w:w="0" w:type="auto"/>
            <w:tcBorders>
              <w:top w:val="single" w:sz="8" w:space="0" w:color="000000"/>
              <w:bottom w:val="double" w:sz="6" w:space="0" w:color="000000"/>
            </w:tcBorders>
            <w:shd w:val="clear" w:color="auto" w:fill="E2E2E2"/>
            <w:vAlign w:val="bottom"/>
          </w:tcPr>
          <w:p w14:paraId="0BC9A0C7" w14:textId="77777777" w:rsidR="009F0928" w:rsidRDefault="009F0928">
            <w:pPr>
              <w:textAlignment w:val="bottom"/>
              <w:rPr>
                <w:rFonts w:ascii="Times New Roman" w:hAnsi="Times New Roman"/>
                <w:sz w:val="20"/>
                <w:szCs w:val="20"/>
              </w:rPr>
            </w:pPr>
          </w:p>
        </w:tc>
      </w:tr>
    </w:tbl>
    <w:p w14:paraId="0BC9A0C9" w14:textId="77777777" w:rsidR="009F0928" w:rsidRDefault="002112BD">
      <w:pPr>
        <w:spacing w:line="288" w:lineRule="auto"/>
        <w:rPr>
          <w:rFonts w:ascii="Times New Roman" w:hAnsi="Times New Roman"/>
          <w:sz w:val="20"/>
          <w:szCs w:val="20"/>
        </w:rPr>
      </w:pPr>
      <w:r>
        <w:rPr>
          <w:rFonts w:ascii="Arial" w:eastAsia="宋体" w:hAnsi="Arial" w:cs="Arial"/>
          <w:sz w:val="14"/>
          <w:szCs w:val="14"/>
        </w:rPr>
        <w:t> </w:t>
      </w:r>
    </w:p>
    <w:p w14:paraId="0BC9A0CA" w14:textId="77777777" w:rsidR="009F0928" w:rsidRDefault="009F0928">
      <w:pPr>
        <w:spacing w:line="288" w:lineRule="auto"/>
        <w:jc w:val="both"/>
        <w:rPr>
          <w:rFonts w:ascii="Times New Roman" w:hAnsi="Times New Roman"/>
          <w:sz w:val="14"/>
          <w:szCs w:val="14"/>
        </w:rPr>
      </w:pPr>
    </w:p>
    <w:tbl>
      <w:tblPr>
        <w:tblW w:w="0" w:type="auto"/>
        <w:tblCellSpacing w:w="0" w:type="dxa"/>
        <w:tblCellMar>
          <w:left w:w="0" w:type="dxa"/>
          <w:right w:w="0" w:type="dxa"/>
        </w:tblCellMar>
        <w:tblLook w:val="04A0" w:firstRow="1" w:lastRow="0" w:firstColumn="1" w:lastColumn="0" w:noHBand="0" w:noVBand="1"/>
      </w:tblPr>
      <w:tblGrid>
        <w:gridCol w:w="480"/>
        <w:gridCol w:w="5790"/>
      </w:tblGrid>
      <w:tr w:rsidR="009F0928" w14:paraId="0BC9A0CD" w14:textId="77777777">
        <w:trPr>
          <w:tblCellSpacing w:w="0" w:type="dxa"/>
        </w:trPr>
        <w:tc>
          <w:tcPr>
            <w:tcW w:w="480" w:type="dxa"/>
            <w:shd w:val="clear" w:color="auto" w:fill="auto"/>
            <w:vAlign w:val="center"/>
          </w:tcPr>
          <w:p w14:paraId="0BC9A0CB" w14:textId="77777777" w:rsidR="009F0928" w:rsidRDefault="009F0928">
            <w:pPr>
              <w:rPr>
                <w:rFonts w:ascii="Times New Roman" w:hAnsi="Times New Roman"/>
                <w:sz w:val="20"/>
                <w:szCs w:val="20"/>
              </w:rPr>
            </w:pPr>
          </w:p>
        </w:tc>
        <w:tc>
          <w:tcPr>
            <w:tcW w:w="0" w:type="auto"/>
            <w:shd w:val="clear" w:color="auto" w:fill="auto"/>
            <w:vAlign w:val="center"/>
          </w:tcPr>
          <w:p w14:paraId="0BC9A0CC" w14:textId="77777777" w:rsidR="009F0928" w:rsidRDefault="009F0928">
            <w:pPr>
              <w:rPr>
                <w:rFonts w:ascii="Times New Roman" w:hAnsi="Times New Roman"/>
                <w:sz w:val="20"/>
                <w:szCs w:val="20"/>
              </w:rPr>
            </w:pPr>
          </w:p>
        </w:tc>
      </w:tr>
      <w:tr w:rsidR="009F0928" w14:paraId="0BC9A0D0" w14:textId="77777777">
        <w:trPr>
          <w:tblCellSpacing w:w="0" w:type="dxa"/>
        </w:trPr>
        <w:tc>
          <w:tcPr>
            <w:tcW w:w="0" w:type="auto"/>
            <w:shd w:val="clear" w:color="auto" w:fill="auto"/>
          </w:tcPr>
          <w:p w14:paraId="0BC9A0CE"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(1)</w:t>
            </w:r>
          </w:p>
        </w:tc>
        <w:tc>
          <w:tcPr>
            <w:tcW w:w="0" w:type="auto"/>
            <w:shd w:val="clear" w:color="auto" w:fill="auto"/>
          </w:tcPr>
          <w:p w14:paraId="0BC9A0CF"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Recorded net of accumulated amortization of $2 million as of December 31, 2019.</w:t>
            </w:r>
          </w:p>
        </w:tc>
      </w:tr>
    </w:tbl>
    <w:p w14:paraId="0BC9A0D1" w14:textId="77777777" w:rsidR="009F0928" w:rsidRDefault="009F0928">
      <w:pPr>
        <w:rPr>
          <w:rFonts w:ascii="Times New Roman" w:hAnsi="Times New Roman"/>
          <w:sz w:val="20"/>
          <w:szCs w:val="20"/>
        </w:rPr>
      </w:pPr>
    </w:p>
    <w:p w14:paraId="0BC9A0D2"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F-32</w:t>
      </w:r>
    </w:p>
    <w:p w14:paraId="0BC9A0D3" w14:textId="77777777" w:rsidR="009F0928" w:rsidRDefault="002112BD">
      <w:r>
        <w:rPr>
          <w:rFonts w:ascii="Times New Roman" w:hAnsi="Times New Roman"/>
          <w:sz w:val="18"/>
          <w:szCs w:val="18"/>
        </w:rPr>
        <w:pict w14:anchorId="0BC9B51A">
          <v:rect id="_x0000_i1118" style="width:415.3pt;height:1.5pt" o:hralign="center" o:hrstd="t" o:hr="t" fillcolor="#a0a0a0" stroked="f"/>
        </w:pict>
      </w:r>
    </w:p>
    <w:p w14:paraId="0BC9A0D4" w14:textId="77777777" w:rsidR="009F0928" w:rsidRDefault="009F0928">
      <w:pPr>
        <w:spacing w:line="288" w:lineRule="auto"/>
        <w:rPr>
          <w:rFonts w:ascii="Times New Roman" w:hAnsi="Times New Roman"/>
          <w:sz w:val="20"/>
          <w:szCs w:val="20"/>
        </w:rPr>
      </w:pPr>
    </w:p>
    <w:p w14:paraId="0BC9A0D5" w14:textId="77777777" w:rsidR="009F0928" w:rsidRDefault="009F0928">
      <w:pPr>
        <w:rPr>
          <w:rFonts w:ascii="Times New Roman" w:hAnsi="Times New Roman"/>
          <w:sz w:val="20"/>
          <w:szCs w:val="20"/>
        </w:rPr>
      </w:pPr>
    </w:p>
    <w:p w14:paraId="0BC9A0D6" w14:textId="77777777" w:rsidR="009F0928" w:rsidRDefault="009F0928">
      <w:pPr>
        <w:spacing w:line="288" w:lineRule="auto"/>
        <w:jc w:val="both"/>
        <w:rPr>
          <w:rFonts w:ascii="Times New Roman" w:hAnsi="Times New Roman"/>
          <w:sz w:val="20"/>
          <w:szCs w:val="20"/>
        </w:rPr>
      </w:pPr>
    </w:p>
    <w:p w14:paraId="0BC9A0D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components of lease expense for the year ended December 31, 2019 were as follows (in millions):</w:t>
      </w:r>
    </w:p>
    <w:tbl>
      <w:tblPr>
        <w:tblW w:w="5000" w:type="pct"/>
        <w:tblCellMar>
          <w:left w:w="0" w:type="dxa"/>
          <w:right w:w="0" w:type="dxa"/>
        </w:tblCellMar>
        <w:tblLook w:val="04A0" w:firstRow="1" w:lastRow="0" w:firstColumn="1" w:lastColumn="0" w:noHBand="0" w:noVBand="1"/>
      </w:tblPr>
      <w:tblGrid>
        <w:gridCol w:w="2050"/>
        <w:gridCol w:w="4624"/>
        <w:gridCol w:w="130"/>
        <w:gridCol w:w="142"/>
        <w:gridCol w:w="1303"/>
        <w:gridCol w:w="57"/>
      </w:tblGrid>
      <w:tr w:rsidR="009F0928" w14:paraId="0BC9A0D9" w14:textId="77777777">
        <w:tc>
          <w:tcPr>
            <w:tcW w:w="0" w:type="auto"/>
            <w:gridSpan w:val="6"/>
            <w:shd w:val="clear" w:color="auto" w:fill="auto"/>
            <w:vAlign w:val="center"/>
          </w:tcPr>
          <w:p w14:paraId="0BC9A0D8" w14:textId="77777777" w:rsidR="009F0928" w:rsidRDefault="009F0928">
            <w:pPr>
              <w:rPr>
                <w:rFonts w:ascii="Times New Roman" w:hAnsi="Times New Roman"/>
                <w:sz w:val="20"/>
                <w:szCs w:val="20"/>
              </w:rPr>
            </w:pPr>
          </w:p>
        </w:tc>
      </w:tr>
      <w:tr w:rsidR="009F0928" w14:paraId="0BC9A0E0" w14:textId="77777777">
        <w:tc>
          <w:tcPr>
            <w:tcW w:w="1250" w:type="pct"/>
            <w:shd w:val="clear" w:color="auto" w:fill="auto"/>
            <w:vAlign w:val="center"/>
          </w:tcPr>
          <w:p w14:paraId="0BC9A0DA" w14:textId="77777777" w:rsidR="009F0928" w:rsidRDefault="009F0928">
            <w:pPr>
              <w:rPr>
                <w:rFonts w:ascii="Times New Roman" w:hAnsi="Times New Roman"/>
                <w:sz w:val="20"/>
                <w:szCs w:val="20"/>
              </w:rPr>
            </w:pPr>
          </w:p>
        </w:tc>
        <w:tc>
          <w:tcPr>
            <w:tcW w:w="2800" w:type="pct"/>
            <w:shd w:val="clear" w:color="auto" w:fill="auto"/>
            <w:vAlign w:val="center"/>
          </w:tcPr>
          <w:p w14:paraId="0BC9A0DB" w14:textId="77777777" w:rsidR="009F0928" w:rsidRDefault="009F0928">
            <w:pPr>
              <w:rPr>
                <w:rFonts w:ascii="Times New Roman" w:hAnsi="Times New Roman"/>
                <w:sz w:val="20"/>
                <w:szCs w:val="20"/>
              </w:rPr>
            </w:pPr>
          </w:p>
        </w:tc>
        <w:tc>
          <w:tcPr>
            <w:tcW w:w="50" w:type="pct"/>
            <w:shd w:val="clear" w:color="auto" w:fill="auto"/>
            <w:vAlign w:val="center"/>
          </w:tcPr>
          <w:p w14:paraId="0BC9A0DC" w14:textId="77777777" w:rsidR="009F0928" w:rsidRDefault="009F0928">
            <w:pPr>
              <w:rPr>
                <w:rFonts w:ascii="Times New Roman" w:hAnsi="Times New Roman"/>
                <w:sz w:val="20"/>
                <w:szCs w:val="20"/>
              </w:rPr>
            </w:pPr>
          </w:p>
        </w:tc>
        <w:tc>
          <w:tcPr>
            <w:tcW w:w="50" w:type="pct"/>
            <w:shd w:val="clear" w:color="auto" w:fill="auto"/>
            <w:vAlign w:val="center"/>
          </w:tcPr>
          <w:p w14:paraId="0BC9A0DD" w14:textId="77777777" w:rsidR="009F0928" w:rsidRDefault="009F0928">
            <w:pPr>
              <w:rPr>
                <w:rFonts w:ascii="Times New Roman" w:hAnsi="Times New Roman"/>
                <w:sz w:val="20"/>
                <w:szCs w:val="20"/>
              </w:rPr>
            </w:pPr>
          </w:p>
        </w:tc>
        <w:tc>
          <w:tcPr>
            <w:tcW w:w="800" w:type="pct"/>
            <w:shd w:val="clear" w:color="auto" w:fill="auto"/>
            <w:vAlign w:val="center"/>
          </w:tcPr>
          <w:p w14:paraId="0BC9A0DE" w14:textId="77777777" w:rsidR="009F0928" w:rsidRDefault="009F0928">
            <w:pPr>
              <w:rPr>
                <w:rFonts w:ascii="Times New Roman" w:hAnsi="Times New Roman"/>
                <w:sz w:val="20"/>
                <w:szCs w:val="20"/>
              </w:rPr>
            </w:pPr>
          </w:p>
        </w:tc>
        <w:tc>
          <w:tcPr>
            <w:tcW w:w="50" w:type="pct"/>
            <w:shd w:val="clear" w:color="auto" w:fill="auto"/>
            <w:vAlign w:val="center"/>
          </w:tcPr>
          <w:p w14:paraId="0BC9A0DF" w14:textId="77777777" w:rsidR="009F0928" w:rsidRDefault="009F0928">
            <w:pPr>
              <w:rPr>
                <w:rFonts w:ascii="Times New Roman" w:hAnsi="Times New Roman"/>
                <w:sz w:val="20"/>
                <w:szCs w:val="20"/>
              </w:rPr>
            </w:pPr>
          </w:p>
        </w:tc>
      </w:tr>
      <w:tr w:rsidR="009F0928" w14:paraId="0BC9A0E5" w14:textId="77777777">
        <w:tc>
          <w:tcPr>
            <w:tcW w:w="0" w:type="auto"/>
            <w:shd w:val="clear" w:color="auto" w:fill="auto"/>
            <w:tcMar>
              <w:top w:w="40" w:type="dxa"/>
              <w:left w:w="40" w:type="dxa"/>
              <w:bottom w:w="40" w:type="dxa"/>
              <w:right w:w="40" w:type="dxa"/>
            </w:tcMar>
            <w:vAlign w:val="bottom"/>
          </w:tcPr>
          <w:p w14:paraId="0BC9A0E1" w14:textId="77777777" w:rsidR="009F0928" w:rsidRDefault="002112BD">
            <w:pPr>
              <w:textAlignment w:val="bottom"/>
              <w:rPr>
                <w:rFonts w:ascii="Times New Roman" w:hAnsi="Times New Roman"/>
                <w:sz w:val="16"/>
                <w:szCs w:val="16"/>
              </w:rPr>
            </w:pPr>
            <w:r>
              <w:rPr>
                <w:rFonts w:ascii="Arial" w:eastAsia="宋体" w:hAnsi="Arial" w:cs="Arial"/>
                <w:b/>
                <w:bCs/>
                <w:sz w:val="16"/>
                <w:szCs w:val="16"/>
              </w:rPr>
              <w:t>Lease Costs</w:t>
            </w:r>
          </w:p>
        </w:tc>
        <w:tc>
          <w:tcPr>
            <w:tcW w:w="0" w:type="auto"/>
            <w:shd w:val="clear" w:color="auto" w:fill="auto"/>
            <w:tcMar>
              <w:top w:w="40" w:type="dxa"/>
              <w:left w:w="40" w:type="dxa"/>
              <w:bottom w:w="40" w:type="dxa"/>
              <w:right w:w="40" w:type="dxa"/>
            </w:tcMar>
            <w:vAlign w:val="bottom"/>
          </w:tcPr>
          <w:p w14:paraId="0BC9A0E2" w14:textId="77777777" w:rsidR="009F0928" w:rsidRDefault="002112BD">
            <w:pPr>
              <w:textAlignment w:val="bottom"/>
              <w:rPr>
                <w:rFonts w:ascii="Times New Roman" w:hAnsi="Times New Roman"/>
                <w:sz w:val="16"/>
                <w:szCs w:val="16"/>
              </w:rPr>
            </w:pPr>
            <w:r>
              <w:rPr>
                <w:rFonts w:ascii="Arial" w:eastAsia="宋体" w:hAnsi="Arial" w:cs="Arial"/>
                <w:b/>
                <w:bCs/>
                <w:sz w:val="16"/>
                <w:szCs w:val="16"/>
              </w:rPr>
              <w:t>Statement of Income Location</w:t>
            </w:r>
          </w:p>
        </w:tc>
        <w:tc>
          <w:tcPr>
            <w:tcW w:w="0" w:type="auto"/>
            <w:shd w:val="clear" w:color="auto" w:fill="auto"/>
            <w:tcMar>
              <w:top w:w="40" w:type="dxa"/>
              <w:left w:w="40" w:type="dxa"/>
              <w:bottom w:w="40" w:type="dxa"/>
              <w:right w:w="40" w:type="dxa"/>
            </w:tcMar>
            <w:vAlign w:val="bottom"/>
          </w:tcPr>
          <w:p w14:paraId="0BC9A0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0E4"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 2019</w:t>
            </w:r>
          </w:p>
        </w:tc>
      </w:tr>
      <w:tr w:rsidR="009F0928" w14:paraId="0BC9A0EA" w14:textId="77777777">
        <w:tc>
          <w:tcPr>
            <w:tcW w:w="0" w:type="auto"/>
            <w:shd w:val="clear" w:color="auto" w:fill="E2E2E2"/>
            <w:tcMar>
              <w:top w:w="40" w:type="dxa"/>
              <w:left w:w="40" w:type="dxa"/>
              <w:bottom w:w="40" w:type="dxa"/>
              <w:right w:w="40" w:type="dxa"/>
            </w:tcMar>
            <w:vAlign w:val="bottom"/>
          </w:tcPr>
          <w:p w14:paraId="0BC9A0E6" w14:textId="77777777" w:rsidR="009F0928" w:rsidRDefault="002112BD">
            <w:pPr>
              <w:textAlignment w:val="bottom"/>
              <w:rPr>
                <w:rFonts w:ascii="Times New Roman" w:hAnsi="Times New Roman"/>
                <w:sz w:val="18"/>
                <w:szCs w:val="18"/>
              </w:rPr>
            </w:pPr>
            <w:r>
              <w:rPr>
                <w:rFonts w:ascii="Arial" w:eastAsia="宋体" w:hAnsi="Arial" w:cs="Arial"/>
                <w:sz w:val="18"/>
                <w:szCs w:val="18"/>
              </w:rPr>
              <w:t>Finance lease cost:</w:t>
            </w:r>
          </w:p>
        </w:tc>
        <w:tc>
          <w:tcPr>
            <w:tcW w:w="0" w:type="auto"/>
            <w:shd w:val="clear" w:color="auto" w:fill="E2E2E2"/>
            <w:tcMar>
              <w:top w:w="40" w:type="dxa"/>
              <w:left w:w="40" w:type="dxa"/>
              <w:bottom w:w="40" w:type="dxa"/>
              <w:right w:w="40" w:type="dxa"/>
            </w:tcMar>
            <w:vAlign w:val="bottom"/>
          </w:tcPr>
          <w:p w14:paraId="0BC9A0E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0E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0E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0F1" w14:textId="77777777">
        <w:tc>
          <w:tcPr>
            <w:tcW w:w="0" w:type="auto"/>
            <w:shd w:val="clear" w:color="auto" w:fill="auto"/>
            <w:tcMar>
              <w:top w:w="40" w:type="dxa"/>
              <w:left w:w="400" w:type="dxa"/>
              <w:bottom w:w="40" w:type="dxa"/>
              <w:right w:w="40" w:type="dxa"/>
            </w:tcMar>
            <w:vAlign w:val="bottom"/>
          </w:tcPr>
          <w:p w14:paraId="0BC9A0EB" w14:textId="77777777" w:rsidR="009F0928" w:rsidRDefault="002112BD">
            <w:pPr>
              <w:textAlignment w:val="bottom"/>
              <w:rPr>
                <w:rFonts w:ascii="Times New Roman" w:hAnsi="Times New Roman"/>
                <w:sz w:val="18"/>
                <w:szCs w:val="18"/>
              </w:rPr>
            </w:pPr>
            <w:r>
              <w:rPr>
                <w:rFonts w:ascii="Arial" w:eastAsia="宋体" w:hAnsi="Arial" w:cs="Arial"/>
                <w:sz w:val="18"/>
                <w:szCs w:val="18"/>
              </w:rPr>
              <w:t>Amortization of right-of-use assets</w:t>
            </w:r>
          </w:p>
        </w:tc>
        <w:tc>
          <w:tcPr>
            <w:tcW w:w="0" w:type="auto"/>
            <w:shd w:val="clear" w:color="auto" w:fill="auto"/>
            <w:tcMar>
              <w:top w:w="40" w:type="dxa"/>
              <w:left w:w="40" w:type="dxa"/>
              <w:bottom w:w="40" w:type="dxa"/>
              <w:right w:w="40" w:type="dxa"/>
            </w:tcMar>
            <w:vAlign w:val="bottom"/>
          </w:tcPr>
          <w:p w14:paraId="0BC9A0EC" w14:textId="77777777" w:rsidR="009F0928" w:rsidRDefault="002112BD">
            <w:pPr>
              <w:textAlignment w:val="bottom"/>
              <w:rPr>
                <w:rFonts w:ascii="Times New Roman" w:hAnsi="Times New Roman"/>
                <w:sz w:val="18"/>
                <w:szCs w:val="18"/>
              </w:rPr>
            </w:pPr>
            <w:r>
              <w:rPr>
                <w:rFonts w:ascii="Arial" w:eastAsia="宋体" w:hAnsi="Arial" w:cs="Arial"/>
                <w:sz w:val="18"/>
                <w:szCs w:val="18"/>
              </w:rPr>
              <w:t>Cost of net revenues</w:t>
            </w:r>
          </w:p>
        </w:tc>
        <w:tc>
          <w:tcPr>
            <w:tcW w:w="0" w:type="auto"/>
            <w:shd w:val="clear" w:color="auto" w:fill="auto"/>
            <w:tcMar>
              <w:top w:w="40" w:type="dxa"/>
              <w:left w:w="40" w:type="dxa"/>
              <w:bottom w:w="40" w:type="dxa"/>
              <w:right w:w="40" w:type="dxa"/>
            </w:tcMar>
            <w:vAlign w:val="bottom"/>
          </w:tcPr>
          <w:p w14:paraId="0BC9A0E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0E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0E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w:t>
            </w:r>
          </w:p>
        </w:tc>
        <w:tc>
          <w:tcPr>
            <w:tcW w:w="0" w:type="auto"/>
            <w:shd w:val="clear" w:color="auto" w:fill="auto"/>
            <w:vAlign w:val="bottom"/>
          </w:tcPr>
          <w:p w14:paraId="0BC9A0F0" w14:textId="77777777" w:rsidR="009F0928" w:rsidRDefault="009F0928">
            <w:pPr>
              <w:textAlignment w:val="bottom"/>
              <w:rPr>
                <w:rFonts w:ascii="Times New Roman" w:hAnsi="Times New Roman"/>
                <w:sz w:val="20"/>
                <w:szCs w:val="20"/>
              </w:rPr>
            </w:pPr>
          </w:p>
        </w:tc>
      </w:tr>
      <w:tr w:rsidR="009F0928" w14:paraId="0BC9A0F7" w14:textId="77777777">
        <w:tc>
          <w:tcPr>
            <w:tcW w:w="0" w:type="auto"/>
            <w:shd w:val="clear" w:color="auto" w:fill="E2E2E2"/>
            <w:tcMar>
              <w:top w:w="40" w:type="dxa"/>
              <w:left w:w="400" w:type="dxa"/>
              <w:bottom w:w="40" w:type="dxa"/>
              <w:right w:w="40" w:type="dxa"/>
            </w:tcMar>
            <w:vAlign w:val="bottom"/>
          </w:tcPr>
          <w:p w14:paraId="0BC9A0F2" w14:textId="77777777" w:rsidR="009F0928" w:rsidRDefault="002112BD">
            <w:pPr>
              <w:textAlignment w:val="bottom"/>
              <w:rPr>
                <w:rFonts w:ascii="Times New Roman" w:hAnsi="Times New Roman"/>
                <w:sz w:val="18"/>
                <w:szCs w:val="18"/>
              </w:rPr>
            </w:pPr>
            <w:r>
              <w:rPr>
                <w:rFonts w:ascii="Arial" w:eastAsia="宋体" w:hAnsi="Arial" w:cs="Arial"/>
                <w:sz w:val="18"/>
                <w:szCs w:val="18"/>
              </w:rPr>
              <w:t>Interest on lease liabilities</w:t>
            </w:r>
          </w:p>
        </w:tc>
        <w:tc>
          <w:tcPr>
            <w:tcW w:w="0" w:type="auto"/>
            <w:shd w:val="clear" w:color="auto" w:fill="E2E2E2"/>
            <w:tcMar>
              <w:top w:w="40" w:type="dxa"/>
              <w:left w:w="40" w:type="dxa"/>
              <w:bottom w:w="40" w:type="dxa"/>
              <w:right w:w="40" w:type="dxa"/>
            </w:tcMar>
            <w:vAlign w:val="bottom"/>
          </w:tcPr>
          <w:p w14:paraId="0BC9A0F3" w14:textId="77777777" w:rsidR="009F0928" w:rsidRDefault="002112BD">
            <w:pPr>
              <w:textAlignment w:val="bottom"/>
              <w:rPr>
                <w:rFonts w:ascii="Times New Roman" w:hAnsi="Times New Roman"/>
                <w:sz w:val="18"/>
                <w:szCs w:val="18"/>
              </w:rPr>
            </w:pPr>
            <w:r>
              <w:rPr>
                <w:rFonts w:ascii="Arial" w:eastAsia="宋体" w:hAnsi="Arial" w:cs="Arial"/>
                <w:sz w:val="18"/>
                <w:szCs w:val="18"/>
              </w:rPr>
              <w:t>Interest and other, net</w:t>
            </w:r>
          </w:p>
        </w:tc>
        <w:tc>
          <w:tcPr>
            <w:tcW w:w="0" w:type="auto"/>
            <w:shd w:val="clear" w:color="auto" w:fill="E2E2E2"/>
            <w:tcMar>
              <w:top w:w="40" w:type="dxa"/>
              <w:left w:w="40" w:type="dxa"/>
              <w:bottom w:w="40" w:type="dxa"/>
              <w:right w:w="40" w:type="dxa"/>
            </w:tcMar>
            <w:vAlign w:val="bottom"/>
          </w:tcPr>
          <w:p w14:paraId="0BC9A0F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0F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w:t>
            </w:r>
          </w:p>
        </w:tc>
        <w:tc>
          <w:tcPr>
            <w:tcW w:w="0" w:type="auto"/>
            <w:shd w:val="clear" w:color="auto" w:fill="E2E2E2"/>
            <w:vAlign w:val="bottom"/>
          </w:tcPr>
          <w:p w14:paraId="0BC9A0F6" w14:textId="77777777" w:rsidR="009F0928" w:rsidRDefault="009F0928">
            <w:pPr>
              <w:textAlignment w:val="bottom"/>
              <w:rPr>
                <w:rFonts w:ascii="Times New Roman" w:hAnsi="Times New Roman"/>
                <w:sz w:val="20"/>
                <w:szCs w:val="20"/>
              </w:rPr>
            </w:pPr>
          </w:p>
        </w:tc>
      </w:tr>
      <w:tr w:rsidR="009F0928" w14:paraId="0BC9A0FD" w14:textId="77777777">
        <w:tc>
          <w:tcPr>
            <w:tcW w:w="0" w:type="auto"/>
            <w:shd w:val="clear" w:color="auto" w:fill="auto"/>
            <w:tcMar>
              <w:top w:w="40" w:type="dxa"/>
              <w:left w:w="400" w:type="dxa"/>
              <w:bottom w:w="40" w:type="dxa"/>
              <w:right w:w="40" w:type="dxa"/>
            </w:tcMar>
            <w:vAlign w:val="bottom"/>
          </w:tcPr>
          <w:p w14:paraId="0BC9A0F8"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Operating lease cost </w:t>
            </w:r>
            <w:r>
              <w:rPr>
                <w:rFonts w:ascii="Arial" w:eastAsia="宋体" w:hAnsi="Arial" w:cs="Arial"/>
                <w:sz w:val="12"/>
                <w:szCs w:val="12"/>
              </w:rPr>
              <w:t>(2)</w:t>
            </w:r>
          </w:p>
        </w:tc>
        <w:tc>
          <w:tcPr>
            <w:tcW w:w="0" w:type="auto"/>
            <w:shd w:val="clear" w:color="auto" w:fill="auto"/>
            <w:tcMar>
              <w:top w:w="40" w:type="dxa"/>
              <w:left w:w="40" w:type="dxa"/>
              <w:bottom w:w="40" w:type="dxa"/>
              <w:right w:w="40" w:type="dxa"/>
            </w:tcMar>
          </w:tcPr>
          <w:p w14:paraId="0BC9A0F9" w14:textId="77777777" w:rsidR="009F0928" w:rsidRDefault="002112BD">
            <w:pPr>
              <w:textAlignment w:val="top"/>
              <w:rPr>
                <w:rFonts w:ascii="Times New Roman" w:hAnsi="Times New Roman"/>
                <w:sz w:val="18"/>
                <w:szCs w:val="18"/>
              </w:rPr>
            </w:pPr>
            <w:r>
              <w:rPr>
                <w:rFonts w:ascii="Arial" w:eastAsia="宋体" w:hAnsi="Arial" w:cs="Arial"/>
                <w:sz w:val="18"/>
                <w:szCs w:val="18"/>
              </w:rPr>
              <w:t xml:space="preserve">Cost of net </w:t>
            </w:r>
            <w:r>
              <w:rPr>
                <w:rFonts w:ascii="Arial" w:eastAsia="宋体" w:hAnsi="Arial" w:cs="Arial"/>
                <w:sz w:val="18"/>
                <w:szCs w:val="18"/>
              </w:rPr>
              <w:t>revenues, Sales and marketing, Product development and General and administrative expenses</w:t>
            </w:r>
          </w:p>
        </w:tc>
        <w:tc>
          <w:tcPr>
            <w:tcW w:w="0" w:type="auto"/>
            <w:shd w:val="clear" w:color="auto" w:fill="auto"/>
            <w:tcMar>
              <w:top w:w="40" w:type="dxa"/>
              <w:left w:w="40" w:type="dxa"/>
              <w:bottom w:w="40" w:type="dxa"/>
              <w:right w:w="40" w:type="dxa"/>
            </w:tcMar>
            <w:vAlign w:val="bottom"/>
          </w:tcPr>
          <w:p w14:paraId="0BC9A0F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A0F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214</w:t>
            </w:r>
          </w:p>
        </w:tc>
        <w:tc>
          <w:tcPr>
            <w:tcW w:w="0" w:type="auto"/>
            <w:tcBorders>
              <w:bottom w:val="single" w:sz="8" w:space="0" w:color="000000"/>
            </w:tcBorders>
            <w:shd w:val="clear" w:color="auto" w:fill="auto"/>
            <w:vAlign w:val="bottom"/>
          </w:tcPr>
          <w:p w14:paraId="0BC9A0FC" w14:textId="77777777" w:rsidR="009F0928" w:rsidRDefault="009F0928">
            <w:pPr>
              <w:textAlignment w:val="bottom"/>
              <w:rPr>
                <w:rFonts w:ascii="Times New Roman" w:hAnsi="Times New Roman"/>
                <w:sz w:val="20"/>
                <w:szCs w:val="20"/>
              </w:rPr>
            </w:pPr>
          </w:p>
        </w:tc>
      </w:tr>
      <w:tr w:rsidR="009F0928" w14:paraId="0BC9A104" w14:textId="77777777">
        <w:tc>
          <w:tcPr>
            <w:tcW w:w="0" w:type="auto"/>
            <w:shd w:val="clear" w:color="auto" w:fill="E2E2E2"/>
            <w:tcMar>
              <w:top w:w="40" w:type="dxa"/>
              <w:left w:w="400" w:type="dxa"/>
              <w:bottom w:w="40" w:type="dxa"/>
              <w:right w:w="40" w:type="dxa"/>
            </w:tcMar>
            <w:vAlign w:val="bottom"/>
          </w:tcPr>
          <w:p w14:paraId="0BC9A0FE"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lease cost</w:t>
            </w:r>
          </w:p>
        </w:tc>
        <w:tc>
          <w:tcPr>
            <w:tcW w:w="0" w:type="auto"/>
            <w:shd w:val="clear" w:color="auto" w:fill="E2E2E2"/>
            <w:tcMar>
              <w:top w:w="40" w:type="dxa"/>
              <w:left w:w="40" w:type="dxa"/>
              <w:bottom w:w="40" w:type="dxa"/>
              <w:right w:w="40" w:type="dxa"/>
            </w:tcMar>
            <w:vAlign w:val="bottom"/>
          </w:tcPr>
          <w:p w14:paraId="0BC9A0F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1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10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10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217</w:t>
            </w:r>
          </w:p>
        </w:tc>
        <w:tc>
          <w:tcPr>
            <w:tcW w:w="0" w:type="auto"/>
            <w:tcBorders>
              <w:top w:val="single" w:sz="8" w:space="0" w:color="000000"/>
              <w:bottom w:val="double" w:sz="6" w:space="0" w:color="000000"/>
            </w:tcBorders>
            <w:shd w:val="clear" w:color="auto" w:fill="E2E2E2"/>
            <w:vAlign w:val="bottom"/>
          </w:tcPr>
          <w:p w14:paraId="0BC9A103" w14:textId="77777777" w:rsidR="009F0928" w:rsidRDefault="009F0928">
            <w:pPr>
              <w:textAlignment w:val="bottom"/>
              <w:rPr>
                <w:rFonts w:ascii="Times New Roman" w:hAnsi="Times New Roman"/>
                <w:sz w:val="20"/>
                <w:szCs w:val="20"/>
              </w:rPr>
            </w:pPr>
          </w:p>
        </w:tc>
      </w:tr>
    </w:tbl>
    <w:p w14:paraId="0BC9A105" w14:textId="77777777" w:rsidR="009F0928" w:rsidRDefault="009F0928">
      <w:pPr>
        <w:spacing w:line="288" w:lineRule="auto"/>
        <w:ind w:firstLine="720"/>
        <w:jc w:val="both"/>
        <w:rPr>
          <w:rFonts w:ascii="Times New Roman" w:hAnsi="Times New Roman"/>
          <w:sz w:val="16"/>
          <w:szCs w:val="16"/>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9F0928" w14:paraId="0BC9A108" w14:textId="77777777">
        <w:trPr>
          <w:tblCellSpacing w:w="0" w:type="dxa"/>
        </w:trPr>
        <w:tc>
          <w:tcPr>
            <w:tcW w:w="480" w:type="dxa"/>
            <w:shd w:val="clear" w:color="auto" w:fill="auto"/>
            <w:vAlign w:val="center"/>
          </w:tcPr>
          <w:p w14:paraId="0BC9A106" w14:textId="77777777" w:rsidR="009F0928" w:rsidRDefault="009F0928">
            <w:pPr>
              <w:rPr>
                <w:rFonts w:ascii="Times New Roman" w:hAnsi="Times New Roman"/>
                <w:sz w:val="20"/>
                <w:szCs w:val="20"/>
              </w:rPr>
            </w:pPr>
          </w:p>
        </w:tc>
        <w:tc>
          <w:tcPr>
            <w:tcW w:w="0" w:type="auto"/>
            <w:shd w:val="clear" w:color="auto" w:fill="auto"/>
            <w:vAlign w:val="center"/>
          </w:tcPr>
          <w:p w14:paraId="0BC9A107" w14:textId="77777777" w:rsidR="009F0928" w:rsidRDefault="009F0928">
            <w:pPr>
              <w:rPr>
                <w:rFonts w:ascii="Times New Roman" w:hAnsi="Times New Roman"/>
                <w:sz w:val="20"/>
                <w:szCs w:val="20"/>
              </w:rPr>
            </w:pPr>
          </w:p>
        </w:tc>
      </w:tr>
      <w:tr w:rsidR="009F0928" w14:paraId="0BC9A10B" w14:textId="77777777">
        <w:trPr>
          <w:tblCellSpacing w:w="0" w:type="dxa"/>
        </w:trPr>
        <w:tc>
          <w:tcPr>
            <w:tcW w:w="0" w:type="auto"/>
            <w:shd w:val="clear" w:color="auto" w:fill="auto"/>
          </w:tcPr>
          <w:p w14:paraId="0BC9A109"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(2)</w:t>
            </w:r>
          </w:p>
        </w:tc>
        <w:tc>
          <w:tcPr>
            <w:tcW w:w="0" w:type="auto"/>
            <w:shd w:val="clear" w:color="auto" w:fill="auto"/>
          </w:tcPr>
          <w:p w14:paraId="0BC9A10A"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Includes variable lease payments and sublease income that were immaterial during the year ended December 31, 2019.</w:t>
            </w:r>
          </w:p>
        </w:tc>
      </w:tr>
    </w:tbl>
    <w:p w14:paraId="0BC9A10C" w14:textId="77777777" w:rsidR="009F0928" w:rsidRDefault="009F0928">
      <w:pPr>
        <w:spacing w:line="288" w:lineRule="auto"/>
        <w:jc w:val="both"/>
        <w:rPr>
          <w:rFonts w:ascii="Times New Roman" w:hAnsi="Times New Roman"/>
          <w:sz w:val="14"/>
          <w:szCs w:val="14"/>
        </w:rPr>
      </w:pPr>
    </w:p>
    <w:p w14:paraId="0BC9A10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Maturity of lease liabilities under our non-cancelable operating and financing leases as of December 31, 2019 are as follows (in millions): </w:t>
      </w:r>
      <w:r>
        <w:rPr>
          <w:rFonts w:ascii="Arial" w:eastAsia="宋体" w:hAnsi="Arial" w:cs="Arial"/>
          <w:sz w:val="14"/>
          <w:szCs w:val="14"/>
        </w:rPr>
        <w:t> </w:t>
      </w:r>
    </w:p>
    <w:tbl>
      <w:tblPr>
        <w:tblW w:w="5000" w:type="pct"/>
        <w:tblCellMar>
          <w:left w:w="0" w:type="dxa"/>
          <w:right w:w="0" w:type="dxa"/>
        </w:tblCellMar>
        <w:tblLook w:val="04A0" w:firstRow="1" w:lastRow="0" w:firstColumn="1" w:lastColumn="0" w:noHBand="0" w:noVBand="1"/>
      </w:tblPr>
      <w:tblGrid>
        <w:gridCol w:w="5332"/>
        <w:gridCol w:w="142"/>
        <w:gridCol w:w="1180"/>
        <w:gridCol w:w="100"/>
        <w:gridCol w:w="130"/>
        <w:gridCol w:w="142"/>
        <w:gridCol w:w="1180"/>
        <w:gridCol w:w="100"/>
      </w:tblGrid>
      <w:tr w:rsidR="009F0928" w14:paraId="0BC9A10F" w14:textId="77777777">
        <w:tc>
          <w:tcPr>
            <w:tcW w:w="0" w:type="auto"/>
            <w:gridSpan w:val="8"/>
            <w:shd w:val="clear" w:color="auto" w:fill="auto"/>
            <w:vAlign w:val="center"/>
          </w:tcPr>
          <w:p w14:paraId="0BC9A10E" w14:textId="77777777" w:rsidR="009F0928" w:rsidRDefault="009F0928">
            <w:pPr>
              <w:rPr>
                <w:rFonts w:ascii="Times New Roman" w:hAnsi="Times New Roman"/>
                <w:sz w:val="20"/>
                <w:szCs w:val="20"/>
              </w:rPr>
            </w:pPr>
          </w:p>
        </w:tc>
      </w:tr>
      <w:tr w:rsidR="009F0928" w14:paraId="0BC9A118" w14:textId="77777777">
        <w:tc>
          <w:tcPr>
            <w:tcW w:w="3250" w:type="pct"/>
            <w:shd w:val="clear" w:color="auto" w:fill="auto"/>
            <w:vAlign w:val="center"/>
          </w:tcPr>
          <w:p w14:paraId="0BC9A110" w14:textId="77777777" w:rsidR="009F0928" w:rsidRDefault="009F0928">
            <w:pPr>
              <w:rPr>
                <w:rFonts w:ascii="Times New Roman" w:hAnsi="Times New Roman"/>
                <w:sz w:val="20"/>
                <w:szCs w:val="20"/>
              </w:rPr>
            </w:pPr>
          </w:p>
        </w:tc>
        <w:tc>
          <w:tcPr>
            <w:tcW w:w="50" w:type="pct"/>
            <w:shd w:val="clear" w:color="auto" w:fill="auto"/>
            <w:vAlign w:val="center"/>
          </w:tcPr>
          <w:p w14:paraId="0BC9A111" w14:textId="77777777" w:rsidR="009F0928" w:rsidRDefault="009F0928">
            <w:pPr>
              <w:rPr>
                <w:rFonts w:ascii="Times New Roman" w:hAnsi="Times New Roman"/>
                <w:sz w:val="20"/>
                <w:szCs w:val="20"/>
              </w:rPr>
            </w:pPr>
          </w:p>
        </w:tc>
        <w:tc>
          <w:tcPr>
            <w:tcW w:w="750" w:type="pct"/>
            <w:shd w:val="clear" w:color="auto" w:fill="auto"/>
            <w:vAlign w:val="center"/>
          </w:tcPr>
          <w:p w14:paraId="0BC9A112" w14:textId="77777777" w:rsidR="009F0928" w:rsidRDefault="009F0928">
            <w:pPr>
              <w:rPr>
                <w:rFonts w:ascii="Times New Roman" w:hAnsi="Times New Roman"/>
                <w:sz w:val="20"/>
                <w:szCs w:val="20"/>
              </w:rPr>
            </w:pPr>
          </w:p>
        </w:tc>
        <w:tc>
          <w:tcPr>
            <w:tcW w:w="50" w:type="pct"/>
            <w:shd w:val="clear" w:color="auto" w:fill="auto"/>
            <w:vAlign w:val="center"/>
          </w:tcPr>
          <w:p w14:paraId="0BC9A113" w14:textId="77777777" w:rsidR="009F0928" w:rsidRDefault="009F0928">
            <w:pPr>
              <w:rPr>
                <w:rFonts w:ascii="Times New Roman" w:hAnsi="Times New Roman"/>
                <w:sz w:val="20"/>
                <w:szCs w:val="20"/>
              </w:rPr>
            </w:pPr>
          </w:p>
        </w:tc>
        <w:tc>
          <w:tcPr>
            <w:tcW w:w="50" w:type="pct"/>
            <w:shd w:val="clear" w:color="auto" w:fill="auto"/>
            <w:vAlign w:val="center"/>
          </w:tcPr>
          <w:p w14:paraId="0BC9A114" w14:textId="77777777" w:rsidR="009F0928" w:rsidRDefault="009F0928">
            <w:pPr>
              <w:rPr>
                <w:rFonts w:ascii="Times New Roman" w:hAnsi="Times New Roman"/>
                <w:sz w:val="20"/>
                <w:szCs w:val="20"/>
              </w:rPr>
            </w:pPr>
          </w:p>
        </w:tc>
        <w:tc>
          <w:tcPr>
            <w:tcW w:w="50" w:type="pct"/>
            <w:shd w:val="clear" w:color="auto" w:fill="auto"/>
            <w:vAlign w:val="center"/>
          </w:tcPr>
          <w:p w14:paraId="0BC9A115" w14:textId="77777777" w:rsidR="009F0928" w:rsidRDefault="009F0928">
            <w:pPr>
              <w:rPr>
                <w:rFonts w:ascii="Times New Roman" w:hAnsi="Times New Roman"/>
                <w:sz w:val="20"/>
                <w:szCs w:val="20"/>
              </w:rPr>
            </w:pPr>
          </w:p>
        </w:tc>
        <w:tc>
          <w:tcPr>
            <w:tcW w:w="750" w:type="pct"/>
            <w:shd w:val="clear" w:color="auto" w:fill="auto"/>
            <w:vAlign w:val="center"/>
          </w:tcPr>
          <w:p w14:paraId="0BC9A116" w14:textId="77777777" w:rsidR="009F0928" w:rsidRDefault="009F0928">
            <w:pPr>
              <w:rPr>
                <w:rFonts w:ascii="Times New Roman" w:hAnsi="Times New Roman"/>
                <w:sz w:val="20"/>
                <w:szCs w:val="20"/>
              </w:rPr>
            </w:pPr>
          </w:p>
        </w:tc>
        <w:tc>
          <w:tcPr>
            <w:tcW w:w="50" w:type="pct"/>
            <w:shd w:val="clear" w:color="auto" w:fill="auto"/>
            <w:vAlign w:val="center"/>
          </w:tcPr>
          <w:p w14:paraId="0BC9A117" w14:textId="77777777" w:rsidR="009F0928" w:rsidRDefault="009F0928">
            <w:pPr>
              <w:rPr>
                <w:rFonts w:ascii="Times New Roman" w:hAnsi="Times New Roman"/>
                <w:sz w:val="20"/>
                <w:szCs w:val="20"/>
              </w:rPr>
            </w:pPr>
          </w:p>
        </w:tc>
      </w:tr>
      <w:tr w:rsidR="009F0928" w14:paraId="0BC9A11D" w14:textId="77777777">
        <w:tc>
          <w:tcPr>
            <w:tcW w:w="0" w:type="auto"/>
            <w:shd w:val="clear" w:color="auto" w:fill="auto"/>
            <w:tcMar>
              <w:top w:w="40" w:type="dxa"/>
              <w:left w:w="40" w:type="dxa"/>
              <w:bottom w:w="40" w:type="dxa"/>
              <w:right w:w="40" w:type="dxa"/>
            </w:tcMar>
            <w:vAlign w:val="bottom"/>
          </w:tcPr>
          <w:p w14:paraId="0BC9A11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11A"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Operating</w:t>
            </w:r>
          </w:p>
        </w:tc>
        <w:tc>
          <w:tcPr>
            <w:tcW w:w="0" w:type="auto"/>
            <w:shd w:val="clear" w:color="auto" w:fill="auto"/>
            <w:tcMar>
              <w:top w:w="40" w:type="dxa"/>
              <w:left w:w="40" w:type="dxa"/>
              <w:bottom w:w="40" w:type="dxa"/>
              <w:right w:w="40" w:type="dxa"/>
            </w:tcMar>
            <w:vAlign w:val="bottom"/>
          </w:tcPr>
          <w:p w14:paraId="0BC9A11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11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Finance</w:t>
            </w:r>
          </w:p>
        </w:tc>
      </w:tr>
      <w:tr w:rsidR="009F0928" w14:paraId="0BC9A126" w14:textId="77777777">
        <w:tc>
          <w:tcPr>
            <w:tcW w:w="0" w:type="auto"/>
            <w:shd w:val="clear" w:color="auto" w:fill="E2E2E2"/>
            <w:tcMar>
              <w:top w:w="40" w:type="dxa"/>
              <w:left w:w="40" w:type="dxa"/>
              <w:bottom w:w="40" w:type="dxa"/>
              <w:right w:w="40" w:type="dxa"/>
            </w:tcMar>
            <w:vAlign w:val="bottom"/>
          </w:tcPr>
          <w:p w14:paraId="0BC9A11E" w14:textId="77777777" w:rsidR="009F0928" w:rsidRDefault="002112BD">
            <w:pPr>
              <w:textAlignment w:val="bottom"/>
              <w:rPr>
                <w:rFonts w:ascii="Times New Roman" w:hAnsi="Times New Roman"/>
                <w:sz w:val="18"/>
                <w:szCs w:val="18"/>
              </w:rPr>
            </w:pPr>
            <w:r>
              <w:rPr>
                <w:rFonts w:ascii="Arial" w:eastAsia="宋体" w:hAnsi="Arial" w:cs="Arial"/>
                <w:sz w:val="18"/>
                <w:szCs w:val="18"/>
              </w:rPr>
              <w:t>2020</w:t>
            </w:r>
          </w:p>
        </w:tc>
        <w:tc>
          <w:tcPr>
            <w:tcW w:w="0" w:type="auto"/>
            <w:tcBorders>
              <w:top w:val="single" w:sz="8" w:space="0" w:color="000000"/>
            </w:tcBorders>
            <w:shd w:val="clear" w:color="auto" w:fill="E2E2E2"/>
            <w:tcMar>
              <w:top w:w="40" w:type="dxa"/>
              <w:left w:w="40" w:type="dxa"/>
              <w:bottom w:w="40" w:type="dxa"/>
            </w:tcMar>
            <w:vAlign w:val="bottom"/>
          </w:tcPr>
          <w:p w14:paraId="0BC9A11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tcMar>
              <w:top w:w="40" w:type="dxa"/>
              <w:bottom w:w="40" w:type="dxa"/>
            </w:tcMar>
            <w:vAlign w:val="bottom"/>
          </w:tcPr>
          <w:p w14:paraId="0BC9A12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188</w:t>
            </w:r>
          </w:p>
        </w:tc>
        <w:tc>
          <w:tcPr>
            <w:tcW w:w="0" w:type="auto"/>
            <w:tcBorders>
              <w:top w:val="single" w:sz="8" w:space="0" w:color="000000"/>
            </w:tcBorders>
            <w:shd w:val="clear" w:color="auto" w:fill="E2E2E2"/>
            <w:vAlign w:val="bottom"/>
          </w:tcPr>
          <w:p w14:paraId="0BC9A12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12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A12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tcMar>
              <w:top w:w="40" w:type="dxa"/>
              <w:bottom w:w="40" w:type="dxa"/>
            </w:tcMar>
            <w:vAlign w:val="bottom"/>
          </w:tcPr>
          <w:p w14:paraId="0BC9A12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12</w:t>
            </w:r>
          </w:p>
        </w:tc>
        <w:tc>
          <w:tcPr>
            <w:tcW w:w="0" w:type="auto"/>
            <w:tcBorders>
              <w:top w:val="single" w:sz="8" w:space="0" w:color="000000"/>
            </w:tcBorders>
            <w:shd w:val="clear" w:color="auto" w:fill="E2E2E2"/>
            <w:vAlign w:val="bottom"/>
          </w:tcPr>
          <w:p w14:paraId="0BC9A125" w14:textId="77777777" w:rsidR="009F0928" w:rsidRDefault="009F0928">
            <w:pPr>
              <w:textAlignment w:val="bottom"/>
              <w:rPr>
                <w:rFonts w:ascii="Times New Roman" w:hAnsi="Times New Roman"/>
                <w:sz w:val="20"/>
                <w:szCs w:val="20"/>
              </w:rPr>
            </w:pPr>
          </w:p>
        </w:tc>
      </w:tr>
      <w:tr w:rsidR="009F0928" w14:paraId="0BC9A12D" w14:textId="77777777">
        <w:tc>
          <w:tcPr>
            <w:tcW w:w="0" w:type="auto"/>
            <w:shd w:val="clear" w:color="auto" w:fill="auto"/>
            <w:tcMar>
              <w:top w:w="40" w:type="dxa"/>
              <w:left w:w="40" w:type="dxa"/>
              <w:bottom w:w="40" w:type="dxa"/>
              <w:right w:w="40" w:type="dxa"/>
            </w:tcMar>
            <w:vAlign w:val="bottom"/>
          </w:tcPr>
          <w:p w14:paraId="0BC9A127" w14:textId="77777777" w:rsidR="009F0928" w:rsidRDefault="002112BD">
            <w:pPr>
              <w:textAlignment w:val="bottom"/>
              <w:rPr>
                <w:rFonts w:ascii="Times New Roman" w:hAnsi="Times New Roman"/>
                <w:sz w:val="18"/>
                <w:szCs w:val="18"/>
              </w:rPr>
            </w:pPr>
            <w:r>
              <w:rPr>
                <w:rFonts w:ascii="Arial" w:eastAsia="宋体" w:hAnsi="Arial" w:cs="Arial"/>
                <w:sz w:val="18"/>
                <w:szCs w:val="18"/>
              </w:rPr>
              <w:t>2021</w:t>
            </w:r>
          </w:p>
        </w:tc>
        <w:tc>
          <w:tcPr>
            <w:tcW w:w="0" w:type="auto"/>
            <w:gridSpan w:val="2"/>
            <w:shd w:val="clear" w:color="auto" w:fill="auto"/>
            <w:tcMar>
              <w:top w:w="40" w:type="dxa"/>
              <w:left w:w="40" w:type="dxa"/>
              <w:bottom w:w="40" w:type="dxa"/>
            </w:tcMar>
            <w:vAlign w:val="bottom"/>
          </w:tcPr>
          <w:p w14:paraId="0BC9A12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162</w:t>
            </w:r>
          </w:p>
        </w:tc>
        <w:tc>
          <w:tcPr>
            <w:tcW w:w="0" w:type="auto"/>
            <w:shd w:val="clear" w:color="auto" w:fill="auto"/>
            <w:vAlign w:val="bottom"/>
          </w:tcPr>
          <w:p w14:paraId="0BC9A12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12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12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12</w:t>
            </w:r>
          </w:p>
        </w:tc>
        <w:tc>
          <w:tcPr>
            <w:tcW w:w="0" w:type="auto"/>
            <w:shd w:val="clear" w:color="auto" w:fill="auto"/>
            <w:vAlign w:val="bottom"/>
          </w:tcPr>
          <w:p w14:paraId="0BC9A12C" w14:textId="77777777" w:rsidR="009F0928" w:rsidRDefault="009F0928">
            <w:pPr>
              <w:textAlignment w:val="bottom"/>
              <w:rPr>
                <w:rFonts w:ascii="Times New Roman" w:hAnsi="Times New Roman"/>
                <w:sz w:val="20"/>
                <w:szCs w:val="20"/>
              </w:rPr>
            </w:pPr>
          </w:p>
        </w:tc>
      </w:tr>
      <w:tr w:rsidR="009F0928" w14:paraId="0BC9A134" w14:textId="77777777">
        <w:tc>
          <w:tcPr>
            <w:tcW w:w="0" w:type="auto"/>
            <w:shd w:val="clear" w:color="auto" w:fill="E2E2E2"/>
            <w:tcMar>
              <w:top w:w="40" w:type="dxa"/>
              <w:left w:w="40" w:type="dxa"/>
              <w:bottom w:w="40" w:type="dxa"/>
              <w:right w:w="40" w:type="dxa"/>
            </w:tcMar>
            <w:vAlign w:val="bottom"/>
          </w:tcPr>
          <w:p w14:paraId="0BC9A12E" w14:textId="77777777" w:rsidR="009F0928" w:rsidRDefault="002112BD">
            <w:pPr>
              <w:textAlignment w:val="bottom"/>
              <w:rPr>
                <w:rFonts w:ascii="Times New Roman" w:hAnsi="Times New Roman"/>
                <w:sz w:val="18"/>
                <w:szCs w:val="18"/>
              </w:rPr>
            </w:pPr>
            <w:r>
              <w:rPr>
                <w:rFonts w:ascii="Arial" w:eastAsia="宋体" w:hAnsi="Arial" w:cs="Arial"/>
                <w:sz w:val="18"/>
                <w:szCs w:val="18"/>
              </w:rPr>
              <w:t>2022</w:t>
            </w:r>
          </w:p>
        </w:tc>
        <w:tc>
          <w:tcPr>
            <w:tcW w:w="0" w:type="auto"/>
            <w:gridSpan w:val="2"/>
            <w:shd w:val="clear" w:color="auto" w:fill="E2E2E2"/>
            <w:tcMar>
              <w:top w:w="40" w:type="dxa"/>
              <w:left w:w="40" w:type="dxa"/>
              <w:bottom w:w="40" w:type="dxa"/>
            </w:tcMar>
            <w:vAlign w:val="bottom"/>
          </w:tcPr>
          <w:p w14:paraId="0BC9A12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146</w:t>
            </w:r>
          </w:p>
        </w:tc>
        <w:tc>
          <w:tcPr>
            <w:tcW w:w="0" w:type="auto"/>
            <w:shd w:val="clear" w:color="auto" w:fill="E2E2E2"/>
            <w:vAlign w:val="bottom"/>
          </w:tcPr>
          <w:p w14:paraId="0BC9A13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13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13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w:t>
            </w:r>
          </w:p>
        </w:tc>
        <w:tc>
          <w:tcPr>
            <w:tcW w:w="0" w:type="auto"/>
            <w:shd w:val="clear" w:color="auto" w:fill="E2E2E2"/>
            <w:vAlign w:val="bottom"/>
          </w:tcPr>
          <w:p w14:paraId="0BC9A133" w14:textId="77777777" w:rsidR="009F0928" w:rsidRDefault="009F0928">
            <w:pPr>
              <w:textAlignment w:val="bottom"/>
              <w:rPr>
                <w:rFonts w:ascii="Times New Roman" w:hAnsi="Times New Roman"/>
                <w:sz w:val="20"/>
                <w:szCs w:val="20"/>
              </w:rPr>
            </w:pPr>
          </w:p>
        </w:tc>
      </w:tr>
      <w:tr w:rsidR="009F0928" w14:paraId="0BC9A13B" w14:textId="77777777">
        <w:tc>
          <w:tcPr>
            <w:tcW w:w="0" w:type="auto"/>
            <w:shd w:val="clear" w:color="auto" w:fill="auto"/>
            <w:tcMar>
              <w:top w:w="40" w:type="dxa"/>
              <w:left w:w="40" w:type="dxa"/>
              <w:bottom w:w="40" w:type="dxa"/>
              <w:right w:w="40" w:type="dxa"/>
            </w:tcMar>
            <w:vAlign w:val="bottom"/>
          </w:tcPr>
          <w:p w14:paraId="0BC9A135" w14:textId="77777777" w:rsidR="009F0928" w:rsidRDefault="002112BD">
            <w:pPr>
              <w:textAlignment w:val="bottom"/>
              <w:rPr>
                <w:rFonts w:ascii="Times New Roman" w:hAnsi="Times New Roman"/>
                <w:sz w:val="18"/>
                <w:szCs w:val="18"/>
              </w:rPr>
            </w:pPr>
            <w:r>
              <w:rPr>
                <w:rFonts w:ascii="Arial" w:eastAsia="宋体" w:hAnsi="Arial" w:cs="Arial"/>
                <w:sz w:val="18"/>
                <w:szCs w:val="18"/>
              </w:rPr>
              <w:t>2023</w:t>
            </w:r>
          </w:p>
        </w:tc>
        <w:tc>
          <w:tcPr>
            <w:tcW w:w="0" w:type="auto"/>
            <w:gridSpan w:val="2"/>
            <w:shd w:val="clear" w:color="auto" w:fill="auto"/>
            <w:tcMar>
              <w:top w:w="40" w:type="dxa"/>
              <w:left w:w="40" w:type="dxa"/>
              <w:bottom w:w="40" w:type="dxa"/>
            </w:tcMar>
            <w:vAlign w:val="bottom"/>
          </w:tcPr>
          <w:p w14:paraId="0BC9A13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98</w:t>
            </w:r>
          </w:p>
        </w:tc>
        <w:tc>
          <w:tcPr>
            <w:tcW w:w="0" w:type="auto"/>
            <w:shd w:val="clear" w:color="auto" w:fill="auto"/>
            <w:vAlign w:val="bottom"/>
          </w:tcPr>
          <w:p w14:paraId="0BC9A13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13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13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A13A" w14:textId="77777777" w:rsidR="009F0928" w:rsidRDefault="009F0928">
            <w:pPr>
              <w:textAlignment w:val="bottom"/>
              <w:rPr>
                <w:rFonts w:ascii="Times New Roman" w:hAnsi="Times New Roman"/>
                <w:sz w:val="20"/>
                <w:szCs w:val="20"/>
              </w:rPr>
            </w:pPr>
          </w:p>
        </w:tc>
      </w:tr>
      <w:tr w:rsidR="009F0928" w14:paraId="0BC9A142" w14:textId="77777777">
        <w:tc>
          <w:tcPr>
            <w:tcW w:w="0" w:type="auto"/>
            <w:shd w:val="clear" w:color="auto" w:fill="E2E2E2"/>
            <w:tcMar>
              <w:top w:w="40" w:type="dxa"/>
              <w:left w:w="40" w:type="dxa"/>
              <w:bottom w:w="40" w:type="dxa"/>
              <w:right w:w="40" w:type="dxa"/>
            </w:tcMar>
            <w:vAlign w:val="bottom"/>
          </w:tcPr>
          <w:p w14:paraId="0BC9A13C" w14:textId="77777777" w:rsidR="009F0928" w:rsidRDefault="002112BD">
            <w:pPr>
              <w:textAlignment w:val="bottom"/>
              <w:rPr>
                <w:rFonts w:ascii="Times New Roman" w:hAnsi="Times New Roman"/>
                <w:sz w:val="18"/>
                <w:szCs w:val="18"/>
              </w:rPr>
            </w:pPr>
            <w:r>
              <w:rPr>
                <w:rFonts w:ascii="Arial" w:eastAsia="宋体" w:hAnsi="Arial" w:cs="Arial"/>
                <w:sz w:val="18"/>
                <w:szCs w:val="18"/>
                <w:shd w:val="clear" w:color="auto" w:fill="E2E2E2"/>
              </w:rPr>
              <w:t>2024</w:t>
            </w:r>
          </w:p>
        </w:tc>
        <w:tc>
          <w:tcPr>
            <w:tcW w:w="0" w:type="auto"/>
            <w:gridSpan w:val="2"/>
            <w:shd w:val="clear" w:color="auto" w:fill="E2E2E2"/>
            <w:tcMar>
              <w:top w:w="40" w:type="dxa"/>
              <w:left w:w="40" w:type="dxa"/>
              <w:bottom w:w="40" w:type="dxa"/>
            </w:tcMar>
            <w:vAlign w:val="bottom"/>
          </w:tcPr>
          <w:p w14:paraId="0BC9A13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45</w:t>
            </w:r>
          </w:p>
        </w:tc>
        <w:tc>
          <w:tcPr>
            <w:tcW w:w="0" w:type="auto"/>
            <w:shd w:val="clear" w:color="auto" w:fill="E2E2E2"/>
            <w:vAlign w:val="bottom"/>
          </w:tcPr>
          <w:p w14:paraId="0BC9A13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13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14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141" w14:textId="77777777" w:rsidR="009F0928" w:rsidRDefault="009F0928">
            <w:pPr>
              <w:textAlignment w:val="bottom"/>
              <w:rPr>
                <w:rFonts w:ascii="Times New Roman" w:hAnsi="Times New Roman"/>
                <w:sz w:val="20"/>
                <w:szCs w:val="20"/>
              </w:rPr>
            </w:pPr>
          </w:p>
        </w:tc>
      </w:tr>
      <w:tr w:rsidR="009F0928" w14:paraId="0BC9A149" w14:textId="77777777">
        <w:tc>
          <w:tcPr>
            <w:tcW w:w="0" w:type="auto"/>
            <w:shd w:val="clear" w:color="auto" w:fill="auto"/>
            <w:tcMar>
              <w:top w:w="40" w:type="dxa"/>
              <w:left w:w="40" w:type="dxa"/>
              <w:bottom w:w="40" w:type="dxa"/>
              <w:right w:w="40" w:type="dxa"/>
            </w:tcMar>
            <w:vAlign w:val="bottom"/>
          </w:tcPr>
          <w:p w14:paraId="0BC9A143" w14:textId="77777777" w:rsidR="009F0928" w:rsidRDefault="002112BD">
            <w:pPr>
              <w:textAlignment w:val="bottom"/>
              <w:rPr>
                <w:rFonts w:ascii="Times New Roman" w:hAnsi="Times New Roman"/>
                <w:sz w:val="18"/>
                <w:szCs w:val="18"/>
              </w:rPr>
            </w:pPr>
            <w:r>
              <w:rPr>
                <w:rFonts w:ascii="Arial" w:eastAsia="宋体" w:hAnsi="Arial" w:cs="Arial"/>
                <w:sz w:val="18"/>
                <w:szCs w:val="18"/>
              </w:rPr>
              <w:t>Thereafter</w:t>
            </w:r>
          </w:p>
        </w:tc>
        <w:tc>
          <w:tcPr>
            <w:tcW w:w="0" w:type="auto"/>
            <w:gridSpan w:val="2"/>
            <w:tcBorders>
              <w:bottom w:val="single" w:sz="8" w:space="0" w:color="000000"/>
            </w:tcBorders>
            <w:shd w:val="clear" w:color="auto" w:fill="auto"/>
            <w:tcMar>
              <w:top w:w="40" w:type="dxa"/>
              <w:left w:w="40" w:type="dxa"/>
              <w:bottom w:w="40" w:type="dxa"/>
            </w:tcMar>
            <w:vAlign w:val="bottom"/>
          </w:tcPr>
          <w:p w14:paraId="0BC9A14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78</w:t>
            </w:r>
          </w:p>
        </w:tc>
        <w:tc>
          <w:tcPr>
            <w:tcW w:w="0" w:type="auto"/>
            <w:tcBorders>
              <w:bottom w:val="single" w:sz="8" w:space="0" w:color="000000"/>
            </w:tcBorders>
            <w:shd w:val="clear" w:color="auto" w:fill="auto"/>
            <w:vAlign w:val="bottom"/>
          </w:tcPr>
          <w:p w14:paraId="0BC9A14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14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A14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auto"/>
            <w:vAlign w:val="bottom"/>
          </w:tcPr>
          <w:p w14:paraId="0BC9A148" w14:textId="77777777" w:rsidR="009F0928" w:rsidRDefault="009F0928">
            <w:pPr>
              <w:textAlignment w:val="bottom"/>
              <w:rPr>
                <w:rFonts w:ascii="Times New Roman" w:hAnsi="Times New Roman"/>
                <w:sz w:val="20"/>
                <w:szCs w:val="20"/>
              </w:rPr>
            </w:pPr>
          </w:p>
        </w:tc>
      </w:tr>
      <w:tr w:rsidR="009F0928" w14:paraId="0BC9A150" w14:textId="77777777">
        <w:tc>
          <w:tcPr>
            <w:tcW w:w="0" w:type="auto"/>
            <w:shd w:val="clear" w:color="auto" w:fill="E2E2E2"/>
            <w:tcMar>
              <w:top w:w="40" w:type="dxa"/>
              <w:left w:w="400" w:type="dxa"/>
              <w:bottom w:w="40" w:type="dxa"/>
              <w:right w:w="40" w:type="dxa"/>
            </w:tcMar>
            <w:vAlign w:val="bottom"/>
          </w:tcPr>
          <w:p w14:paraId="0BC9A14A"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lease payments</w:t>
            </w:r>
          </w:p>
        </w:tc>
        <w:tc>
          <w:tcPr>
            <w:tcW w:w="0" w:type="auto"/>
            <w:gridSpan w:val="2"/>
            <w:shd w:val="clear" w:color="auto" w:fill="E2E2E2"/>
            <w:tcMar>
              <w:top w:w="40" w:type="dxa"/>
              <w:left w:w="40" w:type="dxa"/>
              <w:bottom w:w="40" w:type="dxa"/>
            </w:tcMar>
            <w:vAlign w:val="bottom"/>
          </w:tcPr>
          <w:p w14:paraId="0BC9A14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717</w:t>
            </w:r>
          </w:p>
        </w:tc>
        <w:tc>
          <w:tcPr>
            <w:tcW w:w="0" w:type="auto"/>
            <w:shd w:val="clear" w:color="auto" w:fill="E2E2E2"/>
            <w:vAlign w:val="bottom"/>
          </w:tcPr>
          <w:p w14:paraId="0BC9A14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14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14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29</w:t>
            </w:r>
          </w:p>
        </w:tc>
        <w:tc>
          <w:tcPr>
            <w:tcW w:w="0" w:type="auto"/>
            <w:shd w:val="clear" w:color="auto" w:fill="E2E2E2"/>
            <w:vAlign w:val="bottom"/>
          </w:tcPr>
          <w:p w14:paraId="0BC9A14F" w14:textId="77777777" w:rsidR="009F0928" w:rsidRDefault="009F0928">
            <w:pPr>
              <w:textAlignment w:val="bottom"/>
              <w:rPr>
                <w:rFonts w:ascii="Times New Roman" w:hAnsi="Times New Roman"/>
                <w:sz w:val="20"/>
                <w:szCs w:val="20"/>
              </w:rPr>
            </w:pPr>
          </w:p>
        </w:tc>
      </w:tr>
      <w:tr w:rsidR="009F0928" w14:paraId="0BC9A157" w14:textId="77777777">
        <w:tc>
          <w:tcPr>
            <w:tcW w:w="0" w:type="auto"/>
            <w:shd w:val="clear" w:color="auto" w:fill="auto"/>
            <w:tcMar>
              <w:top w:w="40" w:type="dxa"/>
              <w:left w:w="40" w:type="dxa"/>
              <w:bottom w:w="40" w:type="dxa"/>
              <w:right w:w="40" w:type="dxa"/>
            </w:tcMar>
            <w:vAlign w:val="bottom"/>
          </w:tcPr>
          <w:p w14:paraId="0BC9A151" w14:textId="77777777" w:rsidR="009F0928" w:rsidRDefault="002112BD">
            <w:pPr>
              <w:textAlignment w:val="bottom"/>
              <w:rPr>
                <w:rFonts w:ascii="Times New Roman" w:hAnsi="Times New Roman"/>
                <w:sz w:val="18"/>
                <w:szCs w:val="18"/>
              </w:rPr>
            </w:pPr>
            <w:r>
              <w:rPr>
                <w:rFonts w:ascii="Arial" w:eastAsia="宋体" w:hAnsi="Arial" w:cs="Arial"/>
                <w:sz w:val="18"/>
                <w:szCs w:val="18"/>
              </w:rPr>
              <w:t>Less interest</w:t>
            </w:r>
          </w:p>
        </w:tc>
        <w:tc>
          <w:tcPr>
            <w:tcW w:w="0" w:type="auto"/>
            <w:gridSpan w:val="2"/>
            <w:shd w:val="clear" w:color="auto" w:fill="auto"/>
            <w:tcMar>
              <w:top w:w="40" w:type="dxa"/>
              <w:left w:w="40" w:type="dxa"/>
              <w:bottom w:w="40" w:type="dxa"/>
            </w:tcMar>
            <w:vAlign w:val="bottom"/>
          </w:tcPr>
          <w:p w14:paraId="0BC9A15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(56</w:t>
            </w:r>
          </w:p>
        </w:tc>
        <w:tc>
          <w:tcPr>
            <w:tcW w:w="0" w:type="auto"/>
            <w:shd w:val="clear" w:color="auto" w:fill="auto"/>
            <w:tcMar>
              <w:top w:w="40" w:type="dxa"/>
              <w:bottom w:w="40" w:type="dxa"/>
              <w:right w:w="40" w:type="dxa"/>
            </w:tcMar>
            <w:vAlign w:val="bottom"/>
          </w:tcPr>
          <w:p w14:paraId="0BC9A15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15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15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w:t>
            </w:r>
          </w:p>
        </w:tc>
        <w:tc>
          <w:tcPr>
            <w:tcW w:w="0" w:type="auto"/>
            <w:shd w:val="clear" w:color="auto" w:fill="auto"/>
            <w:tcMar>
              <w:top w:w="40" w:type="dxa"/>
              <w:bottom w:w="40" w:type="dxa"/>
              <w:right w:w="40" w:type="dxa"/>
            </w:tcMar>
            <w:vAlign w:val="bottom"/>
          </w:tcPr>
          <w:p w14:paraId="0BC9A15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160" w14:textId="77777777">
        <w:tc>
          <w:tcPr>
            <w:tcW w:w="0" w:type="auto"/>
            <w:shd w:val="clear" w:color="auto" w:fill="E2E2E2"/>
            <w:tcMar>
              <w:top w:w="40" w:type="dxa"/>
              <w:left w:w="400" w:type="dxa"/>
              <w:bottom w:w="40" w:type="dxa"/>
              <w:right w:w="40" w:type="dxa"/>
            </w:tcMar>
            <w:vAlign w:val="bottom"/>
          </w:tcPr>
          <w:p w14:paraId="0BC9A158" w14:textId="77777777" w:rsidR="009F0928" w:rsidRDefault="002112BD">
            <w:pPr>
              <w:textAlignment w:val="bottom"/>
              <w:rPr>
                <w:rFonts w:ascii="Times New Roman" w:hAnsi="Times New Roman"/>
                <w:sz w:val="18"/>
                <w:szCs w:val="18"/>
              </w:rPr>
            </w:pPr>
            <w:r>
              <w:rPr>
                <w:rFonts w:ascii="Arial" w:eastAsia="宋体" w:hAnsi="Arial" w:cs="Arial"/>
                <w:sz w:val="18"/>
                <w:szCs w:val="18"/>
              </w:rPr>
              <w:t>Present value of lease liabilities</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15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15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661</w:t>
            </w:r>
          </w:p>
        </w:tc>
        <w:tc>
          <w:tcPr>
            <w:tcW w:w="0" w:type="auto"/>
            <w:tcBorders>
              <w:top w:val="single" w:sz="8" w:space="0" w:color="000000"/>
              <w:bottom w:val="double" w:sz="6" w:space="0" w:color="000000"/>
            </w:tcBorders>
            <w:shd w:val="clear" w:color="auto" w:fill="E2E2E2"/>
            <w:vAlign w:val="bottom"/>
          </w:tcPr>
          <w:p w14:paraId="0BC9A15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15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15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15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27</w:t>
            </w:r>
          </w:p>
        </w:tc>
        <w:tc>
          <w:tcPr>
            <w:tcW w:w="0" w:type="auto"/>
            <w:tcBorders>
              <w:top w:val="single" w:sz="8" w:space="0" w:color="000000"/>
              <w:bottom w:val="double" w:sz="6" w:space="0" w:color="000000"/>
            </w:tcBorders>
            <w:shd w:val="clear" w:color="auto" w:fill="E2E2E2"/>
            <w:vAlign w:val="bottom"/>
          </w:tcPr>
          <w:p w14:paraId="0BC9A15F" w14:textId="77777777" w:rsidR="009F0928" w:rsidRDefault="009F0928">
            <w:pPr>
              <w:textAlignment w:val="bottom"/>
              <w:rPr>
                <w:rFonts w:ascii="Times New Roman" w:hAnsi="Times New Roman"/>
                <w:sz w:val="20"/>
                <w:szCs w:val="20"/>
              </w:rPr>
            </w:pPr>
          </w:p>
        </w:tc>
      </w:tr>
    </w:tbl>
    <w:p w14:paraId="0BC9A161" w14:textId="77777777" w:rsidR="009F0928" w:rsidRDefault="009F0928">
      <w:pPr>
        <w:spacing w:line="288" w:lineRule="auto"/>
        <w:rPr>
          <w:rFonts w:ascii="Times New Roman" w:hAnsi="Times New Roman"/>
          <w:sz w:val="20"/>
          <w:szCs w:val="20"/>
        </w:rPr>
      </w:pPr>
    </w:p>
    <w:p w14:paraId="0BC9A162" w14:textId="77777777" w:rsidR="009F0928" w:rsidRDefault="009F0928">
      <w:pPr>
        <w:spacing w:line="288" w:lineRule="auto"/>
        <w:ind w:firstLine="720"/>
        <w:jc w:val="both"/>
        <w:rPr>
          <w:rFonts w:ascii="Times New Roman" w:hAnsi="Times New Roman"/>
          <w:sz w:val="20"/>
          <w:szCs w:val="20"/>
        </w:rPr>
      </w:pPr>
    </w:p>
    <w:p w14:paraId="0BC9A16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Future minimum rental payments under our non-cancelable operating leases as of December 31, 2018 were as follows (in millions): </w:t>
      </w:r>
      <w:r>
        <w:rPr>
          <w:rFonts w:ascii="Arial" w:eastAsia="宋体" w:hAnsi="Arial" w:cs="Arial"/>
          <w:sz w:val="14"/>
          <w:szCs w:val="14"/>
        </w:rPr>
        <w:t> </w:t>
      </w:r>
    </w:p>
    <w:tbl>
      <w:tblPr>
        <w:tblW w:w="5000" w:type="pct"/>
        <w:tblCellMar>
          <w:left w:w="0" w:type="dxa"/>
          <w:right w:w="0" w:type="dxa"/>
        </w:tblCellMar>
        <w:tblLook w:val="04A0" w:firstRow="1" w:lastRow="0" w:firstColumn="1" w:lastColumn="0" w:noHBand="0" w:noVBand="1"/>
      </w:tblPr>
      <w:tblGrid>
        <w:gridCol w:w="6874"/>
        <w:gridCol w:w="142"/>
        <w:gridCol w:w="1226"/>
        <w:gridCol w:w="64"/>
      </w:tblGrid>
      <w:tr w:rsidR="009F0928" w14:paraId="0BC9A165" w14:textId="77777777">
        <w:tc>
          <w:tcPr>
            <w:tcW w:w="0" w:type="auto"/>
            <w:gridSpan w:val="4"/>
            <w:shd w:val="clear" w:color="auto" w:fill="auto"/>
            <w:vAlign w:val="center"/>
          </w:tcPr>
          <w:p w14:paraId="0BC9A164" w14:textId="77777777" w:rsidR="009F0928" w:rsidRDefault="009F0928">
            <w:pPr>
              <w:rPr>
                <w:rFonts w:ascii="Times New Roman" w:hAnsi="Times New Roman"/>
                <w:sz w:val="20"/>
                <w:szCs w:val="20"/>
              </w:rPr>
            </w:pPr>
          </w:p>
        </w:tc>
      </w:tr>
      <w:tr w:rsidR="009F0928" w14:paraId="0BC9A16A" w14:textId="77777777">
        <w:tc>
          <w:tcPr>
            <w:tcW w:w="4150" w:type="pct"/>
            <w:shd w:val="clear" w:color="auto" w:fill="auto"/>
            <w:vAlign w:val="center"/>
          </w:tcPr>
          <w:p w14:paraId="0BC9A166" w14:textId="77777777" w:rsidR="009F0928" w:rsidRDefault="009F0928">
            <w:pPr>
              <w:rPr>
                <w:rFonts w:ascii="Times New Roman" w:hAnsi="Times New Roman"/>
                <w:sz w:val="20"/>
                <w:szCs w:val="20"/>
              </w:rPr>
            </w:pPr>
          </w:p>
        </w:tc>
        <w:tc>
          <w:tcPr>
            <w:tcW w:w="50" w:type="pct"/>
            <w:shd w:val="clear" w:color="auto" w:fill="auto"/>
            <w:vAlign w:val="center"/>
          </w:tcPr>
          <w:p w14:paraId="0BC9A167" w14:textId="77777777" w:rsidR="009F0928" w:rsidRDefault="009F0928">
            <w:pPr>
              <w:rPr>
                <w:rFonts w:ascii="Times New Roman" w:hAnsi="Times New Roman"/>
                <w:sz w:val="20"/>
                <w:szCs w:val="20"/>
              </w:rPr>
            </w:pPr>
          </w:p>
        </w:tc>
        <w:tc>
          <w:tcPr>
            <w:tcW w:w="750" w:type="pct"/>
            <w:shd w:val="clear" w:color="auto" w:fill="auto"/>
            <w:vAlign w:val="center"/>
          </w:tcPr>
          <w:p w14:paraId="0BC9A168" w14:textId="77777777" w:rsidR="009F0928" w:rsidRDefault="009F0928">
            <w:pPr>
              <w:rPr>
                <w:rFonts w:ascii="Times New Roman" w:hAnsi="Times New Roman"/>
                <w:sz w:val="20"/>
                <w:szCs w:val="20"/>
              </w:rPr>
            </w:pPr>
          </w:p>
        </w:tc>
        <w:tc>
          <w:tcPr>
            <w:tcW w:w="50" w:type="pct"/>
            <w:shd w:val="clear" w:color="auto" w:fill="auto"/>
            <w:vAlign w:val="center"/>
          </w:tcPr>
          <w:p w14:paraId="0BC9A169" w14:textId="77777777" w:rsidR="009F0928" w:rsidRDefault="009F0928">
            <w:pPr>
              <w:rPr>
                <w:rFonts w:ascii="Times New Roman" w:hAnsi="Times New Roman"/>
                <w:sz w:val="20"/>
                <w:szCs w:val="20"/>
              </w:rPr>
            </w:pPr>
          </w:p>
        </w:tc>
      </w:tr>
      <w:tr w:rsidR="009F0928" w14:paraId="0BC9A16D" w14:textId="77777777">
        <w:tc>
          <w:tcPr>
            <w:tcW w:w="0" w:type="auto"/>
            <w:shd w:val="clear" w:color="auto" w:fill="auto"/>
            <w:tcMar>
              <w:top w:w="40" w:type="dxa"/>
              <w:left w:w="40" w:type="dxa"/>
              <w:bottom w:w="40" w:type="dxa"/>
              <w:right w:w="40" w:type="dxa"/>
            </w:tcMar>
            <w:vAlign w:val="bottom"/>
          </w:tcPr>
          <w:p w14:paraId="0BC9A16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16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Leases </w:t>
            </w:r>
            <w:r>
              <w:rPr>
                <w:rFonts w:ascii="Arial" w:eastAsia="宋体" w:hAnsi="Arial" w:cs="Arial"/>
                <w:b/>
                <w:bCs/>
                <w:sz w:val="10"/>
                <w:szCs w:val="10"/>
              </w:rPr>
              <w:t>(3)</w:t>
            </w:r>
          </w:p>
        </w:tc>
      </w:tr>
      <w:tr w:rsidR="009F0928" w14:paraId="0BC9A172" w14:textId="77777777">
        <w:tc>
          <w:tcPr>
            <w:tcW w:w="0" w:type="auto"/>
            <w:shd w:val="clear" w:color="auto" w:fill="E2E2E2"/>
            <w:tcMar>
              <w:top w:w="40" w:type="dxa"/>
              <w:left w:w="40" w:type="dxa"/>
              <w:bottom w:w="40" w:type="dxa"/>
              <w:right w:w="40" w:type="dxa"/>
            </w:tcMar>
            <w:vAlign w:val="bottom"/>
          </w:tcPr>
          <w:p w14:paraId="0BC9A16E" w14:textId="77777777" w:rsidR="009F0928" w:rsidRDefault="002112BD">
            <w:pPr>
              <w:textAlignment w:val="bottom"/>
              <w:rPr>
                <w:rFonts w:ascii="Times New Roman" w:hAnsi="Times New Roman"/>
                <w:sz w:val="18"/>
                <w:szCs w:val="18"/>
              </w:rPr>
            </w:pPr>
            <w:r>
              <w:rPr>
                <w:rFonts w:ascii="Arial" w:eastAsia="宋体" w:hAnsi="Arial" w:cs="Arial"/>
                <w:sz w:val="18"/>
                <w:szCs w:val="18"/>
              </w:rPr>
              <w:t>2019</w:t>
            </w:r>
          </w:p>
        </w:tc>
        <w:tc>
          <w:tcPr>
            <w:tcW w:w="0" w:type="auto"/>
            <w:tcBorders>
              <w:top w:val="single" w:sz="8" w:space="0" w:color="000000"/>
            </w:tcBorders>
            <w:shd w:val="clear" w:color="auto" w:fill="E2E2E2"/>
            <w:tcMar>
              <w:top w:w="40" w:type="dxa"/>
              <w:left w:w="40" w:type="dxa"/>
              <w:bottom w:w="40" w:type="dxa"/>
            </w:tcMar>
            <w:vAlign w:val="bottom"/>
          </w:tcPr>
          <w:p w14:paraId="0BC9A16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tcMar>
              <w:top w:w="40" w:type="dxa"/>
              <w:bottom w:w="40" w:type="dxa"/>
            </w:tcMar>
            <w:vAlign w:val="bottom"/>
          </w:tcPr>
          <w:p w14:paraId="0BC9A17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136</w:t>
            </w:r>
          </w:p>
        </w:tc>
        <w:tc>
          <w:tcPr>
            <w:tcW w:w="0" w:type="auto"/>
            <w:tcBorders>
              <w:top w:val="single" w:sz="8" w:space="0" w:color="000000"/>
            </w:tcBorders>
            <w:shd w:val="clear" w:color="auto" w:fill="E2E2E2"/>
            <w:vAlign w:val="bottom"/>
          </w:tcPr>
          <w:p w14:paraId="0BC9A171" w14:textId="77777777" w:rsidR="009F0928" w:rsidRDefault="009F0928">
            <w:pPr>
              <w:textAlignment w:val="bottom"/>
              <w:rPr>
                <w:rFonts w:ascii="Times New Roman" w:hAnsi="Times New Roman"/>
                <w:sz w:val="20"/>
                <w:szCs w:val="20"/>
              </w:rPr>
            </w:pPr>
          </w:p>
        </w:tc>
      </w:tr>
      <w:tr w:rsidR="009F0928" w14:paraId="0BC9A176" w14:textId="77777777">
        <w:tc>
          <w:tcPr>
            <w:tcW w:w="0" w:type="auto"/>
            <w:shd w:val="clear" w:color="auto" w:fill="auto"/>
            <w:tcMar>
              <w:top w:w="40" w:type="dxa"/>
              <w:left w:w="40" w:type="dxa"/>
              <w:bottom w:w="40" w:type="dxa"/>
              <w:right w:w="40" w:type="dxa"/>
            </w:tcMar>
            <w:vAlign w:val="bottom"/>
          </w:tcPr>
          <w:p w14:paraId="0BC9A173" w14:textId="77777777" w:rsidR="009F0928" w:rsidRDefault="002112BD">
            <w:pPr>
              <w:textAlignment w:val="bottom"/>
              <w:rPr>
                <w:rFonts w:ascii="Times New Roman" w:hAnsi="Times New Roman"/>
                <w:sz w:val="18"/>
                <w:szCs w:val="18"/>
              </w:rPr>
            </w:pPr>
            <w:r>
              <w:rPr>
                <w:rFonts w:ascii="Arial" w:eastAsia="宋体" w:hAnsi="Arial" w:cs="Arial"/>
                <w:sz w:val="18"/>
                <w:szCs w:val="18"/>
              </w:rPr>
              <w:t>2020</w:t>
            </w:r>
          </w:p>
        </w:tc>
        <w:tc>
          <w:tcPr>
            <w:tcW w:w="0" w:type="auto"/>
            <w:gridSpan w:val="2"/>
            <w:shd w:val="clear" w:color="auto" w:fill="auto"/>
            <w:tcMar>
              <w:top w:w="40" w:type="dxa"/>
              <w:left w:w="40" w:type="dxa"/>
              <w:bottom w:w="40" w:type="dxa"/>
            </w:tcMar>
            <w:vAlign w:val="bottom"/>
          </w:tcPr>
          <w:p w14:paraId="0BC9A17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104</w:t>
            </w:r>
          </w:p>
        </w:tc>
        <w:tc>
          <w:tcPr>
            <w:tcW w:w="0" w:type="auto"/>
            <w:shd w:val="clear" w:color="auto" w:fill="auto"/>
            <w:vAlign w:val="bottom"/>
          </w:tcPr>
          <w:p w14:paraId="0BC9A175" w14:textId="77777777" w:rsidR="009F0928" w:rsidRDefault="009F0928">
            <w:pPr>
              <w:textAlignment w:val="bottom"/>
              <w:rPr>
                <w:rFonts w:ascii="Times New Roman" w:hAnsi="Times New Roman"/>
                <w:sz w:val="20"/>
                <w:szCs w:val="20"/>
              </w:rPr>
            </w:pPr>
          </w:p>
        </w:tc>
      </w:tr>
      <w:tr w:rsidR="009F0928" w14:paraId="0BC9A17A" w14:textId="77777777">
        <w:tc>
          <w:tcPr>
            <w:tcW w:w="0" w:type="auto"/>
            <w:shd w:val="clear" w:color="auto" w:fill="E2E2E2"/>
            <w:tcMar>
              <w:top w:w="40" w:type="dxa"/>
              <w:left w:w="40" w:type="dxa"/>
              <w:bottom w:w="40" w:type="dxa"/>
              <w:right w:w="40" w:type="dxa"/>
            </w:tcMar>
            <w:vAlign w:val="bottom"/>
          </w:tcPr>
          <w:p w14:paraId="0BC9A177" w14:textId="77777777" w:rsidR="009F0928" w:rsidRDefault="002112BD">
            <w:pPr>
              <w:textAlignment w:val="bottom"/>
              <w:rPr>
                <w:rFonts w:ascii="Times New Roman" w:hAnsi="Times New Roman"/>
                <w:sz w:val="18"/>
                <w:szCs w:val="18"/>
              </w:rPr>
            </w:pPr>
            <w:r>
              <w:rPr>
                <w:rFonts w:ascii="Arial" w:eastAsia="宋体" w:hAnsi="Arial" w:cs="Arial"/>
                <w:sz w:val="18"/>
                <w:szCs w:val="18"/>
              </w:rPr>
              <w:t>2021</w:t>
            </w:r>
          </w:p>
        </w:tc>
        <w:tc>
          <w:tcPr>
            <w:tcW w:w="0" w:type="auto"/>
            <w:gridSpan w:val="2"/>
            <w:shd w:val="clear" w:color="auto" w:fill="E2E2E2"/>
            <w:tcMar>
              <w:top w:w="40" w:type="dxa"/>
              <w:left w:w="40" w:type="dxa"/>
              <w:bottom w:w="40" w:type="dxa"/>
            </w:tcMar>
            <w:vAlign w:val="bottom"/>
          </w:tcPr>
          <w:p w14:paraId="0BC9A17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91</w:t>
            </w:r>
          </w:p>
        </w:tc>
        <w:tc>
          <w:tcPr>
            <w:tcW w:w="0" w:type="auto"/>
            <w:shd w:val="clear" w:color="auto" w:fill="E2E2E2"/>
            <w:vAlign w:val="bottom"/>
          </w:tcPr>
          <w:p w14:paraId="0BC9A179" w14:textId="77777777" w:rsidR="009F0928" w:rsidRDefault="009F0928">
            <w:pPr>
              <w:textAlignment w:val="bottom"/>
              <w:rPr>
                <w:rFonts w:ascii="Times New Roman" w:hAnsi="Times New Roman"/>
                <w:sz w:val="20"/>
                <w:szCs w:val="20"/>
              </w:rPr>
            </w:pPr>
          </w:p>
        </w:tc>
      </w:tr>
      <w:tr w:rsidR="009F0928" w14:paraId="0BC9A17E" w14:textId="77777777">
        <w:tc>
          <w:tcPr>
            <w:tcW w:w="0" w:type="auto"/>
            <w:shd w:val="clear" w:color="auto" w:fill="auto"/>
            <w:tcMar>
              <w:top w:w="40" w:type="dxa"/>
              <w:left w:w="40" w:type="dxa"/>
              <w:bottom w:w="40" w:type="dxa"/>
              <w:right w:w="40" w:type="dxa"/>
            </w:tcMar>
            <w:vAlign w:val="bottom"/>
          </w:tcPr>
          <w:p w14:paraId="0BC9A17B" w14:textId="77777777" w:rsidR="009F0928" w:rsidRDefault="002112BD">
            <w:pPr>
              <w:textAlignment w:val="bottom"/>
              <w:rPr>
                <w:rFonts w:ascii="Times New Roman" w:hAnsi="Times New Roman"/>
                <w:sz w:val="18"/>
                <w:szCs w:val="18"/>
              </w:rPr>
            </w:pPr>
            <w:r>
              <w:rPr>
                <w:rFonts w:ascii="Arial" w:eastAsia="宋体" w:hAnsi="Arial" w:cs="Arial"/>
                <w:sz w:val="18"/>
                <w:szCs w:val="18"/>
              </w:rPr>
              <w:t>2022</w:t>
            </w:r>
          </w:p>
        </w:tc>
        <w:tc>
          <w:tcPr>
            <w:tcW w:w="0" w:type="auto"/>
            <w:gridSpan w:val="2"/>
            <w:shd w:val="clear" w:color="auto" w:fill="auto"/>
            <w:tcMar>
              <w:top w:w="40" w:type="dxa"/>
              <w:left w:w="40" w:type="dxa"/>
              <w:bottom w:w="40" w:type="dxa"/>
            </w:tcMar>
            <w:vAlign w:val="bottom"/>
          </w:tcPr>
          <w:p w14:paraId="0BC9A17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76</w:t>
            </w:r>
          </w:p>
        </w:tc>
        <w:tc>
          <w:tcPr>
            <w:tcW w:w="0" w:type="auto"/>
            <w:shd w:val="clear" w:color="auto" w:fill="auto"/>
            <w:vAlign w:val="bottom"/>
          </w:tcPr>
          <w:p w14:paraId="0BC9A17D" w14:textId="77777777" w:rsidR="009F0928" w:rsidRDefault="009F0928">
            <w:pPr>
              <w:textAlignment w:val="bottom"/>
              <w:rPr>
                <w:rFonts w:ascii="Times New Roman" w:hAnsi="Times New Roman"/>
                <w:sz w:val="20"/>
                <w:szCs w:val="20"/>
              </w:rPr>
            </w:pPr>
          </w:p>
        </w:tc>
      </w:tr>
      <w:tr w:rsidR="009F0928" w14:paraId="0BC9A182" w14:textId="77777777">
        <w:tc>
          <w:tcPr>
            <w:tcW w:w="0" w:type="auto"/>
            <w:shd w:val="clear" w:color="auto" w:fill="E2E2E2"/>
            <w:tcMar>
              <w:top w:w="40" w:type="dxa"/>
              <w:left w:w="40" w:type="dxa"/>
              <w:bottom w:w="40" w:type="dxa"/>
              <w:right w:w="40" w:type="dxa"/>
            </w:tcMar>
            <w:vAlign w:val="bottom"/>
          </w:tcPr>
          <w:p w14:paraId="0BC9A17F" w14:textId="77777777" w:rsidR="009F0928" w:rsidRDefault="002112BD">
            <w:pPr>
              <w:textAlignment w:val="bottom"/>
              <w:rPr>
                <w:rFonts w:ascii="Times New Roman" w:hAnsi="Times New Roman"/>
                <w:sz w:val="18"/>
                <w:szCs w:val="18"/>
              </w:rPr>
            </w:pPr>
            <w:r>
              <w:rPr>
                <w:rFonts w:ascii="Arial" w:eastAsia="宋体" w:hAnsi="Arial" w:cs="Arial"/>
                <w:sz w:val="18"/>
                <w:szCs w:val="18"/>
              </w:rPr>
              <w:t>2023</w:t>
            </w:r>
          </w:p>
        </w:tc>
        <w:tc>
          <w:tcPr>
            <w:tcW w:w="0" w:type="auto"/>
            <w:gridSpan w:val="2"/>
            <w:shd w:val="clear" w:color="auto" w:fill="E2E2E2"/>
            <w:tcMar>
              <w:top w:w="40" w:type="dxa"/>
              <w:left w:w="40" w:type="dxa"/>
              <w:bottom w:w="40" w:type="dxa"/>
            </w:tcMar>
            <w:vAlign w:val="bottom"/>
          </w:tcPr>
          <w:p w14:paraId="0BC9A18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51</w:t>
            </w:r>
          </w:p>
        </w:tc>
        <w:tc>
          <w:tcPr>
            <w:tcW w:w="0" w:type="auto"/>
            <w:shd w:val="clear" w:color="auto" w:fill="E2E2E2"/>
            <w:vAlign w:val="bottom"/>
          </w:tcPr>
          <w:p w14:paraId="0BC9A181" w14:textId="77777777" w:rsidR="009F0928" w:rsidRDefault="009F0928">
            <w:pPr>
              <w:textAlignment w:val="bottom"/>
              <w:rPr>
                <w:rFonts w:ascii="Times New Roman" w:hAnsi="Times New Roman"/>
                <w:sz w:val="20"/>
                <w:szCs w:val="20"/>
              </w:rPr>
            </w:pPr>
          </w:p>
        </w:tc>
      </w:tr>
      <w:tr w:rsidR="009F0928" w14:paraId="0BC9A186" w14:textId="77777777">
        <w:tc>
          <w:tcPr>
            <w:tcW w:w="0" w:type="auto"/>
            <w:shd w:val="clear" w:color="auto" w:fill="auto"/>
            <w:tcMar>
              <w:top w:w="40" w:type="dxa"/>
              <w:left w:w="40" w:type="dxa"/>
              <w:bottom w:w="40" w:type="dxa"/>
              <w:right w:w="40" w:type="dxa"/>
            </w:tcMar>
            <w:vAlign w:val="bottom"/>
          </w:tcPr>
          <w:p w14:paraId="0BC9A183" w14:textId="77777777" w:rsidR="009F0928" w:rsidRDefault="002112BD">
            <w:pPr>
              <w:textAlignment w:val="bottom"/>
              <w:rPr>
                <w:rFonts w:ascii="Times New Roman" w:hAnsi="Times New Roman"/>
                <w:sz w:val="18"/>
                <w:szCs w:val="18"/>
              </w:rPr>
            </w:pPr>
            <w:r>
              <w:rPr>
                <w:rFonts w:ascii="Arial" w:eastAsia="宋体" w:hAnsi="Arial" w:cs="Arial"/>
                <w:sz w:val="18"/>
                <w:szCs w:val="18"/>
              </w:rPr>
              <w:t>Thereafter</w:t>
            </w:r>
          </w:p>
        </w:tc>
        <w:tc>
          <w:tcPr>
            <w:tcW w:w="0" w:type="auto"/>
            <w:gridSpan w:val="2"/>
            <w:tcBorders>
              <w:bottom w:val="single" w:sz="8" w:space="0" w:color="000000"/>
            </w:tcBorders>
            <w:shd w:val="clear" w:color="auto" w:fill="auto"/>
            <w:tcMar>
              <w:top w:w="40" w:type="dxa"/>
              <w:left w:w="40" w:type="dxa"/>
              <w:bottom w:w="40" w:type="dxa"/>
            </w:tcMar>
            <w:vAlign w:val="bottom"/>
          </w:tcPr>
          <w:p w14:paraId="0BC9A18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119</w:t>
            </w:r>
          </w:p>
        </w:tc>
        <w:tc>
          <w:tcPr>
            <w:tcW w:w="0" w:type="auto"/>
            <w:tcBorders>
              <w:bottom w:val="single" w:sz="8" w:space="0" w:color="000000"/>
            </w:tcBorders>
            <w:shd w:val="clear" w:color="auto" w:fill="auto"/>
            <w:vAlign w:val="bottom"/>
          </w:tcPr>
          <w:p w14:paraId="0BC9A185" w14:textId="77777777" w:rsidR="009F0928" w:rsidRDefault="009F0928">
            <w:pPr>
              <w:textAlignment w:val="bottom"/>
              <w:rPr>
                <w:rFonts w:ascii="Times New Roman" w:hAnsi="Times New Roman"/>
                <w:sz w:val="20"/>
                <w:szCs w:val="20"/>
              </w:rPr>
            </w:pPr>
          </w:p>
        </w:tc>
      </w:tr>
      <w:tr w:rsidR="009F0928" w14:paraId="0BC9A18B" w14:textId="77777777">
        <w:tc>
          <w:tcPr>
            <w:tcW w:w="0" w:type="auto"/>
            <w:shd w:val="clear" w:color="auto" w:fill="E2E2E2"/>
            <w:tcMar>
              <w:top w:w="40" w:type="dxa"/>
              <w:left w:w="400" w:type="dxa"/>
              <w:bottom w:w="40" w:type="dxa"/>
              <w:right w:w="40" w:type="dxa"/>
            </w:tcMar>
            <w:vAlign w:val="bottom"/>
          </w:tcPr>
          <w:p w14:paraId="0BC9A187"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Total minimum lease </w:t>
            </w:r>
            <w:r>
              <w:rPr>
                <w:rFonts w:ascii="Arial" w:eastAsia="宋体" w:hAnsi="Arial" w:cs="Arial"/>
                <w:sz w:val="18"/>
                <w:szCs w:val="18"/>
              </w:rPr>
              <w:t>payments</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18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18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577</w:t>
            </w:r>
          </w:p>
        </w:tc>
        <w:tc>
          <w:tcPr>
            <w:tcW w:w="0" w:type="auto"/>
            <w:tcBorders>
              <w:top w:val="single" w:sz="8" w:space="0" w:color="000000"/>
              <w:bottom w:val="double" w:sz="6" w:space="0" w:color="000000"/>
            </w:tcBorders>
            <w:shd w:val="clear" w:color="auto" w:fill="E2E2E2"/>
            <w:vAlign w:val="bottom"/>
          </w:tcPr>
          <w:p w14:paraId="0BC9A18A" w14:textId="77777777" w:rsidR="009F0928" w:rsidRDefault="009F0928">
            <w:pPr>
              <w:textAlignment w:val="bottom"/>
              <w:rPr>
                <w:rFonts w:ascii="Times New Roman" w:hAnsi="Times New Roman"/>
                <w:sz w:val="20"/>
                <w:szCs w:val="20"/>
              </w:rPr>
            </w:pPr>
          </w:p>
        </w:tc>
      </w:tr>
    </w:tbl>
    <w:p w14:paraId="0BC9A18C" w14:textId="77777777" w:rsidR="009F0928" w:rsidRDefault="002112BD">
      <w:pPr>
        <w:spacing w:line="288" w:lineRule="auto"/>
        <w:ind w:hanging="480"/>
        <w:jc w:val="both"/>
        <w:rPr>
          <w:rFonts w:ascii="Times New Roman" w:hAnsi="Times New Roman"/>
          <w:sz w:val="16"/>
          <w:szCs w:val="16"/>
        </w:rPr>
      </w:pPr>
      <w:r>
        <w:rPr>
          <w:rFonts w:ascii="Arial" w:eastAsia="宋体" w:hAnsi="Arial" w:cs="Arial"/>
          <w:sz w:val="16"/>
          <w:szCs w:val="16"/>
        </w:rPr>
        <w:t>(3) Amounts are based on ASC 840,</w:t>
      </w:r>
      <w:r>
        <w:rPr>
          <w:rFonts w:ascii="Arial" w:eastAsia="宋体" w:hAnsi="Arial" w:cs="Arial"/>
          <w:i/>
          <w:iCs/>
          <w:sz w:val="16"/>
          <w:szCs w:val="16"/>
        </w:rPr>
        <w:t xml:space="preserve"> Leases</w:t>
      </w:r>
      <w:r>
        <w:rPr>
          <w:rFonts w:ascii="Arial" w:eastAsia="宋体" w:hAnsi="Arial" w:cs="Arial"/>
          <w:sz w:val="16"/>
          <w:szCs w:val="16"/>
        </w:rPr>
        <w:t xml:space="preserve"> that were superseded upon our adoption of ASC 842, </w:t>
      </w:r>
      <w:r>
        <w:rPr>
          <w:rFonts w:ascii="Arial" w:eastAsia="宋体" w:hAnsi="Arial" w:cs="Arial"/>
          <w:i/>
          <w:iCs/>
          <w:sz w:val="16"/>
          <w:szCs w:val="16"/>
        </w:rPr>
        <w:t>Leases</w:t>
      </w:r>
      <w:r>
        <w:rPr>
          <w:rFonts w:ascii="Arial" w:eastAsia="宋体" w:hAnsi="Arial" w:cs="Arial"/>
          <w:sz w:val="16"/>
          <w:szCs w:val="16"/>
        </w:rPr>
        <w:t xml:space="preserve"> on January 1, 2019.</w:t>
      </w:r>
    </w:p>
    <w:p w14:paraId="0BC9A18D" w14:textId="77777777" w:rsidR="009F0928" w:rsidRDefault="009F0928">
      <w:pPr>
        <w:spacing w:line="288" w:lineRule="auto"/>
        <w:jc w:val="both"/>
        <w:rPr>
          <w:rFonts w:ascii="Times New Roman" w:hAnsi="Times New Roman"/>
          <w:sz w:val="20"/>
          <w:szCs w:val="20"/>
        </w:rPr>
      </w:pPr>
    </w:p>
    <w:p w14:paraId="0BC9A18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Rent expense for the years ended December 31, 2019, 2018 and 2017 totaled $233 million, $118 million and $105 </w:t>
      </w:r>
      <w:r>
        <w:rPr>
          <w:rFonts w:ascii="Arial" w:eastAsia="宋体" w:hAnsi="Arial" w:cs="Arial"/>
          <w:sz w:val="20"/>
          <w:szCs w:val="20"/>
        </w:rPr>
        <w:t>million, respectively. Rent expense includes operating lease costs as well as expense for non-lease components such as common area maintenance.</w:t>
      </w:r>
    </w:p>
    <w:p w14:paraId="0BC9A18F" w14:textId="77777777" w:rsidR="009F0928" w:rsidRDefault="009F0928">
      <w:pPr>
        <w:rPr>
          <w:rFonts w:ascii="Times New Roman" w:hAnsi="Times New Roman"/>
          <w:sz w:val="20"/>
          <w:szCs w:val="20"/>
        </w:rPr>
      </w:pPr>
    </w:p>
    <w:p w14:paraId="0BC9A190"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F-33</w:t>
      </w:r>
    </w:p>
    <w:p w14:paraId="0BC9A191" w14:textId="77777777" w:rsidR="009F0928" w:rsidRDefault="002112BD">
      <w:r>
        <w:rPr>
          <w:rFonts w:ascii="Times New Roman" w:hAnsi="Times New Roman"/>
          <w:sz w:val="18"/>
          <w:szCs w:val="18"/>
        </w:rPr>
        <w:pict w14:anchorId="0BC9B51B">
          <v:rect id="_x0000_i1119" style="width:415.3pt;height:1.5pt" o:hralign="center" o:hrstd="t" o:hr="t" fillcolor="#a0a0a0" stroked="f"/>
        </w:pict>
      </w:r>
    </w:p>
    <w:p w14:paraId="0BC9A192" w14:textId="77777777" w:rsidR="009F0928" w:rsidRDefault="009F0928">
      <w:pPr>
        <w:spacing w:line="288" w:lineRule="auto"/>
        <w:rPr>
          <w:rFonts w:ascii="Times New Roman" w:hAnsi="Times New Roman"/>
          <w:sz w:val="20"/>
          <w:szCs w:val="20"/>
        </w:rPr>
      </w:pPr>
    </w:p>
    <w:p w14:paraId="0BC9A193" w14:textId="77777777" w:rsidR="009F0928" w:rsidRDefault="009F0928">
      <w:pPr>
        <w:rPr>
          <w:rFonts w:ascii="Times New Roman" w:hAnsi="Times New Roman"/>
          <w:sz w:val="20"/>
          <w:szCs w:val="20"/>
        </w:rPr>
      </w:pPr>
    </w:p>
    <w:p w14:paraId="0BC9A194" w14:textId="77777777" w:rsidR="009F0928" w:rsidRDefault="009F0928">
      <w:pPr>
        <w:spacing w:line="288" w:lineRule="auto"/>
        <w:ind w:firstLine="720"/>
        <w:jc w:val="both"/>
        <w:rPr>
          <w:rFonts w:ascii="Times New Roman" w:hAnsi="Times New Roman"/>
          <w:sz w:val="20"/>
          <w:szCs w:val="20"/>
        </w:rPr>
      </w:pPr>
    </w:p>
    <w:p w14:paraId="0BC9A19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following table provides a summary of our lease terms and discount rates for the year ended December 31, 2019: </w:t>
      </w:r>
    </w:p>
    <w:tbl>
      <w:tblPr>
        <w:tblW w:w="5000" w:type="pct"/>
        <w:jc w:val="center"/>
        <w:tblCellMar>
          <w:left w:w="0" w:type="dxa"/>
          <w:right w:w="0" w:type="dxa"/>
        </w:tblCellMar>
        <w:tblLook w:val="04A0" w:firstRow="1" w:lastRow="0" w:firstColumn="1" w:lastColumn="0" w:noHBand="0" w:noVBand="1"/>
      </w:tblPr>
      <w:tblGrid>
        <w:gridCol w:w="6835"/>
        <w:gridCol w:w="1270"/>
        <w:gridCol w:w="201"/>
      </w:tblGrid>
      <w:tr w:rsidR="009F0928" w14:paraId="0BC9A197" w14:textId="77777777">
        <w:trPr>
          <w:jc w:val="center"/>
        </w:trPr>
        <w:tc>
          <w:tcPr>
            <w:tcW w:w="0" w:type="auto"/>
            <w:gridSpan w:val="3"/>
            <w:shd w:val="clear" w:color="auto" w:fill="auto"/>
            <w:vAlign w:val="center"/>
          </w:tcPr>
          <w:p w14:paraId="0BC9A196" w14:textId="77777777" w:rsidR="009F0928" w:rsidRDefault="009F0928">
            <w:pPr>
              <w:rPr>
                <w:rFonts w:ascii="Times New Roman" w:hAnsi="Times New Roman"/>
                <w:sz w:val="20"/>
                <w:szCs w:val="20"/>
              </w:rPr>
            </w:pPr>
          </w:p>
        </w:tc>
      </w:tr>
      <w:tr w:rsidR="009F0928" w14:paraId="0BC9A19B" w14:textId="77777777">
        <w:trPr>
          <w:jc w:val="center"/>
        </w:trPr>
        <w:tc>
          <w:tcPr>
            <w:tcW w:w="4150" w:type="pct"/>
            <w:shd w:val="clear" w:color="auto" w:fill="auto"/>
            <w:vAlign w:val="center"/>
          </w:tcPr>
          <w:p w14:paraId="0BC9A198" w14:textId="77777777" w:rsidR="009F0928" w:rsidRDefault="009F0928">
            <w:pPr>
              <w:rPr>
                <w:rFonts w:ascii="Times New Roman" w:hAnsi="Times New Roman"/>
                <w:sz w:val="20"/>
                <w:szCs w:val="20"/>
              </w:rPr>
            </w:pPr>
          </w:p>
        </w:tc>
        <w:tc>
          <w:tcPr>
            <w:tcW w:w="800" w:type="pct"/>
            <w:shd w:val="clear" w:color="auto" w:fill="auto"/>
            <w:vAlign w:val="center"/>
          </w:tcPr>
          <w:p w14:paraId="0BC9A199" w14:textId="77777777" w:rsidR="009F0928" w:rsidRDefault="009F0928">
            <w:pPr>
              <w:rPr>
                <w:rFonts w:ascii="Times New Roman" w:hAnsi="Times New Roman"/>
                <w:sz w:val="20"/>
                <w:szCs w:val="20"/>
              </w:rPr>
            </w:pPr>
          </w:p>
        </w:tc>
        <w:tc>
          <w:tcPr>
            <w:tcW w:w="50" w:type="pct"/>
            <w:shd w:val="clear" w:color="auto" w:fill="auto"/>
            <w:vAlign w:val="center"/>
          </w:tcPr>
          <w:p w14:paraId="0BC9A19A" w14:textId="77777777" w:rsidR="009F0928" w:rsidRDefault="009F0928">
            <w:pPr>
              <w:rPr>
                <w:rFonts w:ascii="Times New Roman" w:hAnsi="Times New Roman"/>
                <w:sz w:val="20"/>
                <w:szCs w:val="20"/>
              </w:rPr>
            </w:pPr>
          </w:p>
        </w:tc>
      </w:tr>
      <w:tr w:rsidR="009F0928" w14:paraId="0BC9A19E" w14:textId="77777777">
        <w:trPr>
          <w:jc w:val="center"/>
        </w:trPr>
        <w:tc>
          <w:tcPr>
            <w:tcW w:w="0" w:type="auto"/>
            <w:shd w:val="clear" w:color="auto" w:fill="auto"/>
            <w:tcMar>
              <w:top w:w="40" w:type="dxa"/>
              <w:left w:w="40" w:type="dxa"/>
              <w:bottom w:w="40" w:type="dxa"/>
              <w:right w:w="40" w:type="dxa"/>
            </w:tcMar>
            <w:vAlign w:val="bottom"/>
          </w:tcPr>
          <w:p w14:paraId="0BC9A19C"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A19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 2019</w:t>
            </w:r>
          </w:p>
        </w:tc>
      </w:tr>
      <w:tr w:rsidR="009F0928" w14:paraId="0BC9A1A1" w14:textId="77777777">
        <w:trPr>
          <w:jc w:val="center"/>
        </w:trPr>
        <w:tc>
          <w:tcPr>
            <w:tcW w:w="0" w:type="auto"/>
            <w:shd w:val="clear" w:color="auto" w:fill="E2E2E2"/>
            <w:tcMar>
              <w:top w:w="40" w:type="dxa"/>
              <w:left w:w="40" w:type="dxa"/>
              <w:bottom w:w="40" w:type="dxa"/>
              <w:right w:w="40" w:type="dxa"/>
            </w:tcMar>
            <w:vAlign w:val="bottom"/>
          </w:tcPr>
          <w:p w14:paraId="0BC9A19F"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Weighted Average Remaining Lease Term</w:t>
            </w:r>
          </w:p>
        </w:tc>
        <w:tc>
          <w:tcPr>
            <w:tcW w:w="0" w:type="auto"/>
            <w:gridSpan w:val="2"/>
            <w:shd w:val="clear" w:color="auto" w:fill="E2E2E2"/>
            <w:tcMar>
              <w:top w:w="40" w:type="dxa"/>
              <w:left w:w="40" w:type="dxa"/>
              <w:bottom w:w="40" w:type="dxa"/>
              <w:right w:w="40" w:type="dxa"/>
            </w:tcMar>
            <w:vAlign w:val="bottom"/>
          </w:tcPr>
          <w:p w14:paraId="0BC9A1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1A5" w14:textId="77777777">
        <w:trPr>
          <w:jc w:val="center"/>
        </w:trPr>
        <w:tc>
          <w:tcPr>
            <w:tcW w:w="0" w:type="auto"/>
            <w:shd w:val="clear" w:color="auto" w:fill="auto"/>
            <w:tcMar>
              <w:top w:w="40" w:type="dxa"/>
              <w:left w:w="40" w:type="dxa"/>
              <w:bottom w:w="40" w:type="dxa"/>
              <w:right w:w="40" w:type="dxa"/>
            </w:tcMar>
            <w:vAlign w:val="bottom"/>
          </w:tcPr>
          <w:p w14:paraId="0BC9A1A2" w14:textId="77777777" w:rsidR="009F0928" w:rsidRDefault="002112BD">
            <w:pPr>
              <w:textAlignment w:val="bottom"/>
              <w:rPr>
                <w:rFonts w:ascii="Times New Roman" w:hAnsi="Times New Roman"/>
                <w:sz w:val="18"/>
                <w:szCs w:val="18"/>
              </w:rPr>
            </w:pPr>
            <w:r>
              <w:rPr>
                <w:rFonts w:ascii="Arial" w:eastAsia="宋体" w:hAnsi="Arial" w:cs="Arial"/>
                <w:sz w:val="18"/>
                <w:szCs w:val="18"/>
              </w:rPr>
              <w:t>Operating leases</w:t>
            </w:r>
          </w:p>
        </w:tc>
        <w:tc>
          <w:tcPr>
            <w:tcW w:w="0" w:type="auto"/>
            <w:shd w:val="clear" w:color="auto" w:fill="auto"/>
            <w:tcMar>
              <w:top w:w="40" w:type="dxa"/>
              <w:left w:w="40" w:type="dxa"/>
              <w:bottom w:w="40" w:type="dxa"/>
            </w:tcMar>
            <w:vAlign w:val="bottom"/>
          </w:tcPr>
          <w:p w14:paraId="0BC9A1A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4.66 years</w:t>
            </w:r>
          </w:p>
        </w:tc>
        <w:tc>
          <w:tcPr>
            <w:tcW w:w="0" w:type="auto"/>
            <w:shd w:val="clear" w:color="auto" w:fill="auto"/>
            <w:vAlign w:val="bottom"/>
          </w:tcPr>
          <w:p w14:paraId="0BC9A1A4" w14:textId="77777777" w:rsidR="009F0928" w:rsidRDefault="009F0928">
            <w:pPr>
              <w:textAlignment w:val="bottom"/>
              <w:rPr>
                <w:rFonts w:ascii="Times New Roman" w:hAnsi="Times New Roman"/>
                <w:sz w:val="20"/>
                <w:szCs w:val="20"/>
              </w:rPr>
            </w:pPr>
          </w:p>
        </w:tc>
      </w:tr>
      <w:tr w:rsidR="009F0928" w14:paraId="0BC9A1A8" w14:textId="77777777">
        <w:trPr>
          <w:jc w:val="center"/>
        </w:trPr>
        <w:tc>
          <w:tcPr>
            <w:tcW w:w="0" w:type="auto"/>
            <w:shd w:val="clear" w:color="auto" w:fill="E2E2E2"/>
            <w:tcMar>
              <w:top w:w="40" w:type="dxa"/>
              <w:left w:w="40" w:type="dxa"/>
              <w:bottom w:w="40" w:type="dxa"/>
              <w:right w:w="40" w:type="dxa"/>
            </w:tcMar>
            <w:vAlign w:val="bottom"/>
          </w:tcPr>
          <w:p w14:paraId="0BC9A1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right w:w="40" w:type="dxa"/>
            </w:tcMar>
            <w:vAlign w:val="bottom"/>
          </w:tcPr>
          <w:p w14:paraId="0BC9A1A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1AB" w14:textId="77777777">
        <w:trPr>
          <w:jc w:val="center"/>
        </w:trPr>
        <w:tc>
          <w:tcPr>
            <w:tcW w:w="0" w:type="auto"/>
            <w:shd w:val="clear" w:color="auto" w:fill="auto"/>
            <w:tcMar>
              <w:top w:w="40" w:type="dxa"/>
              <w:left w:w="40" w:type="dxa"/>
              <w:bottom w:w="40" w:type="dxa"/>
              <w:right w:w="40" w:type="dxa"/>
            </w:tcMar>
            <w:vAlign w:val="bottom"/>
          </w:tcPr>
          <w:p w14:paraId="0BC9A1A9"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 xml:space="preserve">Weighted Average </w:t>
            </w:r>
            <w:r>
              <w:rPr>
                <w:rFonts w:ascii="Arial" w:eastAsia="宋体" w:hAnsi="Arial" w:cs="Arial"/>
                <w:b/>
                <w:bCs/>
                <w:sz w:val="18"/>
                <w:szCs w:val="18"/>
              </w:rPr>
              <w:t>Discount Rate</w:t>
            </w:r>
          </w:p>
        </w:tc>
        <w:tc>
          <w:tcPr>
            <w:tcW w:w="0" w:type="auto"/>
            <w:gridSpan w:val="2"/>
            <w:shd w:val="clear" w:color="auto" w:fill="auto"/>
            <w:tcMar>
              <w:top w:w="40" w:type="dxa"/>
              <w:left w:w="40" w:type="dxa"/>
              <w:bottom w:w="40" w:type="dxa"/>
              <w:right w:w="40" w:type="dxa"/>
            </w:tcMar>
            <w:vAlign w:val="bottom"/>
          </w:tcPr>
          <w:p w14:paraId="0BC9A1A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1AF" w14:textId="77777777">
        <w:trPr>
          <w:jc w:val="center"/>
        </w:trPr>
        <w:tc>
          <w:tcPr>
            <w:tcW w:w="0" w:type="auto"/>
            <w:shd w:val="clear" w:color="auto" w:fill="E2E2E2"/>
            <w:tcMar>
              <w:top w:w="40" w:type="dxa"/>
              <w:left w:w="40" w:type="dxa"/>
              <w:bottom w:w="40" w:type="dxa"/>
              <w:right w:w="40" w:type="dxa"/>
            </w:tcMar>
            <w:vAlign w:val="bottom"/>
          </w:tcPr>
          <w:p w14:paraId="0BC9A1AC" w14:textId="77777777" w:rsidR="009F0928" w:rsidRDefault="002112BD">
            <w:pPr>
              <w:textAlignment w:val="bottom"/>
              <w:rPr>
                <w:rFonts w:ascii="Times New Roman" w:hAnsi="Times New Roman"/>
                <w:sz w:val="18"/>
                <w:szCs w:val="18"/>
              </w:rPr>
            </w:pPr>
            <w:r>
              <w:rPr>
                <w:rFonts w:ascii="Arial" w:eastAsia="宋体" w:hAnsi="Arial" w:cs="Arial"/>
                <w:sz w:val="18"/>
                <w:szCs w:val="18"/>
              </w:rPr>
              <w:t>Operating leases</w:t>
            </w:r>
          </w:p>
        </w:tc>
        <w:tc>
          <w:tcPr>
            <w:tcW w:w="0" w:type="auto"/>
            <w:shd w:val="clear" w:color="auto" w:fill="E2E2E2"/>
            <w:tcMar>
              <w:top w:w="40" w:type="dxa"/>
              <w:left w:w="40" w:type="dxa"/>
              <w:bottom w:w="40" w:type="dxa"/>
            </w:tcMar>
            <w:vAlign w:val="bottom"/>
          </w:tcPr>
          <w:p w14:paraId="0BC9A1A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3.11</w:t>
            </w:r>
          </w:p>
        </w:tc>
        <w:tc>
          <w:tcPr>
            <w:tcW w:w="0" w:type="auto"/>
            <w:shd w:val="clear" w:color="auto" w:fill="E2E2E2"/>
            <w:tcMar>
              <w:top w:w="40" w:type="dxa"/>
              <w:bottom w:w="40" w:type="dxa"/>
              <w:right w:w="40" w:type="dxa"/>
            </w:tcMar>
            <w:vAlign w:val="bottom"/>
          </w:tcPr>
          <w:p w14:paraId="0BC9A1A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bl>
    <w:p w14:paraId="0BC9A1B0" w14:textId="77777777" w:rsidR="009F0928" w:rsidRDefault="009F0928">
      <w:pPr>
        <w:spacing w:line="288" w:lineRule="auto"/>
        <w:rPr>
          <w:rFonts w:ascii="Times New Roman" w:hAnsi="Times New Roman"/>
          <w:sz w:val="20"/>
          <w:szCs w:val="20"/>
        </w:rPr>
      </w:pPr>
    </w:p>
    <w:p w14:paraId="0BC9A1B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Supplemental information related to our leases for the year ended December 31, 2019 is as follows (in millions):</w:t>
      </w:r>
    </w:p>
    <w:tbl>
      <w:tblPr>
        <w:tblW w:w="4990" w:type="pct"/>
        <w:jc w:val="center"/>
        <w:tblCellMar>
          <w:left w:w="0" w:type="dxa"/>
          <w:right w:w="0" w:type="dxa"/>
        </w:tblCellMar>
        <w:tblLook w:val="04A0" w:firstRow="1" w:lastRow="0" w:firstColumn="1" w:lastColumn="0" w:noHBand="0" w:noVBand="1"/>
      </w:tblPr>
      <w:tblGrid>
        <w:gridCol w:w="6841"/>
        <w:gridCol w:w="130"/>
        <w:gridCol w:w="142"/>
        <w:gridCol w:w="1123"/>
        <w:gridCol w:w="53"/>
      </w:tblGrid>
      <w:tr w:rsidR="009F0928" w14:paraId="0BC9A1B3" w14:textId="77777777">
        <w:trPr>
          <w:jc w:val="center"/>
        </w:trPr>
        <w:tc>
          <w:tcPr>
            <w:tcW w:w="0" w:type="auto"/>
            <w:gridSpan w:val="5"/>
            <w:shd w:val="clear" w:color="auto" w:fill="auto"/>
            <w:vAlign w:val="center"/>
          </w:tcPr>
          <w:p w14:paraId="0BC9A1B2" w14:textId="77777777" w:rsidR="009F0928" w:rsidRDefault="009F0928">
            <w:pPr>
              <w:rPr>
                <w:rFonts w:ascii="Times New Roman" w:hAnsi="Times New Roman"/>
                <w:sz w:val="20"/>
                <w:szCs w:val="20"/>
              </w:rPr>
            </w:pPr>
          </w:p>
        </w:tc>
      </w:tr>
      <w:tr w:rsidR="009F0928" w14:paraId="0BC9A1B9" w14:textId="77777777">
        <w:trPr>
          <w:jc w:val="center"/>
        </w:trPr>
        <w:tc>
          <w:tcPr>
            <w:tcW w:w="4150" w:type="pct"/>
            <w:shd w:val="clear" w:color="auto" w:fill="auto"/>
            <w:vAlign w:val="center"/>
          </w:tcPr>
          <w:p w14:paraId="0BC9A1B4" w14:textId="77777777" w:rsidR="009F0928" w:rsidRDefault="009F0928">
            <w:pPr>
              <w:rPr>
                <w:rFonts w:ascii="Times New Roman" w:hAnsi="Times New Roman"/>
                <w:sz w:val="20"/>
                <w:szCs w:val="20"/>
              </w:rPr>
            </w:pPr>
          </w:p>
        </w:tc>
        <w:tc>
          <w:tcPr>
            <w:tcW w:w="50" w:type="pct"/>
            <w:shd w:val="clear" w:color="auto" w:fill="auto"/>
            <w:vAlign w:val="center"/>
          </w:tcPr>
          <w:p w14:paraId="0BC9A1B5" w14:textId="77777777" w:rsidR="009F0928" w:rsidRDefault="009F0928">
            <w:pPr>
              <w:rPr>
                <w:rFonts w:ascii="Times New Roman" w:hAnsi="Times New Roman"/>
                <w:sz w:val="20"/>
                <w:szCs w:val="20"/>
              </w:rPr>
            </w:pPr>
          </w:p>
        </w:tc>
        <w:tc>
          <w:tcPr>
            <w:tcW w:w="50" w:type="pct"/>
            <w:shd w:val="clear" w:color="auto" w:fill="auto"/>
            <w:vAlign w:val="center"/>
          </w:tcPr>
          <w:p w14:paraId="0BC9A1B6" w14:textId="77777777" w:rsidR="009F0928" w:rsidRDefault="009F0928">
            <w:pPr>
              <w:rPr>
                <w:rFonts w:ascii="Times New Roman" w:hAnsi="Times New Roman"/>
                <w:sz w:val="20"/>
                <w:szCs w:val="20"/>
              </w:rPr>
            </w:pPr>
          </w:p>
        </w:tc>
        <w:tc>
          <w:tcPr>
            <w:tcW w:w="700" w:type="pct"/>
            <w:shd w:val="clear" w:color="auto" w:fill="auto"/>
            <w:vAlign w:val="center"/>
          </w:tcPr>
          <w:p w14:paraId="0BC9A1B7" w14:textId="77777777" w:rsidR="009F0928" w:rsidRDefault="009F0928">
            <w:pPr>
              <w:rPr>
                <w:rFonts w:ascii="Times New Roman" w:hAnsi="Times New Roman"/>
                <w:sz w:val="20"/>
                <w:szCs w:val="20"/>
              </w:rPr>
            </w:pPr>
          </w:p>
        </w:tc>
        <w:tc>
          <w:tcPr>
            <w:tcW w:w="50" w:type="pct"/>
            <w:shd w:val="clear" w:color="auto" w:fill="auto"/>
            <w:vAlign w:val="center"/>
          </w:tcPr>
          <w:p w14:paraId="0BC9A1B8" w14:textId="77777777" w:rsidR="009F0928" w:rsidRDefault="009F0928">
            <w:pPr>
              <w:rPr>
                <w:rFonts w:ascii="Times New Roman" w:hAnsi="Times New Roman"/>
                <w:sz w:val="20"/>
                <w:szCs w:val="20"/>
              </w:rPr>
            </w:pPr>
          </w:p>
        </w:tc>
      </w:tr>
      <w:tr w:rsidR="009F0928" w14:paraId="0BC9A1BD" w14:textId="77777777">
        <w:trPr>
          <w:jc w:val="center"/>
        </w:trPr>
        <w:tc>
          <w:tcPr>
            <w:tcW w:w="0" w:type="auto"/>
            <w:shd w:val="clear" w:color="auto" w:fill="auto"/>
            <w:tcMar>
              <w:top w:w="40" w:type="dxa"/>
              <w:left w:w="40" w:type="dxa"/>
              <w:bottom w:w="40" w:type="dxa"/>
              <w:right w:w="40" w:type="dxa"/>
            </w:tcMar>
            <w:vAlign w:val="bottom"/>
          </w:tcPr>
          <w:p w14:paraId="0BC9A1BA"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A1B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1B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 2019</w:t>
            </w:r>
          </w:p>
        </w:tc>
      </w:tr>
      <w:tr w:rsidR="009F0928" w14:paraId="0BC9A1C1" w14:textId="77777777">
        <w:trPr>
          <w:jc w:val="center"/>
        </w:trPr>
        <w:tc>
          <w:tcPr>
            <w:tcW w:w="0" w:type="auto"/>
            <w:shd w:val="clear" w:color="auto" w:fill="E2E2E2"/>
            <w:tcMar>
              <w:top w:w="40" w:type="dxa"/>
              <w:left w:w="40" w:type="dxa"/>
              <w:bottom w:w="40" w:type="dxa"/>
              <w:right w:w="40" w:type="dxa"/>
            </w:tcMar>
            <w:vAlign w:val="bottom"/>
          </w:tcPr>
          <w:p w14:paraId="0BC9A1BE"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Cash paid for amounts included in the </w:t>
            </w:r>
            <w:r>
              <w:rPr>
                <w:rFonts w:ascii="Arial" w:eastAsia="宋体" w:hAnsi="Arial" w:cs="Arial"/>
                <w:sz w:val="18"/>
                <w:szCs w:val="18"/>
              </w:rPr>
              <w:t>measurement of lease liabilities:</w:t>
            </w:r>
          </w:p>
        </w:tc>
        <w:tc>
          <w:tcPr>
            <w:tcW w:w="0" w:type="auto"/>
            <w:shd w:val="clear" w:color="auto" w:fill="E2E2E2"/>
            <w:tcMar>
              <w:top w:w="40" w:type="dxa"/>
              <w:left w:w="40" w:type="dxa"/>
              <w:bottom w:w="40" w:type="dxa"/>
              <w:right w:w="40" w:type="dxa"/>
            </w:tcMar>
            <w:vAlign w:val="bottom"/>
          </w:tcPr>
          <w:p w14:paraId="0BC9A1B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1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1C7" w14:textId="77777777">
        <w:trPr>
          <w:jc w:val="center"/>
        </w:trPr>
        <w:tc>
          <w:tcPr>
            <w:tcW w:w="0" w:type="auto"/>
            <w:shd w:val="clear" w:color="auto" w:fill="auto"/>
            <w:tcMar>
              <w:top w:w="40" w:type="dxa"/>
              <w:left w:w="400" w:type="dxa"/>
              <w:bottom w:w="40" w:type="dxa"/>
              <w:right w:w="40" w:type="dxa"/>
            </w:tcMar>
            <w:vAlign w:val="bottom"/>
          </w:tcPr>
          <w:p w14:paraId="0BC9A1C2" w14:textId="77777777" w:rsidR="009F0928" w:rsidRDefault="002112BD">
            <w:pPr>
              <w:textAlignment w:val="bottom"/>
              <w:rPr>
                <w:rFonts w:ascii="Times New Roman" w:hAnsi="Times New Roman"/>
                <w:sz w:val="18"/>
                <w:szCs w:val="18"/>
              </w:rPr>
            </w:pPr>
            <w:r>
              <w:rPr>
                <w:rFonts w:ascii="Arial" w:eastAsia="宋体" w:hAnsi="Arial" w:cs="Arial"/>
                <w:sz w:val="18"/>
                <w:szCs w:val="18"/>
              </w:rPr>
              <w:t>Operating cash flows from operating leases</w:t>
            </w:r>
          </w:p>
        </w:tc>
        <w:tc>
          <w:tcPr>
            <w:tcW w:w="0" w:type="auto"/>
            <w:shd w:val="clear" w:color="auto" w:fill="auto"/>
            <w:tcMar>
              <w:top w:w="40" w:type="dxa"/>
              <w:left w:w="40" w:type="dxa"/>
              <w:bottom w:w="40" w:type="dxa"/>
              <w:right w:w="40" w:type="dxa"/>
            </w:tcMar>
            <w:vAlign w:val="bottom"/>
          </w:tcPr>
          <w:p w14:paraId="0BC9A1C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1C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1C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196</w:t>
            </w:r>
          </w:p>
        </w:tc>
        <w:tc>
          <w:tcPr>
            <w:tcW w:w="0" w:type="auto"/>
            <w:shd w:val="clear" w:color="auto" w:fill="auto"/>
            <w:vAlign w:val="bottom"/>
          </w:tcPr>
          <w:p w14:paraId="0BC9A1C6" w14:textId="77777777" w:rsidR="009F0928" w:rsidRDefault="009F0928">
            <w:pPr>
              <w:textAlignment w:val="bottom"/>
              <w:rPr>
                <w:rFonts w:ascii="Times New Roman" w:hAnsi="Times New Roman"/>
                <w:sz w:val="20"/>
                <w:szCs w:val="20"/>
              </w:rPr>
            </w:pPr>
          </w:p>
        </w:tc>
      </w:tr>
      <w:tr w:rsidR="009F0928" w14:paraId="0BC9A1CD" w14:textId="77777777">
        <w:trPr>
          <w:jc w:val="center"/>
        </w:trPr>
        <w:tc>
          <w:tcPr>
            <w:tcW w:w="0" w:type="auto"/>
            <w:shd w:val="clear" w:color="auto" w:fill="E2E2E2"/>
            <w:tcMar>
              <w:top w:w="40" w:type="dxa"/>
              <w:left w:w="400" w:type="dxa"/>
              <w:bottom w:w="40" w:type="dxa"/>
              <w:right w:w="40" w:type="dxa"/>
            </w:tcMar>
            <w:vAlign w:val="bottom"/>
          </w:tcPr>
          <w:p w14:paraId="0BC9A1C8" w14:textId="77777777" w:rsidR="009F0928" w:rsidRDefault="002112BD">
            <w:pPr>
              <w:textAlignment w:val="bottom"/>
              <w:rPr>
                <w:rFonts w:ascii="Times New Roman" w:hAnsi="Times New Roman"/>
                <w:sz w:val="18"/>
                <w:szCs w:val="18"/>
              </w:rPr>
            </w:pPr>
            <w:r>
              <w:rPr>
                <w:rFonts w:ascii="Arial" w:eastAsia="宋体" w:hAnsi="Arial" w:cs="Arial"/>
                <w:sz w:val="18"/>
                <w:szCs w:val="18"/>
              </w:rPr>
              <w:t>Operating cash flows from finance leases</w:t>
            </w:r>
          </w:p>
        </w:tc>
        <w:tc>
          <w:tcPr>
            <w:tcW w:w="0" w:type="auto"/>
            <w:shd w:val="clear" w:color="auto" w:fill="E2E2E2"/>
            <w:tcMar>
              <w:top w:w="40" w:type="dxa"/>
              <w:left w:w="40" w:type="dxa"/>
              <w:bottom w:w="40" w:type="dxa"/>
              <w:right w:w="40" w:type="dxa"/>
            </w:tcMar>
            <w:vAlign w:val="bottom"/>
          </w:tcPr>
          <w:p w14:paraId="0BC9A1C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1C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1C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w:t>
            </w:r>
          </w:p>
        </w:tc>
        <w:tc>
          <w:tcPr>
            <w:tcW w:w="0" w:type="auto"/>
            <w:shd w:val="clear" w:color="auto" w:fill="E2E2E2"/>
            <w:vAlign w:val="bottom"/>
          </w:tcPr>
          <w:p w14:paraId="0BC9A1CC" w14:textId="77777777" w:rsidR="009F0928" w:rsidRDefault="009F0928">
            <w:pPr>
              <w:textAlignment w:val="bottom"/>
              <w:rPr>
                <w:rFonts w:ascii="Times New Roman" w:hAnsi="Times New Roman"/>
                <w:sz w:val="20"/>
                <w:szCs w:val="20"/>
              </w:rPr>
            </w:pPr>
          </w:p>
        </w:tc>
      </w:tr>
      <w:tr w:rsidR="009F0928" w14:paraId="0BC9A1D3" w14:textId="77777777">
        <w:trPr>
          <w:jc w:val="center"/>
        </w:trPr>
        <w:tc>
          <w:tcPr>
            <w:tcW w:w="0" w:type="auto"/>
            <w:shd w:val="clear" w:color="auto" w:fill="auto"/>
            <w:tcMar>
              <w:top w:w="40" w:type="dxa"/>
              <w:left w:w="400" w:type="dxa"/>
              <w:bottom w:w="40" w:type="dxa"/>
              <w:right w:w="40" w:type="dxa"/>
            </w:tcMar>
            <w:vAlign w:val="bottom"/>
          </w:tcPr>
          <w:p w14:paraId="0BC9A1CE" w14:textId="77777777" w:rsidR="009F0928" w:rsidRDefault="002112BD">
            <w:pPr>
              <w:textAlignment w:val="bottom"/>
              <w:rPr>
                <w:rFonts w:ascii="Times New Roman" w:hAnsi="Times New Roman"/>
                <w:sz w:val="18"/>
                <w:szCs w:val="18"/>
              </w:rPr>
            </w:pPr>
            <w:r>
              <w:rPr>
                <w:rFonts w:ascii="Arial" w:eastAsia="宋体" w:hAnsi="Arial" w:cs="Arial"/>
                <w:sz w:val="18"/>
                <w:szCs w:val="18"/>
              </w:rPr>
              <w:t>Financing cash flows from finance leases</w:t>
            </w:r>
          </w:p>
        </w:tc>
        <w:tc>
          <w:tcPr>
            <w:tcW w:w="0" w:type="auto"/>
            <w:shd w:val="clear" w:color="auto" w:fill="auto"/>
            <w:tcMar>
              <w:top w:w="40" w:type="dxa"/>
              <w:left w:w="40" w:type="dxa"/>
              <w:bottom w:w="40" w:type="dxa"/>
              <w:right w:w="40" w:type="dxa"/>
            </w:tcMar>
            <w:vAlign w:val="bottom"/>
          </w:tcPr>
          <w:p w14:paraId="0BC9A1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1D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1D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w:t>
            </w:r>
          </w:p>
        </w:tc>
        <w:tc>
          <w:tcPr>
            <w:tcW w:w="0" w:type="auto"/>
            <w:shd w:val="clear" w:color="auto" w:fill="auto"/>
            <w:vAlign w:val="bottom"/>
          </w:tcPr>
          <w:p w14:paraId="0BC9A1D2" w14:textId="77777777" w:rsidR="009F0928" w:rsidRDefault="009F0928">
            <w:pPr>
              <w:textAlignment w:val="bottom"/>
              <w:rPr>
                <w:rFonts w:ascii="Times New Roman" w:hAnsi="Times New Roman"/>
                <w:sz w:val="20"/>
                <w:szCs w:val="20"/>
              </w:rPr>
            </w:pPr>
          </w:p>
        </w:tc>
      </w:tr>
    </w:tbl>
    <w:p w14:paraId="0BC9A1D4" w14:textId="77777777" w:rsidR="009F0928" w:rsidRDefault="009F0928">
      <w:pPr>
        <w:spacing w:line="288" w:lineRule="auto"/>
        <w:jc w:val="cente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6774"/>
        <w:gridCol w:w="130"/>
        <w:gridCol w:w="142"/>
        <w:gridCol w:w="1210"/>
        <w:gridCol w:w="50"/>
      </w:tblGrid>
      <w:tr w:rsidR="009F0928" w14:paraId="0BC9A1D6" w14:textId="77777777">
        <w:trPr>
          <w:jc w:val="center"/>
        </w:trPr>
        <w:tc>
          <w:tcPr>
            <w:tcW w:w="0" w:type="auto"/>
            <w:gridSpan w:val="5"/>
            <w:shd w:val="clear" w:color="auto" w:fill="auto"/>
            <w:vAlign w:val="center"/>
          </w:tcPr>
          <w:p w14:paraId="0BC9A1D5" w14:textId="77777777" w:rsidR="009F0928" w:rsidRDefault="009F0928">
            <w:pPr>
              <w:rPr>
                <w:rFonts w:ascii="Times New Roman" w:hAnsi="Times New Roman"/>
                <w:sz w:val="20"/>
                <w:szCs w:val="20"/>
              </w:rPr>
            </w:pPr>
          </w:p>
        </w:tc>
      </w:tr>
      <w:tr w:rsidR="009F0928" w14:paraId="0BC9A1DC" w14:textId="77777777">
        <w:trPr>
          <w:jc w:val="center"/>
        </w:trPr>
        <w:tc>
          <w:tcPr>
            <w:tcW w:w="4100" w:type="pct"/>
            <w:shd w:val="clear" w:color="auto" w:fill="auto"/>
            <w:vAlign w:val="center"/>
          </w:tcPr>
          <w:p w14:paraId="0BC9A1D7" w14:textId="77777777" w:rsidR="009F0928" w:rsidRDefault="009F0928">
            <w:pPr>
              <w:rPr>
                <w:rFonts w:ascii="Times New Roman" w:hAnsi="Times New Roman"/>
                <w:sz w:val="20"/>
                <w:szCs w:val="20"/>
              </w:rPr>
            </w:pPr>
          </w:p>
        </w:tc>
        <w:tc>
          <w:tcPr>
            <w:tcW w:w="50" w:type="pct"/>
            <w:shd w:val="clear" w:color="auto" w:fill="auto"/>
            <w:vAlign w:val="center"/>
          </w:tcPr>
          <w:p w14:paraId="0BC9A1D8" w14:textId="77777777" w:rsidR="009F0928" w:rsidRDefault="009F0928">
            <w:pPr>
              <w:rPr>
                <w:rFonts w:ascii="Times New Roman" w:hAnsi="Times New Roman"/>
                <w:sz w:val="20"/>
                <w:szCs w:val="20"/>
              </w:rPr>
            </w:pPr>
          </w:p>
        </w:tc>
        <w:tc>
          <w:tcPr>
            <w:tcW w:w="50" w:type="pct"/>
            <w:shd w:val="clear" w:color="auto" w:fill="auto"/>
            <w:vAlign w:val="center"/>
          </w:tcPr>
          <w:p w14:paraId="0BC9A1D9" w14:textId="77777777" w:rsidR="009F0928" w:rsidRDefault="009F0928">
            <w:pPr>
              <w:rPr>
                <w:rFonts w:ascii="Times New Roman" w:hAnsi="Times New Roman"/>
                <w:sz w:val="20"/>
                <w:szCs w:val="20"/>
              </w:rPr>
            </w:pPr>
          </w:p>
        </w:tc>
        <w:tc>
          <w:tcPr>
            <w:tcW w:w="750" w:type="pct"/>
            <w:shd w:val="clear" w:color="auto" w:fill="auto"/>
            <w:vAlign w:val="center"/>
          </w:tcPr>
          <w:p w14:paraId="0BC9A1DA" w14:textId="77777777" w:rsidR="009F0928" w:rsidRDefault="009F0928">
            <w:pPr>
              <w:rPr>
                <w:rFonts w:ascii="Times New Roman" w:hAnsi="Times New Roman"/>
                <w:sz w:val="20"/>
                <w:szCs w:val="20"/>
              </w:rPr>
            </w:pPr>
          </w:p>
        </w:tc>
        <w:tc>
          <w:tcPr>
            <w:tcW w:w="50" w:type="pct"/>
            <w:shd w:val="clear" w:color="auto" w:fill="auto"/>
            <w:vAlign w:val="center"/>
          </w:tcPr>
          <w:p w14:paraId="0BC9A1DB" w14:textId="77777777" w:rsidR="009F0928" w:rsidRDefault="009F0928">
            <w:pPr>
              <w:rPr>
                <w:rFonts w:ascii="Times New Roman" w:hAnsi="Times New Roman"/>
                <w:sz w:val="20"/>
                <w:szCs w:val="20"/>
              </w:rPr>
            </w:pPr>
          </w:p>
        </w:tc>
      </w:tr>
      <w:tr w:rsidR="009F0928" w14:paraId="0BC9A1E0" w14:textId="77777777">
        <w:trPr>
          <w:jc w:val="center"/>
        </w:trPr>
        <w:tc>
          <w:tcPr>
            <w:tcW w:w="0" w:type="auto"/>
            <w:shd w:val="clear" w:color="auto" w:fill="auto"/>
            <w:tcMar>
              <w:top w:w="40" w:type="dxa"/>
              <w:left w:w="40" w:type="dxa"/>
              <w:bottom w:w="40" w:type="dxa"/>
              <w:right w:w="40" w:type="dxa"/>
            </w:tcMar>
            <w:vAlign w:val="bottom"/>
          </w:tcPr>
          <w:p w14:paraId="0BC9A1DD"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A1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1D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 2019</w:t>
            </w:r>
          </w:p>
        </w:tc>
      </w:tr>
      <w:tr w:rsidR="009F0928" w14:paraId="0BC9A1E4" w14:textId="77777777">
        <w:trPr>
          <w:jc w:val="center"/>
        </w:trPr>
        <w:tc>
          <w:tcPr>
            <w:tcW w:w="0" w:type="auto"/>
            <w:shd w:val="clear" w:color="auto" w:fill="E2E2E2"/>
            <w:tcMar>
              <w:top w:w="40" w:type="dxa"/>
              <w:left w:w="40" w:type="dxa"/>
              <w:bottom w:w="40" w:type="dxa"/>
              <w:right w:w="40" w:type="dxa"/>
            </w:tcMar>
            <w:vAlign w:val="bottom"/>
          </w:tcPr>
          <w:p w14:paraId="0BC9A1E1" w14:textId="77777777" w:rsidR="009F0928" w:rsidRDefault="002112BD">
            <w:pPr>
              <w:textAlignment w:val="bottom"/>
              <w:rPr>
                <w:rFonts w:ascii="Times New Roman" w:hAnsi="Times New Roman"/>
                <w:sz w:val="18"/>
                <w:szCs w:val="18"/>
              </w:rPr>
            </w:pPr>
            <w:r>
              <w:rPr>
                <w:rFonts w:ascii="Arial" w:eastAsia="宋体" w:hAnsi="Arial" w:cs="Arial"/>
                <w:sz w:val="18"/>
                <w:szCs w:val="18"/>
              </w:rPr>
              <w:t>Right-of-use assets obtained in exchange for new lease obligations:</w:t>
            </w:r>
          </w:p>
        </w:tc>
        <w:tc>
          <w:tcPr>
            <w:tcW w:w="0" w:type="auto"/>
            <w:shd w:val="clear" w:color="auto" w:fill="E2E2E2"/>
            <w:tcMar>
              <w:top w:w="40" w:type="dxa"/>
              <w:left w:w="40" w:type="dxa"/>
              <w:bottom w:w="40" w:type="dxa"/>
              <w:right w:w="40" w:type="dxa"/>
            </w:tcMar>
            <w:vAlign w:val="bottom"/>
          </w:tcPr>
          <w:p w14:paraId="0BC9A1E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1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1EA" w14:textId="77777777">
        <w:trPr>
          <w:jc w:val="center"/>
        </w:trPr>
        <w:tc>
          <w:tcPr>
            <w:tcW w:w="0" w:type="auto"/>
            <w:shd w:val="clear" w:color="auto" w:fill="auto"/>
            <w:tcMar>
              <w:top w:w="40" w:type="dxa"/>
              <w:left w:w="400" w:type="dxa"/>
              <w:bottom w:w="40" w:type="dxa"/>
              <w:right w:w="40" w:type="dxa"/>
            </w:tcMar>
            <w:vAlign w:val="bottom"/>
          </w:tcPr>
          <w:p w14:paraId="0BC9A1E5" w14:textId="77777777" w:rsidR="009F0928" w:rsidRDefault="002112BD">
            <w:pPr>
              <w:textAlignment w:val="bottom"/>
              <w:rPr>
                <w:rFonts w:ascii="Times New Roman" w:hAnsi="Times New Roman"/>
                <w:sz w:val="18"/>
                <w:szCs w:val="18"/>
              </w:rPr>
            </w:pPr>
            <w:r>
              <w:rPr>
                <w:rFonts w:ascii="Arial" w:eastAsia="宋体" w:hAnsi="Arial" w:cs="Arial"/>
                <w:sz w:val="18"/>
                <w:szCs w:val="18"/>
              </w:rPr>
              <w:t>Operating leases</w:t>
            </w:r>
          </w:p>
        </w:tc>
        <w:tc>
          <w:tcPr>
            <w:tcW w:w="0" w:type="auto"/>
            <w:shd w:val="clear" w:color="auto" w:fill="auto"/>
            <w:tcMar>
              <w:top w:w="40" w:type="dxa"/>
              <w:left w:w="40" w:type="dxa"/>
              <w:bottom w:w="40" w:type="dxa"/>
              <w:right w:w="40" w:type="dxa"/>
            </w:tcMar>
            <w:vAlign w:val="bottom"/>
          </w:tcPr>
          <w:p w14:paraId="0BC9A1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1E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1E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99</w:t>
            </w:r>
          </w:p>
        </w:tc>
        <w:tc>
          <w:tcPr>
            <w:tcW w:w="0" w:type="auto"/>
            <w:shd w:val="clear" w:color="auto" w:fill="auto"/>
            <w:vAlign w:val="bottom"/>
          </w:tcPr>
          <w:p w14:paraId="0BC9A1E9" w14:textId="77777777" w:rsidR="009F0928" w:rsidRDefault="009F0928">
            <w:pPr>
              <w:textAlignment w:val="bottom"/>
              <w:rPr>
                <w:rFonts w:ascii="Times New Roman" w:hAnsi="Times New Roman"/>
                <w:sz w:val="20"/>
                <w:szCs w:val="20"/>
              </w:rPr>
            </w:pPr>
          </w:p>
        </w:tc>
      </w:tr>
      <w:tr w:rsidR="009F0928" w14:paraId="0BC9A1F0" w14:textId="77777777">
        <w:trPr>
          <w:jc w:val="center"/>
        </w:trPr>
        <w:tc>
          <w:tcPr>
            <w:tcW w:w="0" w:type="auto"/>
            <w:shd w:val="clear" w:color="auto" w:fill="E2E2E2"/>
            <w:tcMar>
              <w:top w:w="40" w:type="dxa"/>
              <w:left w:w="400" w:type="dxa"/>
              <w:bottom w:w="40" w:type="dxa"/>
              <w:right w:w="40" w:type="dxa"/>
            </w:tcMar>
            <w:vAlign w:val="bottom"/>
          </w:tcPr>
          <w:p w14:paraId="0BC9A1EB" w14:textId="77777777" w:rsidR="009F0928" w:rsidRDefault="002112BD">
            <w:pPr>
              <w:textAlignment w:val="bottom"/>
              <w:rPr>
                <w:rFonts w:ascii="Times New Roman" w:hAnsi="Times New Roman"/>
                <w:sz w:val="18"/>
                <w:szCs w:val="18"/>
              </w:rPr>
            </w:pPr>
            <w:r>
              <w:rPr>
                <w:rFonts w:ascii="Arial" w:eastAsia="宋体" w:hAnsi="Arial" w:cs="Arial"/>
                <w:sz w:val="18"/>
                <w:szCs w:val="18"/>
              </w:rPr>
              <w:t>Finance leases</w:t>
            </w:r>
          </w:p>
        </w:tc>
        <w:tc>
          <w:tcPr>
            <w:tcW w:w="0" w:type="auto"/>
            <w:shd w:val="clear" w:color="auto" w:fill="E2E2E2"/>
            <w:tcMar>
              <w:top w:w="40" w:type="dxa"/>
              <w:left w:w="40" w:type="dxa"/>
              <w:bottom w:w="40" w:type="dxa"/>
              <w:right w:w="40" w:type="dxa"/>
            </w:tcMar>
            <w:vAlign w:val="bottom"/>
          </w:tcPr>
          <w:p w14:paraId="0BC9A1E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1E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1E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34</w:t>
            </w:r>
          </w:p>
        </w:tc>
        <w:tc>
          <w:tcPr>
            <w:tcW w:w="0" w:type="auto"/>
            <w:shd w:val="clear" w:color="auto" w:fill="E2E2E2"/>
            <w:vAlign w:val="bottom"/>
          </w:tcPr>
          <w:p w14:paraId="0BC9A1EF" w14:textId="77777777" w:rsidR="009F0928" w:rsidRDefault="009F0928">
            <w:pPr>
              <w:textAlignment w:val="bottom"/>
              <w:rPr>
                <w:rFonts w:ascii="Times New Roman" w:hAnsi="Times New Roman"/>
                <w:sz w:val="20"/>
                <w:szCs w:val="20"/>
              </w:rPr>
            </w:pPr>
          </w:p>
        </w:tc>
      </w:tr>
    </w:tbl>
    <w:p w14:paraId="0BC9A1F1" w14:textId="77777777" w:rsidR="009F0928" w:rsidRDefault="009F0928">
      <w:pPr>
        <w:spacing w:line="288" w:lineRule="auto"/>
        <w:jc w:val="center"/>
        <w:rPr>
          <w:rFonts w:ascii="Times New Roman" w:hAnsi="Times New Roman"/>
          <w:sz w:val="20"/>
          <w:szCs w:val="20"/>
        </w:rPr>
      </w:pPr>
    </w:p>
    <w:p w14:paraId="0BC9A1F2" w14:textId="77777777" w:rsidR="009F0928" w:rsidRDefault="009F0928">
      <w:pPr>
        <w:spacing w:line="288" w:lineRule="auto"/>
        <w:rPr>
          <w:rFonts w:ascii="Times New Roman" w:hAnsi="Times New Roman"/>
          <w:sz w:val="20"/>
          <w:szCs w:val="20"/>
        </w:rPr>
      </w:pPr>
    </w:p>
    <w:p w14:paraId="0BC9A1F3" w14:textId="77777777" w:rsidR="009F0928" w:rsidRDefault="009F0928">
      <w:pPr>
        <w:rPr>
          <w:rFonts w:ascii="Times New Roman" w:hAnsi="Times New Roman"/>
          <w:sz w:val="20"/>
          <w:szCs w:val="20"/>
        </w:rPr>
      </w:pPr>
    </w:p>
    <w:p w14:paraId="0BC9A1F4"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F-34</w:t>
      </w:r>
    </w:p>
    <w:p w14:paraId="0BC9A1F5" w14:textId="77777777" w:rsidR="009F0928" w:rsidRDefault="002112BD">
      <w:r>
        <w:rPr>
          <w:rFonts w:ascii="Times New Roman" w:hAnsi="Times New Roman"/>
          <w:sz w:val="18"/>
          <w:szCs w:val="18"/>
        </w:rPr>
        <w:pict w14:anchorId="0BC9B51C">
          <v:rect id="_x0000_i1120" style="width:415.3pt;height:1.5pt" o:hralign="center" o:hrstd="t" o:hr="t" fillcolor="#a0a0a0" stroked="f"/>
        </w:pict>
      </w:r>
    </w:p>
    <w:p w14:paraId="0BC9A1F6"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A1F7"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A1F8" w14:textId="77777777" w:rsidR="009F0928" w:rsidRDefault="009F0928">
      <w:pPr>
        <w:spacing w:line="288" w:lineRule="auto"/>
        <w:jc w:val="center"/>
        <w:rPr>
          <w:rFonts w:ascii="Times New Roman" w:hAnsi="Times New Roman"/>
          <w:sz w:val="20"/>
          <w:szCs w:val="20"/>
        </w:rPr>
      </w:pPr>
    </w:p>
    <w:p w14:paraId="0BC9A1F9" w14:textId="77777777" w:rsidR="009F0928" w:rsidRDefault="009F0928">
      <w:pPr>
        <w:rPr>
          <w:rFonts w:ascii="Times New Roman" w:hAnsi="Times New Roman"/>
          <w:sz w:val="20"/>
          <w:szCs w:val="20"/>
        </w:rPr>
      </w:pPr>
    </w:p>
    <w:p w14:paraId="0BC9A1FA"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 xml:space="preserve">Note 12 – Commitments and Contingencies </w:t>
      </w:r>
    </w:p>
    <w:p w14:paraId="0BC9A1FB" w14:textId="77777777" w:rsidR="009F0928" w:rsidRDefault="009F0928">
      <w:pPr>
        <w:spacing w:line="288" w:lineRule="auto"/>
        <w:jc w:val="both"/>
        <w:rPr>
          <w:rFonts w:ascii="Times New Roman" w:hAnsi="Times New Roman"/>
          <w:sz w:val="20"/>
          <w:szCs w:val="20"/>
        </w:rPr>
      </w:pPr>
    </w:p>
    <w:p w14:paraId="0BC9A1FC"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Commitments</w:t>
      </w:r>
    </w:p>
    <w:p w14:paraId="0BC9A1FD" w14:textId="77777777" w:rsidR="009F0928" w:rsidRDefault="009F0928">
      <w:pPr>
        <w:spacing w:line="288" w:lineRule="auto"/>
        <w:jc w:val="both"/>
        <w:rPr>
          <w:rFonts w:ascii="Times New Roman" w:hAnsi="Times New Roman"/>
          <w:sz w:val="20"/>
          <w:szCs w:val="20"/>
        </w:rPr>
      </w:pPr>
    </w:p>
    <w:p w14:paraId="0BC9A1FE" w14:textId="77777777" w:rsidR="009F0928" w:rsidRDefault="002112BD">
      <w:pPr>
        <w:spacing w:line="288" w:lineRule="auto"/>
        <w:jc w:val="both"/>
        <w:rPr>
          <w:rFonts w:ascii="Times New Roman" w:hAnsi="Times New Roman"/>
          <w:sz w:val="20"/>
          <w:szCs w:val="20"/>
        </w:rPr>
      </w:pPr>
      <w:r>
        <w:rPr>
          <w:rFonts w:ascii="Arial" w:eastAsia="宋体" w:hAnsi="Arial" w:cs="Arial"/>
          <w:i/>
          <w:iCs/>
          <w:sz w:val="20"/>
          <w:szCs w:val="20"/>
        </w:rPr>
        <w:t>Off-Balance Sheet Arrangements</w:t>
      </w:r>
    </w:p>
    <w:p w14:paraId="0BC9A1FF" w14:textId="77777777" w:rsidR="009F0928" w:rsidRDefault="009F0928">
      <w:pPr>
        <w:spacing w:line="288" w:lineRule="auto"/>
        <w:jc w:val="both"/>
        <w:rPr>
          <w:rFonts w:ascii="Times New Roman" w:hAnsi="Times New Roman"/>
          <w:sz w:val="20"/>
          <w:szCs w:val="20"/>
        </w:rPr>
      </w:pPr>
    </w:p>
    <w:p w14:paraId="0BC9A20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As of December 31, 2019, we had no off-balance sheet arrangements that have, or are reasonably likely to have, a current or future material effect on our consolidated financial condition, results of operations, liquidity, capital expenditures or capital re</w:t>
      </w:r>
      <w:r>
        <w:rPr>
          <w:rFonts w:ascii="Arial" w:eastAsia="宋体" w:hAnsi="Arial" w:cs="Arial"/>
          <w:sz w:val="20"/>
          <w:szCs w:val="20"/>
        </w:rPr>
        <w:t xml:space="preserve">sources. </w:t>
      </w:r>
    </w:p>
    <w:p w14:paraId="0BC9A201" w14:textId="77777777" w:rsidR="009F0928" w:rsidRDefault="009F0928">
      <w:pPr>
        <w:spacing w:line="288" w:lineRule="auto"/>
        <w:ind w:firstLine="640"/>
        <w:jc w:val="both"/>
        <w:rPr>
          <w:rFonts w:ascii="Times New Roman" w:hAnsi="Times New Roman"/>
          <w:sz w:val="20"/>
          <w:szCs w:val="20"/>
        </w:rPr>
      </w:pPr>
    </w:p>
    <w:p w14:paraId="0BC9A20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have a cash pooling arrangement with a financial institution for cash management purposes. This arrangement allows for cash withdrawals from the financial institution based upon our aggregate operating cash balances held within the same finan</w:t>
      </w:r>
      <w:r>
        <w:rPr>
          <w:rFonts w:ascii="Arial" w:eastAsia="宋体" w:hAnsi="Arial" w:cs="Arial"/>
          <w:sz w:val="20"/>
          <w:szCs w:val="20"/>
        </w:rPr>
        <w:t>cial institution (“Aggregate Cash Deposits”). This arrangement also allows us to withdraw amounts exceeding the Aggregate Cash Deposits up to an agreed-upon limit. The net balance of the withdrawals and the Aggregate Cash Deposits are used by the financial</w:t>
      </w:r>
      <w:r>
        <w:rPr>
          <w:rFonts w:ascii="Arial" w:eastAsia="宋体" w:hAnsi="Arial" w:cs="Arial"/>
          <w:sz w:val="20"/>
          <w:szCs w:val="20"/>
        </w:rPr>
        <w:t xml:space="preserve"> institution as a basis for calculating our net interest expense or income under the arrangement. As of December 31, 2019, we had a total of $4.8 billion in aggregate cash deposits, partially offset by $4.7 billion in cash withdrawals, held within the fina</w:t>
      </w:r>
      <w:r>
        <w:rPr>
          <w:rFonts w:ascii="Arial" w:eastAsia="宋体" w:hAnsi="Arial" w:cs="Arial"/>
          <w:sz w:val="20"/>
          <w:szCs w:val="20"/>
        </w:rPr>
        <w:t>ncial institution under the cash pooling arrangement.</w:t>
      </w:r>
    </w:p>
    <w:p w14:paraId="0BC9A203" w14:textId="77777777" w:rsidR="009F0928" w:rsidRDefault="009F0928">
      <w:pPr>
        <w:spacing w:line="288" w:lineRule="auto"/>
        <w:ind w:firstLine="720"/>
        <w:jc w:val="both"/>
        <w:rPr>
          <w:rFonts w:ascii="Times New Roman" w:hAnsi="Times New Roman"/>
          <w:sz w:val="20"/>
          <w:szCs w:val="20"/>
        </w:rPr>
      </w:pPr>
    </w:p>
    <w:p w14:paraId="0BC9A204"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b/>
          <w:bCs/>
          <w:i/>
          <w:iCs/>
          <w:sz w:val="20"/>
          <w:szCs w:val="20"/>
        </w:rPr>
        <w:t>Litigation and Other Legal Matters</w:t>
      </w:r>
    </w:p>
    <w:p w14:paraId="0BC9A205" w14:textId="77777777" w:rsidR="009F0928" w:rsidRDefault="002112BD">
      <w:pPr>
        <w:spacing w:line="288" w:lineRule="auto"/>
        <w:ind w:firstLine="360"/>
        <w:jc w:val="both"/>
        <w:rPr>
          <w:rFonts w:ascii="Times New Roman" w:hAnsi="Times New Roman"/>
        </w:rPr>
      </w:pPr>
      <w:r>
        <w:rPr>
          <w:rFonts w:ascii="Arial" w:eastAsia="宋体" w:hAnsi="Arial" w:cs="Arial"/>
        </w:rPr>
        <w:t> </w:t>
      </w:r>
    </w:p>
    <w:p w14:paraId="0BC9A206"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i/>
          <w:iCs/>
          <w:sz w:val="20"/>
          <w:szCs w:val="20"/>
        </w:rPr>
        <w:t>Overview</w:t>
      </w:r>
    </w:p>
    <w:p w14:paraId="0BC9A20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are involved in legal and regulatory proceedings on an ongoing basis. Many of these proceedings are in early stages and may seek an indeterminate amount</w:t>
      </w:r>
      <w:r>
        <w:rPr>
          <w:rFonts w:ascii="Arial" w:eastAsia="宋体" w:hAnsi="Arial" w:cs="Arial"/>
          <w:sz w:val="20"/>
          <w:szCs w:val="20"/>
        </w:rPr>
        <w:t xml:space="preserve"> of damages. If we believe that a loss arising from such matters is probable and can be reasonably estimated, we accrue the estimated liability in our financial statements. If only a range of estimated losses can be determined, we accrue an amount within t</w:t>
      </w:r>
      <w:r>
        <w:rPr>
          <w:rFonts w:ascii="Arial" w:eastAsia="宋体" w:hAnsi="Arial" w:cs="Arial"/>
          <w:sz w:val="20"/>
          <w:szCs w:val="20"/>
        </w:rPr>
        <w:t>he range that, in our judgment, reflects the most likely outcome; if none of the estimates within that range is a better estimate than any other amount, we accrue the low end of the range. For those proceedings in which an unfavorable outcome is reasonably</w:t>
      </w:r>
      <w:r>
        <w:rPr>
          <w:rFonts w:ascii="Arial" w:eastAsia="宋体" w:hAnsi="Arial" w:cs="Arial"/>
          <w:sz w:val="20"/>
          <w:szCs w:val="20"/>
        </w:rPr>
        <w:t xml:space="preserve"> possible but not probable, we have disclosed an estimate of the reasonably possible loss or range of losses or we have concluded that an estimate of the reasonably possible loss or range of losses arising directly from the proceeding (i.e., monetary damag</w:t>
      </w:r>
      <w:r>
        <w:rPr>
          <w:rFonts w:ascii="Arial" w:eastAsia="宋体" w:hAnsi="Arial" w:cs="Arial"/>
          <w:sz w:val="20"/>
          <w:szCs w:val="20"/>
        </w:rPr>
        <w:t>es or amounts paid in judgment or settlement) is not material. If we cannot estimate the probable or reasonably possible loss or range of losses arising from a proceeding, we have disclosed that fact. In assessing the materiality of a proceeding, we evalua</w:t>
      </w:r>
      <w:r>
        <w:rPr>
          <w:rFonts w:ascii="Arial" w:eastAsia="宋体" w:hAnsi="Arial" w:cs="Arial"/>
          <w:sz w:val="20"/>
          <w:szCs w:val="20"/>
        </w:rPr>
        <w:t>te, among other factors, the amount of monetary damages claimed, as well as the potential impact of non-monetary remedies sought by plaintiffs (e.g., injunctive relief) that may require us to change our business practices in a manner that could have a mate</w:t>
      </w:r>
      <w:r>
        <w:rPr>
          <w:rFonts w:ascii="Arial" w:eastAsia="宋体" w:hAnsi="Arial" w:cs="Arial"/>
          <w:sz w:val="20"/>
          <w:szCs w:val="20"/>
        </w:rPr>
        <w:t>rial adverse impact on our business. With respect to the matters disclosed in this Note 12, we are unable to estimate the possible loss or range of losses that could potentially result from the application of such non-monetary remedies.</w:t>
      </w:r>
    </w:p>
    <w:p w14:paraId="0BC9A208" w14:textId="77777777" w:rsidR="009F0928" w:rsidRDefault="009F0928">
      <w:pPr>
        <w:spacing w:line="288" w:lineRule="auto"/>
        <w:ind w:firstLine="720"/>
        <w:jc w:val="both"/>
        <w:rPr>
          <w:rFonts w:ascii="Times New Roman" w:hAnsi="Times New Roman"/>
          <w:sz w:val="20"/>
          <w:szCs w:val="20"/>
        </w:rPr>
      </w:pPr>
    </w:p>
    <w:p w14:paraId="0BC9A20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Amounts accrued fo</w:t>
      </w:r>
      <w:r>
        <w:rPr>
          <w:rFonts w:ascii="Arial" w:eastAsia="宋体" w:hAnsi="Arial" w:cs="Arial"/>
          <w:sz w:val="20"/>
          <w:szCs w:val="20"/>
        </w:rPr>
        <w:t>r legal and regulatory proceedings for which we believe a loss is probable were not material for the twelve months ended December 31, 2019. Except as otherwise noted for the proceedings described in this Note 12, we have concluded, based on currently avail</w:t>
      </w:r>
      <w:r>
        <w:rPr>
          <w:rFonts w:ascii="Arial" w:eastAsia="宋体" w:hAnsi="Arial" w:cs="Arial"/>
          <w:sz w:val="20"/>
          <w:szCs w:val="20"/>
        </w:rPr>
        <w:t>able information, that reasonably possible losses arising directly from the proceedings (i.e., monetary damages or amounts paid in judgment or settlement) in excess of our recorded accruals are also not material. However, legal and regulatory proceedings a</w:t>
      </w:r>
      <w:r>
        <w:rPr>
          <w:rFonts w:ascii="Arial" w:eastAsia="宋体" w:hAnsi="Arial" w:cs="Arial"/>
          <w:sz w:val="20"/>
          <w:szCs w:val="20"/>
        </w:rPr>
        <w:t>re inherently unpredictable and subject to significant uncertainties. If one or more matters were resolved against us in a reporting period for amounts in excess of management’s expectations, the impact on our operating results or financial condition for t</w:t>
      </w:r>
      <w:r>
        <w:rPr>
          <w:rFonts w:ascii="Arial" w:eastAsia="宋体" w:hAnsi="Arial" w:cs="Arial"/>
          <w:sz w:val="20"/>
          <w:szCs w:val="20"/>
        </w:rPr>
        <w:t>hat reporting period could be material. Legal fees are expensed as incurred.</w:t>
      </w:r>
    </w:p>
    <w:p w14:paraId="0BC9A20A" w14:textId="77777777" w:rsidR="009F0928" w:rsidRDefault="009F0928">
      <w:pPr>
        <w:spacing w:line="288" w:lineRule="auto"/>
        <w:ind w:firstLine="720"/>
        <w:jc w:val="both"/>
        <w:rPr>
          <w:rFonts w:ascii="Times New Roman" w:hAnsi="Times New Roman"/>
          <w:sz w:val="20"/>
          <w:szCs w:val="20"/>
        </w:rPr>
      </w:pPr>
    </w:p>
    <w:p w14:paraId="0BC9A20B" w14:textId="77777777" w:rsidR="009F0928" w:rsidRDefault="002112BD">
      <w:pPr>
        <w:spacing w:line="288" w:lineRule="auto"/>
        <w:ind w:firstLine="360"/>
        <w:jc w:val="both"/>
        <w:rPr>
          <w:rFonts w:ascii="Times New Roman" w:hAnsi="Times New Roman"/>
          <w:sz w:val="20"/>
          <w:szCs w:val="20"/>
        </w:rPr>
      </w:pPr>
      <w:r>
        <w:rPr>
          <w:rFonts w:ascii="Arial" w:eastAsia="宋体" w:hAnsi="Arial" w:cs="Arial"/>
          <w:i/>
          <w:iCs/>
          <w:sz w:val="20"/>
          <w:szCs w:val="20"/>
        </w:rPr>
        <w:t>General Matters</w:t>
      </w:r>
    </w:p>
    <w:p w14:paraId="0BC9A20C" w14:textId="77777777" w:rsidR="009F0928" w:rsidRDefault="009F0928">
      <w:pPr>
        <w:spacing w:line="288" w:lineRule="auto"/>
        <w:jc w:val="both"/>
        <w:rPr>
          <w:rFonts w:ascii="Times New Roman" w:hAnsi="Times New Roman"/>
          <w:sz w:val="20"/>
          <w:szCs w:val="20"/>
        </w:rPr>
      </w:pPr>
    </w:p>
    <w:p w14:paraId="0BC9A20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Third parties have from time to time claimed, and others may claim in the future, that we have infringed their intellectual property rights. We are subject to pa</w:t>
      </w:r>
      <w:r>
        <w:rPr>
          <w:rFonts w:ascii="Arial" w:eastAsia="宋体" w:hAnsi="Arial" w:cs="Arial"/>
          <w:sz w:val="20"/>
          <w:szCs w:val="20"/>
        </w:rPr>
        <w:t>tent disputes, and expect that we could be subject to additional patent infringement claims involving various aspects of our business as our products and services continue to expand in scope and complexity. Such claims may be brought directly or indirectly</w:t>
      </w:r>
      <w:r>
        <w:rPr>
          <w:rFonts w:ascii="Arial" w:eastAsia="宋体" w:hAnsi="Arial" w:cs="Arial"/>
          <w:sz w:val="20"/>
          <w:szCs w:val="20"/>
        </w:rPr>
        <w:t xml:space="preserve"> against us and/or against our customers (who may be entitled to contractual indemnification under their contracts with us), and we are subject to increased exposure to such claims as a result of our acquisitions and divestitures and in cases where we are </w:t>
      </w:r>
      <w:r>
        <w:rPr>
          <w:rFonts w:ascii="Arial" w:eastAsia="宋体" w:hAnsi="Arial" w:cs="Arial"/>
          <w:sz w:val="20"/>
          <w:szCs w:val="20"/>
        </w:rPr>
        <w:t xml:space="preserve">entering new lines of business. We have in the past been forced to litigate such claims. We may also become more vulnerable to third-party claims as laws such as the Digital Millennium Copyright Act, the Lanham Act and the Communications Decency Act are </w:t>
      </w:r>
    </w:p>
    <w:p w14:paraId="0BC9A20E" w14:textId="77777777" w:rsidR="009F0928" w:rsidRDefault="009F0928">
      <w:pPr>
        <w:rPr>
          <w:rFonts w:ascii="Times New Roman" w:hAnsi="Times New Roman"/>
          <w:sz w:val="20"/>
          <w:szCs w:val="20"/>
        </w:rPr>
      </w:pPr>
    </w:p>
    <w:p w14:paraId="0BC9A20F"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F-35</w:t>
      </w:r>
    </w:p>
    <w:p w14:paraId="0BC9A210" w14:textId="77777777" w:rsidR="009F0928" w:rsidRDefault="002112BD">
      <w:r>
        <w:rPr>
          <w:rFonts w:ascii="Times New Roman" w:hAnsi="Times New Roman"/>
          <w:sz w:val="18"/>
          <w:szCs w:val="18"/>
        </w:rPr>
        <w:pict w14:anchorId="0BC9B51D">
          <v:rect id="_x0000_i1121" style="width:415.3pt;height:1.5pt" o:hralign="center" o:hrstd="t" o:hr="t" fillcolor="#a0a0a0" stroked="f"/>
        </w:pict>
      </w:r>
    </w:p>
    <w:p w14:paraId="0BC9A211"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A212"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A213" w14:textId="77777777" w:rsidR="009F0928" w:rsidRDefault="009F0928">
      <w:pPr>
        <w:spacing w:line="288" w:lineRule="auto"/>
        <w:jc w:val="center"/>
        <w:rPr>
          <w:rFonts w:ascii="Times New Roman" w:hAnsi="Times New Roman"/>
          <w:sz w:val="20"/>
          <w:szCs w:val="20"/>
        </w:rPr>
      </w:pPr>
    </w:p>
    <w:p w14:paraId="0BC9A214" w14:textId="77777777" w:rsidR="009F0928" w:rsidRDefault="009F0928">
      <w:pPr>
        <w:rPr>
          <w:rFonts w:ascii="Times New Roman" w:hAnsi="Times New Roman"/>
          <w:sz w:val="20"/>
          <w:szCs w:val="20"/>
        </w:rPr>
      </w:pPr>
    </w:p>
    <w:p w14:paraId="0BC9A215"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interpreted by the courts, and as we expand the scope of our business (both in terms of the range of products and services that we offer and our geographical operations) and become s</w:t>
      </w:r>
      <w:r>
        <w:rPr>
          <w:rFonts w:ascii="Arial" w:eastAsia="宋体" w:hAnsi="Arial" w:cs="Arial"/>
          <w:sz w:val="20"/>
          <w:szCs w:val="20"/>
        </w:rPr>
        <w:t>ubject to laws in jurisdictions where the underlying laws with respect to the potential liability of online intermediaries like ourselves are either unclear or less favorable. We believe that additional lawsuits alleging that we have violated patent, copyr</w:t>
      </w:r>
      <w:r>
        <w:rPr>
          <w:rFonts w:ascii="Arial" w:eastAsia="宋体" w:hAnsi="Arial" w:cs="Arial"/>
          <w:sz w:val="20"/>
          <w:szCs w:val="20"/>
        </w:rPr>
        <w:t>ight or trademark laws will be filed against us. Intellectual property claims, whether meritorious or not, are time consuming and costly to defend and resolve, could require expensive changes in our methods of doing business or could require us to enter in</w:t>
      </w:r>
      <w:r>
        <w:rPr>
          <w:rFonts w:ascii="Arial" w:eastAsia="宋体" w:hAnsi="Arial" w:cs="Arial"/>
          <w:sz w:val="20"/>
          <w:szCs w:val="20"/>
        </w:rPr>
        <w:t>to costly royalty or licensing agreements on unfavorable terms.</w:t>
      </w:r>
    </w:p>
    <w:p w14:paraId="0BC9A216" w14:textId="77777777" w:rsidR="009F0928" w:rsidRDefault="009F0928">
      <w:pPr>
        <w:spacing w:line="288" w:lineRule="auto"/>
        <w:ind w:firstLine="720"/>
        <w:jc w:val="both"/>
        <w:rPr>
          <w:rFonts w:ascii="Times New Roman" w:hAnsi="Times New Roman"/>
          <w:sz w:val="20"/>
          <w:szCs w:val="20"/>
        </w:rPr>
      </w:pPr>
    </w:p>
    <w:p w14:paraId="0BC9A21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From time to time, we are involved in other disputes or regulatory inquiries that arise in the ordinary course of business, including suits by our users (individually or as class </w:t>
      </w:r>
      <w:r>
        <w:rPr>
          <w:rFonts w:ascii="Arial" w:eastAsia="宋体" w:hAnsi="Arial" w:cs="Arial"/>
          <w:sz w:val="20"/>
          <w:szCs w:val="20"/>
        </w:rPr>
        <w:t>actions) alleging, among other things, improper disclosure of our prices, rules or policies, that our practices, prices, rules, policies or customer/user agreements violate applicable law or that we have acted unfairly and/or not acted in conformity with s</w:t>
      </w:r>
      <w:r>
        <w:rPr>
          <w:rFonts w:ascii="Arial" w:eastAsia="宋体" w:hAnsi="Arial" w:cs="Arial"/>
          <w:sz w:val="20"/>
          <w:szCs w:val="20"/>
        </w:rPr>
        <w:t xml:space="preserve">uch practices, prices, rules, policies or agreements. Further, the number and significance of these disputes and inquiries are increasing as the political and regulatory landscape changes and, as we have grown larger, our businesses have expanded in scope </w:t>
      </w:r>
      <w:r>
        <w:rPr>
          <w:rFonts w:ascii="Arial" w:eastAsia="宋体" w:hAnsi="Arial" w:cs="Arial"/>
          <w:sz w:val="20"/>
          <w:szCs w:val="20"/>
        </w:rPr>
        <w:t>(both in terms of the range of products and services that we offer and our geographical operations) and our products and services have increased in complexity. Any claims or regulatory actions against us, whether meritorious or not, could be time consuming</w:t>
      </w:r>
      <w:r>
        <w:rPr>
          <w:rFonts w:ascii="Arial" w:eastAsia="宋体" w:hAnsi="Arial" w:cs="Arial"/>
          <w:sz w:val="20"/>
          <w:szCs w:val="20"/>
        </w:rPr>
        <w:t>, result in costly litigation, damage awards (including statutory damages for certain causes of action in certain jurisdictions), injunctive relief or increased costs of doing business through adverse judgment or settlement, require us to change our busine</w:t>
      </w:r>
      <w:r>
        <w:rPr>
          <w:rFonts w:ascii="Arial" w:eastAsia="宋体" w:hAnsi="Arial" w:cs="Arial"/>
          <w:sz w:val="20"/>
          <w:szCs w:val="20"/>
        </w:rPr>
        <w:t>ss practices in expensive ways, require significant amounts of management time, result in the diversion of significant operational resources or otherwise harm our business.</w:t>
      </w:r>
    </w:p>
    <w:p w14:paraId="0BC9A218" w14:textId="77777777" w:rsidR="009F0928" w:rsidRDefault="009F0928">
      <w:pPr>
        <w:spacing w:line="288" w:lineRule="auto"/>
        <w:ind w:firstLine="720"/>
        <w:jc w:val="both"/>
        <w:rPr>
          <w:rFonts w:ascii="Times New Roman" w:hAnsi="Times New Roman"/>
          <w:sz w:val="20"/>
          <w:szCs w:val="20"/>
        </w:rPr>
      </w:pPr>
    </w:p>
    <w:p w14:paraId="0BC9A219"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Indemnification Provisions</w:t>
      </w:r>
    </w:p>
    <w:p w14:paraId="0BC9A21A" w14:textId="77777777" w:rsidR="009F0928" w:rsidRDefault="009F0928">
      <w:pPr>
        <w:spacing w:line="288" w:lineRule="auto"/>
        <w:jc w:val="both"/>
        <w:rPr>
          <w:rFonts w:ascii="Times New Roman" w:hAnsi="Times New Roman"/>
          <w:sz w:val="20"/>
          <w:szCs w:val="20"/>
        </w:rPr>
      </w:pPr>
    </w:p>
    <w:p w14:paraId="0BC9A21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entered into a separation and </w:t>
      </w:r>
      <w:r>
        <w:rPr>
          <w:rFonts w:ascii="Arial" w:eastAsia="宋体" w:hAnsi="Arial" w:cs="Arial"/>
          <w:sz w:val="20"/>
          <w:szCs w:val="20"/>
        </w:rPr>
        <w:t>distribution agreement and various other agreements with PayPal to govern the separation and relationship of the two companies. These agreements provide for specific indemnity and liability obligations and could lead to disputes between us and PayPal, whic</w:t>
      </w:r>
      <w:r>
        <w:rPr>
          <w:rFonts w:ascii="Arial" w:eastAsia="宋体" w:hAnsi="Arial" w:cs="Arial"/>
          <w:sz w:val="20"/>
          <w:szCs w:val="20"/>
        </w:rPr>
        <w:t>h may be significant. In addition, the indemnity rights we have against PayPal under the agreements may not be sufficient to protect us and our indemnity obligations to PayPal may be significant.</w:t>
      </w:r>
    </w:p>
    <w:p w14:paraId="0BC9A21C" w14:textId="77777777" w:rsidR="009F0928" w:rsidRDefault="009F0928">
      <w:pPr>
        <w:spacing w:line="288" w:lineRule="auto"/>
        <w:ind w:firstLine="720"/>
        <w:jc w:val="both"/>
        <w:rPr>
          <w:rFonts w:ascii="Times New Roman" w:hAnsi="Times New Roman"/>
          <w:sz w:val="20"/>
          <w:szCs w:val="20"/>
        </w:rPr>
      </w:pPr>
    </w:p>
    <w:p w14:paraId="0BC9A21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addition, we have entered into indemnification agreement</w:t>
      </w:r>
      <w:r>
        <w:rPr>
          <w:rFonts w:ascii="Arial" w:eastAsia="宋体" w:hAnsi="Arial" w:cs="Arial"/>
          <w:sz w:val="20"/>
          <w:szCs w:val="20"/>
        </w:rPr>
        <w:t>s with each of our directors, executive officers and certain other officers. These agreements require us to indemnify such individuals, to the fullest extent permitted by Delaware law, for certain liabilities to which they may become subject as a result of</w:t>
      </w:r>
      <w:r>
        <w:rPr>
          <w:rFonts w:ascii="Arial" w:eastAsia="宋体" w:hAnsi="Arial" w:cs="Arial"/>
          <w:sz w:val="20"/>
          <w:szCs w:val="20"/>
        </w:rPr>
        <w:t xml:space="preserve"> their affiliation with us. </w:t>
      </w:r>
    </w:p>
    <w:p w14:paraId="0BC9A21E" w14:textId="77777777" w:rsidR="009F0928" w:rsidRDefault="009F0928">
      <w:pPr>
        <w:spacing w:line="288" w:lineRule="auto"/>
        <w:ind w:firstLine="720"/>
        <w:jc w:val="both"/>
        <w:rPr>
          <w:rFonts w:ascii="Times New Roman" w:hAnsi="Times New Roman"/>
          <w:sz w:val="20"/>
          <w:szCs w:val="20"/>
        </w:rPr>
      </w:pPr>
    </w:p>
    <w:p w14:paraId="0BC9A21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the ordinary course of business, we have included limited indemnification provisions in certain of our agreements with parties with which we have commercial relations, including our standard marketing, promotions and applic</w:t>
      </w:r>
      <w:r>
        <w:rPr>
          <w:rFonts w:ascii="Arial" w:eastAsia="宋体" w:hAnsi="Arial" w:cs="Arial"/>
          <w:sz w:val="20"/>
          <w:szCs w:val="20"/>
        </w:rPr>
        <w:t>ation programming interface license agreements. Under these contracts, we generally indemnify, hold harmless and agree to reimburse the indemnified party for losses suffered or incurred by the indemnified party in connection with claims by a third party wi</w:t>
      </w:r>
      <w:r>
        <w:rPr>
          <w:rFonts w:ascii="Arial" w:eastAsia="宋体" w:hAnsi="Arial" w:cs="Arial"/>
          <w:sz w:val="20"/>
          <w:szCs w:val="20"/>
        </w:rPr>
        <w:t>th respect to our domain names, trademarks, logos and other branding elements to the extent that such marks are applicable to our performance under the subject agreement. In certain cases, we have agreed to provide indemnification for intellectual property</w:t>
      </w:r>
      <w:r>
        <w:rPr>
          <w:rFonts w:ascii="Arial" w:eastAsia="宋体" w:hAnsi="Arial" w:cs="Arial"/>
          <w:sz w:val="20"/>
          <w:szCs w:val="20"/>
        </w:rPr>
        <w:t xml:space="preserve"> infringement. It is not possible to determine the maximum potential loss under these indemnification provisions due to our limited history of prior indemnification claims and the unique facts and circumstances involved in each particular provision. </w:t>
      </w:r>
    </w:p>
    <w:p w14:paraId="0BC9A220" w14:textId="77777777" w:rsidR="009F0928" w:rsidRDefault="009F0928">
      <w:pPr>
        <w:spacing w:line="288" w:lineRule="auto"/>
        <w:ind w:firstLine="720"/>
        <w:jc w:val="both"/>
        <w:rPr>
          <w:rFonts w:ascii="Times New Roman" w:hAnsi="Times New Roman"/>
          <w:sz w:val="20"/>
          <w:szCs w:val="20"/>
        </w:rPr>
      </w:pPr>
    </w:p>
    <w:p w14:paraId="0BC9A22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To d</w:t>
      </w:r>
      <w:r>
        <w:rPr>
          <w:rFonts w:ascii="Arial" w:eastAsia="宋体" w:hAnsi="Arial" w:cs="Arial"/>
          <w:sz w:val="20"/>
          <w:szCs w:val="20"/>
        </w:rPr>
        <w:t>ate, losses recorded in our consolidated statement of income in connection with our indemnification provisions have not been significant, either individually or collectively. </w:t>
      </w:r>
    </w:p>
    <w:p w14:paraId="0BC9A222" w14:textId="77777777" w:rsidR="009F0928" w:rsidRDefault="009F0928">
      <w:pPr>
        <w:spacing w:line="288" w:lineRule="auto"/>
        <w:jc w:val="both"/>
        <w:rPr>
          <w:rFonts w:ascii="Times New Roman" w:hAnsi="Times New Roman"/>
          <w:sz w:val="20"/>
          <w:szCs w:val="20"/>
        </w:rPr>
      </w:pPr>
    </w:p>
    <w:p w14:paraId="0BC9A223" w14:textId="77777777" w:rsidR="009F0928" w:rsidRDefault="009F0928">
      <w:pPr>
        <w:rPr>
          <w:rFonts w:ascii="Times New Roman" w:hAnsi="Times New Roman"/>
          <w:sz w:val="20"/>
          <w:szCs w:val="20"/>
        </w:rPr>
      </w:pPr>
    </w:p>
    <w:p w14:paraId="0BC9A224"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F-36</w:t>
      </w:r>
    </w:p>
    <w:p w14:paraId="0BC9A225" w14:textId="77777777" w:rsidR="009F0928" w:rsidRDefault="002112BD">
      <w:r>
        <w:rPr>
          <w:rFonts w:ascii="Times New Roman" w:hAnsi="Times New Roman"/>
          <w:sz w:val="18"/>
          <w:szCs w:val="18"/>
        </w:rPr>
        <w:pict w14:anchorId="0BC9B51E">
          <v:rect id="_x0000_i1122" style="width:415.3pt;height:1.5pt" o:hralign="center" o:hrstd="t" o:hr="t" fillcolor="#a0a0a0" stroked="f"/>
        </w:pict>
      </w:r>
    </w:p>
    <w:p w14:paraId="0BC9A226"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A227"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A228" w14:textId="77777777" w:rsidR="009F0928" w:rsidRDefault="009F0928">
      <w:pPr>
        <w:spacing w:line="288" w:lineRule="auto"/>
        <w:jc w:val="center"/>
        <w:rPr>
          <w:rFonts w:ascii="Times New Roman" w:hAnsi="Times New Roman"/>
          <w:sz w:val="20"/>
          <w:szCs w:val="20"/>
        </w:rPr>
      </w:pPr>
    </w:p>
    <w:p w14:paraId="0BC9A229" w14:textId="77777777" w:rsidR="009F0928" w:rsidRDefault="009F0928">
      <w:pPr>
        <w:rPr>
          <w:rFonts w:ascii="Times New Roman" w:hAnsi="Times New Roman"/>
          <w:sz w:val="20"/>
          <w:szCs w:val="20"/>
        </w:rPr>
      </w:pPr>
    </w:p>
    <w:p w14:paraId="0BC9A22A"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Note</w:t>
      </w:r>
      <w:r>
        <w:rPr>
          <w:rFonts w:ascii="Arial" w:eastAsia="宋体" w:hAnsi="Arial" w:cs="Arial"/>
          <w:b/>
          <w:bCs/>
          <w:sz w:val="20"/>
          <w:szCs w:val="20"/>
        </w:rPr>
        <w:t xml:space="preserve"> 13 – Stockholders’ Equity </w:t>
      </w:r>
    </w:p>
    <w:p w14:paraId="0BC9A22B" w14:textId="77777777" w:rsidR="009F0928" w:rsidRDefault="009F0928">
      <w:pPr>
        <w:spacing w:line="288" w:lineRule="auto"/>
        <w:ind w:firstLine="240"/>
        <w:jc w:val="both"/>
        <w:rPr>
          <w:rFonts w:ascii="Times New Roman" w:hAnsi="Times New Roman"/>
          <w:sz w:val="20"/>
          <w:szCs w:val="20"/>
        </w:rPr>
      </w:pPr>
    </w:p>
    <w:p w14:paraId="0BC9A22C" w14:textId="77777777" w:rsidR="009F0928" w:rsidRDefault="002112BD">
      <w:pPr>
        <w:spacing w:line="288" w:lineRule="auto"/>
        <w:ind w:firstLine="240"/>
        <w:jc w:val="both"/>
        <w:rPr>
          <w:rFonts w:ascii="Times New Roman" w:hAnsi="Times New Roman"/>
          <w:sz w:val="20"/>
          <w:szCs w:val="20"/>
        </w:rPr>
      </w:pPr>
      <w:r>
        <w:rPr>
          <w:rFonts w:ascii="Arial" w:eastAsia="宋体" w:hAnsi="Arial" w:cs="Arial"/>
          <w:b/>
          <w:bCs/>
          <w:i/>
          <w:iCs/>
          <w:sz w:val="20"/>
          <w:szCs w:val="20"/>
        </w:rPr>
        <w:t>Preferred Stock</w:t>
      </w:r>
    </w:p>
    <w:p w14:paraId="0BC9A22D" w14:textId="77777777" w:rsidR="009F0928" w:rsidRDefault="009F0928">
      <w:pPr>
        <w:spacing w:line="288" w:lineRule="auto"/>
        <w:ind w:firstLine="640"/>
        <w:jc w:val="both"/>
        <w:rPr>
          <w:rFonts w:ascii="Times New Roman" w:hAnsi="Times New Roman"/>
          <w:sz w:val="20"/>
          <w:szCs w:val="20"/>
        </w:rPr>
      </w:pPr>
    </w:p>
    <w:p w14:paraId="0BC9A22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are authorized, subject to limitations prescribed by Delaware law, to issue preferred stock in one or more series; to establish the number of shares included within each series; to fix the rights, preferences and privileges of the shares of each wholly </w:t>
      </w:r>
      <w:r>
        <w:rPr>
          <w:rFonts w:ascii="Arial" w:eastAsia="宋体" w:hAnsi="Arial" w:cs="Arial"/>
          <w:sz w:val="20"/>
          <w:szCs w:val="20"/>
        </w:rPr>
        <w:t>unissued series and any related qualifications, limitations or restrictions; and to increase or decrease the number of shares of any series (but not below the number of shares of a series then outstanding) without any further vote or action by our stockhol</w:t>
      </w:r>
      <w:r>
        <w:rPr>
          <w:rFonts w:ascii="Arial" w:eastAsia="宋体" w:hAnsi="Arial" w:cs="Arial"/>
          <w:sz w:val="20"/>
          <w:szCs w:val="20"/>
        </w:rPr>
        <w:t xml:space="preserve">ders. As of December 31, 2019 and 2018, there were 10 million shares of $0.001 par value preferred stock authorized for issuance, and no shares issued or outstanding. </w:t>
      </w:r>
    </w:p>
    <w:p w14:paraId="0BC9A22F" w14:textId="77777777" w:rsidR="009F0928" w:rsidRDefault="009F0928">
      <w:pPr>
        <w:spacing w:line="288" w:lineRule="auto"/>
        <w:ind w:firstLine="240"/>
        <w:jc w:val="both"/>
        <w:rPr>
          <w:rFonts w:ascii="Times New Roman" w:hAnsi="Times New Roman"/>
          <w:sz w:val="20"/>
          <w:szCs w:val="20"/>
        </w:rPr>
      </w:pPr>
    </w:p>
    <w:p w14:paraId="0BC9A230" w14:textId="77777777" w:rsidR="009F0928" w:rsidRDefault="002112BD">
      <w:pPr>
        <w:spacing w:line="288" w:lineRule="auto"/>
        <w:ind w:firstLine="240"/>
        <w:jc w:val="both"/>
        <w:rPr>
          <w:rFonts w:ascii="Times New Roman" w:hAnsi="Times New Roman"/>
          <w:sz w:val="20"/>
          <w:szCs w:val="20"/>
        </w:rPr>
      </w:pPr>
      <w:r>
        <w:rPr>
          <w:rFonts w:ascii="Arial" w:eastAsia="宋体" w:hAnsi="Arial" w:cs="Arial"/>
          <w:b/>
          <w:bCs/>
          <w:i/>
          <w:iCs/>
          <w:sz w:val="20"/>
          <w:szCs w:val="20"/>
        </w:rPr>
        <w:t>Common Stock</w:t>
      </w:r>
    </w:p>
    <w:p w14:paraId="0BC9A231" w14:textId="77777777" w:rsidR="009F0928" w:rsidRDefault="009F0928">
      <w:pPr>
        <w:spacing w:line="288" w:lineRule="auto"/>
        <w:ind w:firstLine="600"/>
        <w:jc w:val="both"/>
        <w:rPr>
          <w:rFonts w:ascii="Times New Roman" w:hAnsi="Times New Roman"/>
          <w:sz w:val="20"/>
          <w:szCs w:val="20"/>
        </w:rPr>
      </w:pPr>
    </w:p>
    <w:p w14:paraId="0BC9A23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Our Amended and Restated Certificate of Incorporation authorizes us to is</w:t>
      </w:r>
      <w:r>
        <w:rPr>
          <w:rFonts w:ascii="Arial" w:eastAsia="宋体" w:hAnsi="Arial" w:cs="Arial"/>
          <w:sz w:val="20"/>
          <w:szCs w:val="20"/>
        </w:rPr>
        <w:t xml:space="preserve">sue 3.6 billion shares of common stock. </w:t>
      </w:r>
    </w:p>
    <w:p w14:paraId="0BC9A233" w14:textId="77777777" w:rsidR="009F0928" w:rsidRDefault="009F0928">
      <w:pPr>
        <w:spacing w:line="288" w:lineRule="auto"/>
        <w:ind w:firstLine="600"/>
        <w:jc w:val="both"/>
        <w:rPr>
          <w:rFonts w:ascii="Times New Roman" w:hAnsi="Times New Roman"/>
          <w:sz w:val="20"/>
          <w:szCs w:val="20"/>
        </w:rPr>
      </w:pPr>
    </w:p>
    <w:p w14:paraId="0BC9A234" w14:textId="77777777" w:rsidR="009F0928" w:rsidRDefault="002112BD">
      <w:pPr>
        <w:spacing w:line="288" w:lineRule="auto"/>
        <w:ind w:firstLine="240"/>
        <w:jc w:val="both"/>
        <w:rPr>
          <w:rFonts w:ascii="Times New Roman" w:hAnsi="Times New Roman"/>
          <w:sz w:val="20"/>
          <w:szCs w:val="20"/>
        </w:rPr>
      </w:pPr>
      <w:r>
        <w:rPr>
          <w:rFonts w:ascii="Arial" w:eastAsia="宋体" w:hAnsi="Arial" w:cs="Arial"/>
          <w:b/>
          <w:bCs/>
          <w:i/>
          <w:iCs/>
          <w:sz w:val="20"/>
          <w:szCs w:val="20"/>
        </w:rPr>
        <w:t xml:space="preserve">Stock Repurchase Programs </w:t>
      </w:r>
    </w:p>
    <w:p w14:paraId="0BC9A235" w14:textId="77777777" w:rsidR="009F0928" w:rsidRDefault="009F0928">
      <w:pPr>
        <w:spacing w:line="288" w:lineRule="auto"/>
        <w:ind w:firstLine="720"/>
        <w:rPr>
          <w:rFonts w:ascii="Times New Roman" w:hAnsi="Times New Roman"/>
          <w:sz w:val="20"/>
          <w:szCs w:val="20"/>
        </w:rPr>
      </w:pPr>
    </w:p>
    <w:p w14:paraId="0BC9A23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Our stock repurchase programs are intended to programmatically offset the impact of dilution from our equity compensation programs and, subject to market conditions and other factors, to</w:t>
      </w:r>
      <w:r>
        <w:rPr>
          <w:rFonts w:ascii="Arial" w:eastAsia="宋体" w:hAnsi="Arial" w:cs="Arial"/>
          <w:sz w:val="20"/>
          <w:szCs w:val="20"/>
        </w:rPr>
        <w:t xml:space="preserve"> make opportunistic and programmatic repurchases of our common stock to reduce our outstanding share count. Any share repurchases under our stock repurchase programs may be made through open market transactions, block trades, privately negotiated transacti</w:t>
      </w:r>
      <w:r>
        <w:rPr>
          <w:rFonts w:ascii="Arial" w:eastAsia="宋体" w:hAnsi="Arial" w:cs="Arial"/>
          <w:sz w:val="20"/>
          <w:szCs w:val="20"/>
        </w:rPr>
        <w:t xml:space="preserve">ons (including accelerated share repurchase transactions) or other means at times and in such amounts as management deems appropriate and will be funded from our working capital or other financing alternatives. Our stock repurchase programs may be limited </w:t>
      </w:r>
      <w:r>
        <w:rPr>
          <w:rFonts w:ascii="Arial" w:eastAsia="宋体" w:hAnsi="Arial" w:cs="Arial"/>
          <w:sz w:val="20"/>
          <w:szCs w:val="20"/>
        </w:rPr>
        <w:t xml:space="preserve">or terminated at any time without prior notice. The timing and actual number of shares repurchased will depend on a variety of factors, including corporate and regulatory requirements, price and other market conditions and management’s determination as to </w:t>
      </w:r>
      <w:r>
        <w:rPr>
          <w:rFonts w:ascii="Arial" w:eastAsia="宋体" w:hAnsi="Arial" w:cs="Arial"/>
          <w:sz w:val="20"/>
          <w:szCs w:val="20"/>
        </w:rPr>
        <w:t xml:space="preserve">the appropriate use of our cash.   </w:t>
      </w:r>
    </w:p>
    <w:p w14:paraId="0BC9A237" w14:textId="77777777" w:rsidR="009F0928" w:rsidRDefault="009F0928">
      <w:pPr>
        <w:spacing w:line="288" w:lineRule="auto"/>
        <w:ind w:firstLine="720"/>
        <w:jc w:val="both"/>
        <w:rPr>
          <w:rFonts w:ascii="Times New Roman" w:hAnsi="Times New Roman"/>
          <w:sz w:val="20"/>
          <w:szCs w:val="20"/>
        </w:rPr>
      </w:pPr>
    </w:p>
    <w:p w14:paraId="0BC9A23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In January 2018, our Board of Directors (“Board”) authorized a $6.0 billion stock repurchase program, and in January 2019, our Board authorized an additional 4.0 billion stock repurchase program. These stock repurchase </w:t>
      </w:r>
      <w:r>
        <w:rPr>
          <w:rFonts w:ascii="Arial" w:eastAsia="宋体" w:hAnsi="Arial" w:cs="Arial"/>
          <w:sz w:val="20"/>
          <w:szCs w:val="20"/>
        </w:rPr>
        <w:t>programs have no expiration from the date of authorization. The stock repurchase activity under our stock repurchase programs during 2019 was as follows (in millions, except per share amounts):</w:t>
      </w:r>
    </w:p>
    <w:tbl>
      <w:tblPr>
        <w:tblW w:w="5000" w:type="pct"/>
        <w:tblCellMar>
          <w:left w:w="0" w:type="dxa"/>
          <w:right w:w="0" w:type="dxa"/>
        </w:tblCellMar>
        <w:tblLook w:val="04A0" w:firstRow="1" w:lastRow="0" w:firstColumn="1" w:lastColumn="0" w:noHBand="0" w:noVBand="1"/>
      </w:tblPr>
      <w:tblGrid>
        <w:gridCol w:w="3721"/>
        <w:gridCol w:w="1010"/>
        <w:gridCol w:w="84"/>
        <w:gridCol w:w="130"/>
        <w:gridCol w:w="142"/>
        <w:gridCol w:w="732"/>
        <w:gridCol w:w="59"/>
        <w:gridCol w:w="130"/>
        <w:gridCol w:w="142"/>
        <w:gridCol w:w="925"/>
        <w:gridCol w:w="84"/>
        <w:gridCol w:w="130"/>
        <w:gridCol w:w="142"/>
        <w:gridCol w:w="775"/>
        <w:gridCol w:w="100"/>
      </w:tblGrid>
      <w:tr w:rsidR="009F0928" w14:paraId="0BC9A23A" w14:textId="77777777">
        <w:tc>
          <w:tcPr>
            <w:tcW w:w="0" w:type="auto"/>
            <w:gridSpan w:val="15"/>
            <w:shd w:val="clear" w:color="auto" w:fill="auto"/>
            <w:vAlign w:val="center"/>
          </w:tcPr>
          <w:p w14:paraId="0BC9A239" w14:textId="77777777" w:rsidR="009F0928" w:rsidRDefault="009F0928">
            <w:pPr>
              <w:rPr>
                <w:rFonts w:ascii="Times New Roman" w:hAnsi="Times New Roman"/>
                <w:sz w:val="20"/>
                <w:szCs w:val="20"/>
              </w:rPr>
            </w:pPr>
          </w:p>
        </w:tc>
      </w:tr>
      <w:tr w:rsidR="009F0928" w14:paraId="0BC9A24A" w14:textId="77777777">
        <w:tc>
          <w:tcPr>
            <w:tcW w:w="2300" w:type="pct"/>
            <w:shd w:val="clear" w:color="auto" w:fill="auto"/>
            <w:vAlign w:val="center"/>
          </w:tcPr>
          <w:p w14:paraId="0BC9A23B" w14:textId="77777777" w:rsidR="009F0928" w:rsidRDefault="009F0928">
            <w:pPr>
              <w:rPr>
                <w:rFonts w:ascii="Times New Roman" w:hAnsi="Times New Roman"/>
                <w:sz w:val="20"/>
                <w:szCs w:val="20"/>
              </w:rPr>
            </w:pPr>
          </w:p>
        </w:tc>
        <w:tc>
          <w:tcPr>
            <w:tcW w:w="600" w:type="pct"/>
            <w:shd w:val="clear" w:color="auto" w:fill="auto"/>
            <w:vAlign w:val="center"/>
          </w:tcPr>
          <w:p w14:paraId="0BC9A23C" w14:textId="77777777" w:rsidR="009F0928" w:rsidRDefault="009F0928">
            <w:pPr>
              <w:rPr>
                <w:rFonts w:ascii="Times New Roman" w:hAnsi="Times New Roman"/>
                <w:sz w:val="20"/>
                <w:szCs w:val="20"/>
              </w:rPr>
            </w:pPr>
          </w:p>
        </w:tc>
        <w:tc>
          <w:tcPr>
            <w:tcW w:w="50" w:type="pct"/>
            <w:shd w:val="clear" w:color="auto" w:fill="auto"/>
            <w:vAlign w:val="center"/>
          </w:tcPr>
          <w:p w14:paraId="0BC9A23D" w14:textId="77777777" w:rsidR="009F0928" w:rsidRDefault="009F0928">
            <w:pPr>
              <w:rPr>
                <w:rFonts w:ascii="Times New Roman" w:hAnsi="Times New Roman"/>
                <w:sz w:val="20"/>
                <w:szCs w:val="20"/>
              </w:rPr>
            </w:pPr>
          </w:p>
        </w:tc>
        <w:tc>
          <w:tcPr>
            <w:tcW w:w="50" w:type="pct"/>
            <w:shd w:val="clear" w:color="auto" w:fill="auto"/>
            <w:vAlign w:val="center"/>
          </w:tcPr>
          <w:p w14:paraId="0BC9A23E" w14:textId="77777777" w:rsidR="009F0928" w:rsidRDefault="009F0928">
            <w:pPr>
              <w:rPr>
                <w:rFonts w:ascii="Times New Roman" w:hAnsi="Times New Roman"/>
                <w:sz w:val="20"/>
                <w:szCs w:val="20"/>
              </w:rPr>
            </w:pPr>
          </w:p>
        </w:tc>
        <w:tc>
          <w:tcPr>
            <w:tcW w:w="50" w:type="pct"/>
            <w:shd w:val="clear" w:color="auto" w:fill="auto"/>
            <w:vAlign w:val="center"/>
          </w:tcPr>
          <w:p w14:paraId="0BC9A23F" w14:textId="77777777" w:rsidR="009F0928" w:rsidRDefault="009F0928">
            <w:pPr>
              <w:rPr>
                <w:rFonts w:ascii="Times New Roman" w:hAnsi="Times New Roman"/>
                <w:sz w:val="20"/>
                <w:szCs w:val="20"/>
              </w:rPr>
            </w:pPr>
          </w:p>
        </w:tc>
        <w:tc>
          <w:tcPr>
            <w:tcW w:w="500" w:type="pct"/>
            <w:shd w:val="clear" w:color="auto" w:fill="auto"/>
            <w:vAlign w:val="center"/>
          </w:tcPr>
          <w:p w14:paraId="0BC9A240" w14:textId="77777777" w:rsidR="009F0928" w:rsidRDefault="009F0928">
            <w:pPr>
              <w:rPr>
                <w:rFonts w:ascii="Times New Roman" w:hAnsi="Times New Roman"/>
                <w:sz w:val="20"/>
                <w:szCs w:val="20"/>
              </w:rPr>
            </w:pPr>
          </w:p>
        </w:tc>
        <w:tc>
          <w:tcPr>
            <w:tcW w:w="50" w:type="pct"/>
            <w:shd w:val="clear" w:color="auto" w:fill="auto"/>
            <w:vAlign w:val="center"/>
          </w:tcPr>
          <w:p w14:paraId="0BC9A241" w14:textId="77777777" w:rsidR="009F0928" w:rsidRDefault="009F0928">
            <w:pPr>
              <w:rPr>
                <w:rFonts w:ascii="Times New Roman" w:hAnsi="Times New Roman"/>
                <w:sz w:val="20"/>
                <w:szCs w:val="20"/>
              </w:rPr>
            </w:pPr>
          </w:p>
        </w:tc>
        <w:tc>
          <w:tcPr>
            <w:tcW w:w="50" w:type="pct"/>
            <w:shd w:val="clear" w:color="auto" w:fill="auto"/>
            <w:vAlign w:val="center"/>
          </w:tcPr>
          <w:p w14:paraId="0BC9A242" w14:textId="77777777" w:rsidR="009F0928" w:rsidRDefault="009F0928">
            <w:pPr>
              <w:rPr>
                <w:rFonts w:ascii="Times New Roman" w:hAnsi="Times New Roman"/>
                <w:sz w:val="20"/>
                <w:szCs w:val="20"/>
              </w:rPr>
            </w:pPr>
          </w:p>
        </w:tc>
        <w:tc>
          <w:tcPr>
            <w:tcW w:w="50" w:type="pct"/>
            <w:shd w:val="clear" w:color="auto" w:fill="auto"/>
            <w:vAlign w:val="center"/>
          </w:tcPr>
          <w:p w14:paraId="0BC9A243" w14:textId="77777777" w:rsidR="009F0928" w:rsidRDefault="009F0928">
            <w:pPr>
              <w:rPr>
                <w:rFonts w:ascii="Times New Roman" w:hAnsi="Times New Roman"/>
                <w:sz w:val="20"/>
                <w:szCs w:val="20"/>
              </w:rPr>
            </w:pPr>
          </w:p>
        </w:tc>
        <w:tc>
          <w:tcPr>
            <w:tcW w:w="550" w:type="pct"/>
            <w:shd w:val="clear" w:color="auto" w:fill="auto"/>
            <w:vAlign w:val="center"/>
          </w:tcPr>
          <w:p w14:paraId="0BC9A244" w14:textId="77777777" w:rsidR="009F0928" w:rsidRDefault="009F0928">
            <w:pPr>
              <w:rPr>
                <w:rFonts w:ascii="Times New Roman" w:hAnsi="Times New Roman"/>
                <w:sz w:val="20"/>
                <w:szCs w:val="20"/>
              </w:rPr>
            </w:pPr>
          </w:p>
        </w:tc>
        <w:tc>
          <w:tcPr>
            <w:tcW w:w="50" w:type="pct"/>
            <w:shd w:val="clear" w:color="auto" w:fill="auto"/>
            <w:vAlign w:val="center"/>
          </w:tcPr>
          <w:p w14:paraId="0BC9A245" w14:textId="77777777" w:rsidR="009F0928" w:rsidRDefault="009F0928">
            <w:pPr>
              <w:rPr>
                <w:rFonts w:ascii="Times New Roman" w:hAnsi="Times New Roman"/>
                <w:sz w:val="20"/>
                <w:szCs w:val="20"/>
              </w:rPr>
            </w:pPr>
          </w:p>
        </w:tc>
        <w:tc>
          <w:tcPr>
            <w:tcW w:w="50" w:type="pct"/>
            <w:shd w:val="clear" w:color="auto" w:fill="auto"/>
            <w:vAlign w:val="center"/>
          </w:tcPr>
          <w:p w14:paraId="0BC9A246" w14:textId="77777777" w:rsidR="009F0928" w:rsidRDefault="009F0928">
            <w:pPr>
              <w:rPr>
                <w:rFonts w:ascii="Times New Roman" w:hAnsi="Times New Roman"/>
                <w:sz w:val="20"/>
                <w:szCs w:val="20"/>
              </w:rPr>
            </w:pPr>
          </w:p>
        </w:tc>
        <w:tc>
          <w:tcPr>
            <w:tcW w:w="50" w:type="pct"/>
            <w:shd w:val="clear" w:color="auto" w:fill="auto"/>
            <w:vAlign w:val="center"/>
          </w:tcPr>
          <w:p w14:paraId="0BC9A247" w14:textId="77777777" w:rsidR="009F0928" w:rsidRDefault="009F0928">
            <w:pPr>
              <w:rPr>
                <w:rFonts w:ascii="Times New Roman" w:hAnsi="Times New Roman"/>
                <w:sz w:val="20"/>
                <w:szCs w:val="20"/>
              </w:rPr>
            </w:pPr>
          </w:p>
        </w:tc>
        <w:tc>
          <w:tcPr>
            <w:tcW w:w="550" w:type="pct"/>
            <w:shd w:val="clear" w:color="auto" w:fill="auto"/>
            <w:vAlign w:val="center"/>
          </w:tcPr>
          <w:p w14:paraId="0BC9A248" w14:textId="77777777" w:rsidR="009F0928" w:rsidRDefault="009F0928">
            <w:pPr>
              <w:rPr>
                <w:rFonts w:ascii="Times New Roman" w:hAnsi="Times New Roman"/>
                <w:sz w:val="20"/>
                <w:szCs w:val="20"/>
              </w:rPr>
            </w:pPr>
          </w:p>
        </w:tc>
        <w:tc>
          <w:tcPr>
            <w:tcW w:w="50" w:type="pct"/>
            <w:shd w:val="clear" w:color="auto" w:fill="auto"/>
            <w:vAlign w:val="center"/>
          </w:tcPr>
          <w:p w14:paraId="0BC9A249" w14:textId="77777777" w:rsidR="009F0928" w:rsidRDefault="009F0928">
            <w:pPr>
              <w:rPr>
                <w:rFonts w:ascii="Times New Roman" w:hAnsi="Times New Roman"/>
                <w:sz w:val="20"/>
                <w:szCs w:val="20"/>
              </w:rPr>
            </w:pPr>
          </w:p>
        </w:tc>
      </w:tr>
      <w:tr w:rsidR="009F0928" w14:paraId="0BC9A253" w14:textId="77777777">
        <w:tc>
          <w:tcPr>
            <w:tcW w:w="0" w:type="auto"/>
            <w:shd w:val="clear" w:color="auto" w:fill="auto"/>
            <w:tcMar>
              <w:top w:w="40" w:type="dxa"/>
              <w:left w:w="40" w:type="dxa"/>
              <w:bottom w:w="40" w:type="dxa"/>
              <w:right w:w="40" w:type="dxa"/>
            </w:tcMar>
            <w:vAlign w:val="bottom"/>
          </w:tcPr>
          <w:p w14:paraId="0BC9A24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A24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Shares Repurchased </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0BC9A24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24E"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Average Price per Share </w:t>
            </w:r>
            <w:r>
              <w:rPr>
                <w:rFonts w:ascii="Arial" w:eastAsia="宋体" w:hAnsi="Arial" w:cs="Arial"/>
                <w:b/>
                <w:bCs/>
                <w:sz w:val="10"/>
                <w:szCs w:val="10"/>
              </w:rPr>
              <w:t>(2)</w:t>
            </w:r>
          </w:p>
        </w:tc>
        <w:tc>
          <w:tcPr>
            <w:tcW w:w="0" w:type="auto"/>
            <w:shd w:val="clear" w:color="auto" w:fill="auto"/>
            <w:tcMar>
              <w:top w:w="40" w:type="dxa"/>
              <w:left w:w="40" w:type="dxa"/>
              <w:bottom w:w="40" w:type="dxa"/>
              <w:right w:w="40" w:type="dxa"/>
            </w:tcMar>
            <w:vAlign w:val="bottom"/>
          </w:tcPr>
          <w:p w14:paraId="0BC9A24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25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Value of Shares Repurchased </w:t>
            </w:r>
            <w:r>
              <w:rPr>
                <w:rFonts w:ascii="Arial" w:eastAsia="宋体" w:hAnsi="Arial" w:cs="Arial"/>
                <w:b/>
                <w:bCs/>
                <w:sz w:val="10"/>
                <w:szCs w:val="10"/>
              </w:rPr>
              <w:t>(2)</w:t>
            </w:r>
          </w:p>
        </w:tc>
        <w:tc>
          <w:tcPr>
            <w:tcW w:w="0" w:type="auto"/>
            <w:shd w:val="clear" w:color="auto" w:fill="auto"/>
            <w:tcMar>
              <w:top w:w="40" w:type="dxa"/>
              <w:left w:w="40" w:type="dxa"/>
              <w:bottom w:w="40" w:type="dxa"/>
              <w:right w:w="40" w:type="dxa"/>
            </w:tcMar>
            <w:vAlign w:val="bottom"/>
          </w:tcPr>
          <w:p w14:paraId="0BC9A25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252"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Remaining Amount Authorized</w:t>
            </w:r>
          </w:p>
        </w:tc>
      </w:tr>
      <w:tr w:rsidR="009F0928" w14:paraId="0BC9A25E" w14:textId="77777777">
        <w:tc>
          <w:tcPr>
            <w:tcW w:w="0" w:type="auto"/>
            <w:shd w:val="clear" w:color="auto" w:fill="E2E2E2"/>
            <w:tcMar>
              <w:top w:w="40" w:type="dxa"/>
              <w:left w:w="40" w:type="dxa"/>
              <w:bottom w:w="40" w:type="dxa"/>
              <w:right w:w="40" w:type="dxa"/>
            </w:tcMar>
            <w:vAlign w:val="bottom"/>
          </w:tcPr>
          <w:p w14:paraId="0BC9A254" w14:textId="77777777" w:rsidR="009F0928" w:rsidRDefault="002112BD">
            <w:pPr>
              <w:textAlignment w:val="bottom"/>
              <w:rPr>
                <w:rFonts w:ascii="Times New Roman" w:hAnsi="Times New Roman"/>
                <w:sz w:val="18"/>
                <w:szCs w:val="18"/>
              </w:rPr>
            </w:pPr>
            <w:r>
              <w:rPr>
                <w:rFonts w:ascii="Arial" w:eastAsia="宋体" w:hAnsi="Arial" w:cs="Arial"/>
                <w:sz w:val="18"/>
                <w:szCs w:val="18"/>
              </w:rPr>
              <w:t>Balance as of January 1, 2019</w:t>
            </w:r>
          </w:p>
        </w:tc>
        <w:tc>
          <w:tcPr>
            <w:tcW w:w="0" w:type="auto"/>
            <w:gridSpan w:val="2"/>
            <w:shd w:val="clear" w:color="auto" w:fill="E2E2E2"/>
            <w:tcMar>
              <w:top w:w="40" w:type="dxa"/>
              <w:left w:w="40" w:type="dxa"/>
              <w:bottom w:w="40" w:type="dxa"/>
              <w:right w:w="40" w:type="dxa"/>
            </w:tcMar>
            <w:vAlign w:val="bottom"/>
          </w:tcPr>
          <w:p w14:paraId="0BC9A25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25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25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25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25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25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25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25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3,151</w:t>
            </w:r>
          </w:p>
        </w:tc>
        <w:tc>
          <w:tcPr>
            <w:tcW w:w="0" w:type="auto"/>
            <w:shd w:val="clear" w:color="auto" w:fill="E2E2E2"/>
            <w:vAlign w:val="bottom"/>
          </w:tcPr>
          <w:p w14:paraId="0BC9A25D" w14:textId="77777777" w:rsidR="009F0928" w:rsidRDefault="009F0928">
            <w:pPr>
              <w:textAlignment w:val="bottom"/>
              <w:rPr>
                <w:rFonts w:ascii="Times New Roman" w:hAnsi="Times New Roman"/>
                <w:sz w:val="20"/>
                <w:szCs w:val="20"/>
              </w:rPr>
            </w:pPr>
          </w:p>
        </w:tc>
      </w:tr>
      <w:tr w:rsidR="009F0928" w14:paraId="0BC9A268" w14:textId="77777777">
        <w:tc>
          <w:tcPr>
            <w:tcW w:w="0" w:type="auto"/>
            <w:shd w:val="clear" w:color="auto" w:fill="auto"/>
            <w:tcMar>
              <w:top w:w="40" w:type="dxa"/>
              <w:left w:w="40" w:type="dxa"/>
              <w:bottom w:w="40" w:type="dxa"/>
              <w:right w:w="40" w:type="dxa"/>
            </w:tcMar>
            <w:vAlign w:val="bottom"/>
          </w:tcPr>
          <w:p w14:paraId="0BC9A25F" w14:textId="77777777" w:rsidR="009F0928" w:rsidRDefault="002112BD">
            <w:pPr>
              <w:textAlignment w:val="bottom"/>
              <w:rPr>
                <w:rFonts w:ascii="Times New Roman" w:hAnsi="Times New Roman"/>
                <w:sz w:val="18"/>
                <w:szCs w:val="18"/>
              </w:rPr>
            </w:pPr>
            <w:r>
              <w:rPr>
                <w:rFonts w:ascii="Arial" w:eastAsia="宋体" w:hAnsi="Arial" w:cs="Arial"/>
                <w:sz w:val="18"/>
                <w:szCs w:val="18"/>
              </w:rPr>
              <w:t>Authorization of additional plan in January 2019</w:t>
            </w:r>
          </w:p>
        </w:tc>
        <w:tc>
          <w:tcPr>
            <w:tcW w:w="0" w:type="auto"/>
            <w:gridSpan w:val="2"/>
            <w:shd w:val="clear" w:color="auto" w:fill="auto"/>
            <w:tcMar>
              <w:top w:w="40" w:type="dxa"/>
              <w:left w:w="40" w:type="dxa"/>
              <w:bottom w:w="40" w:type="dxa"/>
              <w:right w:w="40" w:type="dxa"/>
            </w:tcMar>
            <w:vAlign w:val="bottom"/>
          </w:tcPr>
          <w:p w14:paraId="0BC9A26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26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A26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26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A26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2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26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4,000</w:t>
            </w:r>
          </w:p>
        </w:tc>
        <w:tc>
          <w:tcPr>
            <w:tcW w:w="0" w:type="auto"/>
            <w:shd w:val="clear" w:color="auto" w:fill="auto"/>
            <w:vAlign w:val="bottom"/>
          </w:tcPr>
          <w:p w14:paraId="0BC9A267" w14:textId="77777777" w:rsidR="009F0928" w:rsidRDefault="009F0928">
            <w:pPr>
              <w:textAlignment w:val="bottom"/>
              <w:rPr>
                <w:rFonts w:ascii="Times New Roman" w:hAnsi="Times New Roman"/>
                <w:sz w:val="20"/>
                <w:szCs w:val="20"/>
              </w:rPr>
            </w:pPr>
          </w:p>
        </w:tc>
      </w:tr>
      <w:tr w:rsidR="009F0928" w14:paraId="0BC9A277" w14:textId="77777777">
        <w:tc>
          <w:tcPr>
            <w:tcW w:w="0" w:type="auto"/>
            <w:shd w:val="clear" w:color="auto" w:fill="E2E2E2"/>
            <w:tcMar>
              <w:top w:w="40" w:type="dxa"/>
              <w:left w:w="40" w:type="dxa"/>
              <w:bottom w:w="40" w:type="dxa"/>
              <w:right w:w="40" w:type="dxa"/>
            </w:tcMar>
            <w:vAlign w:val="bottom"/>
          </w:tcPr>
          <w:p w14:paraId="0BC9A269" w14:textId="77777777" w:rsidR="009F0928" w:rsidRDefault="002112BD">
            <w:pPr>
              <w:textAlignment w:val="bottom"/>
              <w:rPr>
                <w:rFonts w:ascii="Times New Roman" w:hAnsi="Times New Roman"/>
                <w:sz w:val="18"/>
                <w:szCs w:val="18"/>
              </w:rPr>
            </w:pPr>
            <w:r>
              <w:rPr>
                <w:rFonts w:ascii="Arial" w:eastAsia="宋体" w:hAnsi="Arial" w:cs="Arial"/>
                <w:sz w:val="18"/>
                <w:szCs w:val="18"/>
              </w:rPr>
              <w:t>Repurchase of shares of common stock</w:t>
            </w:r>
          </w:p>
        </w:tc>
        <w:tc>
          <w:tcPr>
            <w:tcW w:w="0" w:type="auto"/>
            <w:shd w:val="clear" w:color="auto" w:fill="E2E2E2"/>
            <w:tcMar>
              <w:top w:w="40" w:type="dxa"/>
              <w:left w:w="40" w:type="dxa"/>
              <w:bottom w:w="40" w:type="dxa"/>
            </w:tcMar>
            <w:vAlign w:val="bottom"/>
          </w:tcPr>
          <w:p w14:paraId="0BC9A26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134</w:t>
            </w:r>
          </w:p>
        </w:tc>
        <w:tc>
          <w:tcPr>
            <w:tcW w:w="0" w:type="auto"/>
            <w:shd w:val="clear" w:color="auto" w:fill="E2E2E2"/>
            <w:vAlign w:val="bottom"/>
          </w:tcPr>
          <w:p w14:paraId="0BC9A26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26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26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26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37.26</w:t>
            </w:r>
          </w:p>
        </w:tc>
        <w:tc>
          <w:tcPr>
            <w:tcW w:w="0" w:type="auto"/>
            <w:shd w:val="clear" w:color="auto" w:fill="E2E2E2"/>
            <w:vAlign w:val="bottom"/>
          </w:tcPr>
          <w:p w14:paraId="0BC9A26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27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27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27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5,000</w:t>
            </w:r>
          </w:p>
        </w:tc>
        <w:tc>
          <w:tcPr>
            <w:tcW w:w="0" w:type="auto"/>
            <w:shd w:val="clear" w:color="auto" w:fill="E2E2E2"/>
            <w:vAlign w:val="bottom"/>
          </w:tcPr>
          <w:p w14:paraId="0BC9A27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27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27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(5,000</w:t>
            </w:r>
          </w:p>
        </w:tc>
        <w:tc>
          <w:tcPr>
            <w:tcW w:w="0" w:type="auto"/>
            <w:shd w:val="clear" w:color="auto" w:fill="E2E2E2"/>
            <w:tcMar>
              <w:top w:w="40" w:type="dxa"/>
              <w:bottom w:w="40" w:type="dxa"/>
              <w:right w:w="40" w:type="dxa"/>
            </w:tcMar>
            <w:vAlign w:val="bottom"/>
          </w:tcPr>
          <w:p w14:paraId="0BC9A27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282" w14:textId="77777777">
        <w:tc>
          <w:tcPr>
            <w:tcW w:w="0" w:type="auto"/>
            <w:shd w:val="clear" w:color="auto" w:fill="auto"/>
            <w:tcMar>
              <w:top w:w="40" w:type="dxa"/>
              <w:left w:w="40" w:type="dxa"/>
              <w:bottom w:w="40" w:type="dxa"/>
              <w:right w:w="40" w:type="dxa"/>
            </w:tcMar>
            <w:vAlign w:val="bottom"/>
          </w:tcPr>
          <w:p w14:paraId="0BC9A278" w14:textId="77777777" w:rsidR="009F0928" w:rsidRDefault="002112BD">
            <w:pPr>
              <w:textAlignment w:val="bottom"/>
              <w:rPr>
                <w:rFonts w:ascii="Times New Roman" w:hAnsi="Times New Roman"/>
                <w:sz w:val="18"/>
                <w:szCs w:val="18"/>
              </w:rPr>
            </w:pPr>
            <w:r>
              <w:rPr>
                <w:rFonts w:ascii="Arial" w:eastAsia="宋体" w:hAnsi="Arial" w:cs="Arial"/>
                <w:sz w:val="18"/>
                <w:szCs w:val="18"/>
              </w:rPr>
              <w:t>Balance as of December 31, 2019</w:t>
            </w:r>
          </w:p>
        </w:tc>
        <w:tc>
          <w:tcPr>
            <w:tcW w:w="0" w:type="auto"/>
            <w:gridSpan w:val="2"/>
            <w:shd w:val="clear" w:color="auto" w:fill="auto"/>
            <w:tcMar>
              <w:top w:w="40" w:type="dxa"/>
              <w:left w:w="40" w:type="dxa"/>
              <w:bottom w:w="40" w:type="dxa"/>
              <w:right w:w="40" w:type="dxa"/>
            </w:tcMar>
            <w:vAlign w:val="bottom"/>
          </w:tcPr>
          <w:p w14:paraId="0BC9A2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27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A27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27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A27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27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27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28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2,151</w:t>
            </w:r>
          </w:p>
        </w:tc>
        <w:tc>
          <w:tcPr>
            <w:tcW w:w="0" w:type="auto"/>
            <w:tcBorders>
              <w:top w:val="single" w:sz="8" w:space="0" w:color="000000"/>
              <w:bottom w:val="double" w:sz="6" w:space="0" w:color="000000"/>
            </w:tcBorders>
            <w:shd w:val="clear" w:color="auto" w:fill="auto"/>
            <w:vAlign w:val="bottom"/>
          </w:tcPr>
          <w:p w14:paraId="0BC9A281" w14:textId="77777777" w:rsidR="009F0928" w:rsidRDefault="009F0928">
            <w:pPr>
              <w:textAlignment w:val="bottom"/>
              <w:rPr>
                <w:rFonts w:ascii="Times New Roman" w:hAnsi="Times New Roman"/>
                <w:sz w:val="20"/>
                <w:szCs w:val="20"/>
              </w:rPr>
            </w:pPr>
          </w:p>
        </w:tc>
      </w:tr>
    </w:tbl>
    <w:p w14:paraId="0BC9A283" w14:textId="77777777" w:rsidR="009F0928" w:rsidRDefault="009F0928">
      <w:pPr>
        <w:rPr>
          <w:vanish/>
        </w:rPr>
      </w:pPr>
    </w:p>
    <w:tbl>
      <w:tblPr>
        <w:tblW w:w="977" w:type="pct"/>
        <w:tblCellMar>
          <w:left w:w="0" w:type="dxa"/>
          <w:right w:w="0" w:type="dxa"/>
        </w:tblCellMar>
        <w:tblLook w:val="04A0" w:firstRow="1" w:lastRow="0" w:firstColumn="1" w:lastColumn="0" w:noHBand="0" w:noVBand="1"/>
      </w:tblPr>
      <w:tblGrid>
        <w:gridCol w:w="1623"/>
      </w:tblGrid>
      <w:tr w:rsidR="009F0928" w14:paraId="0BC9A285" w14:textId="77777777">
        <w:tc>
          <w:tcPr>
            <w:tcW w:w="0" w:type="auto"/>
            <w:shd w:val="clear" w:color="auto" w:fill="auto"/>
            <w:vAlign w:val="center"/>
          </w:tcPr>
          <w:p w14:paraId="0BC9A284" w14:textId="77777777" w:rsidR="009F0928" w:rsidRDefault="009F0928">
            <w:pPr>
              <w:rPr>
                <w:rFonts w:ascii="Times New Roman" w:hAnsi="Times New Roman"/>
                <w:sz w:val="20"/>
                <w:szCs w:val="20"/>
              </w:rPr>
            </w:pPr>
          </w:p>
        </w:tc>
      </w:tr>
      <w:tr w:rsidR="009F0928" w14:paraId="0BC9A287" w14:textId="77777777">
        <w:tc>
          <w:tcPr>
            <w:tcW w:w="5000" w:type="pct"/>
            <w:shd w:val="clear" w:color="auto" w:fill="auto"/>
            <w:vAlign w:val="center"/>
          </w:tcPr>
          <w:p w14:paraId="0BC9A286" w14:textId="77777777" w:rsidR="009F0928" w:rsidRDefault="009F0928">
            <w:pPr>
              <w:rPr>
                <w:rFonts w:ascii="Times New Roman" w:hAnsi="Times New Roman"/>
                <w:sz w:val="20"/>
                <w:szCs w:val="20"/>
              </w:rPr>
            </w:pPr>
          </w:p>
        </w:tc>
      </w:tr>
      <w:tr w:rsidR="009F0928" w14:paraId="0BC9A289"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0BC9A28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A28A" w14:textId="77777777" w:rsidR="009F0928" w:rsidRDefault="009F0928">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9F0928" w14:paraId="0BC9A28D" w14:textId="77777777">
        <w:trPr>
          <w:tblCellSpacing w:w="0" w:type="dxa"/>
        </w:trPr>
        <w:tc>
          <w:tcPr>
            <w:tcW w:w="480" w:type="dxa"/>
            <w:shd w:val="clear" w:color="auto" w:fill="auto"/>
            <w:vAlign w:val="center"/>
          </w:tcPr>
          <w:p w14:paraId="0BC9A28B" w14:textId="77777777" w:rsidR="009F0928" w:rsidRDefault="009F0928">
            <w:pPr>
              <w:rPr>
                <w:rFonts w:ascii="Times New Roman" w:hAnsi="Times New Roman"/>
                <w:sz w:val="20"/>
                <w:szCs w:val="20"/>
              </w:rPr>
            </w:pPr>
          </w:p>
        </w:tc>
        <w:tc>
          <w:tcPr>
            <w:tcW w:w="0" w:type="auto"/>
            <w:shd w:val="clear" w:color="auto" w:fill="auto"/>
            <w:vAlign w:val="center"/>
          </w:tcPr>
          <w:p w14:paraId="0BC9A28C" w14:textId="77777777" w:rsidR="009F0928" w:rsidRDefault="009F0928">
            <w:pPr>
              <w:rPr>
                <w:rFonts w:ascii="Times New Roman" w:hAnsi="Times New Roman"/>
                <w:sz w:val="20"/>
                <w:szCs w:val="20"/>
              </w:rPr>
            </w:pPr>
          </w:p>
        </w:tc>
      </w:tr>
      <w:tr w:rsidR="009F0928" w14:paraId="0BC9A290" w14:textId="77777777">
        <w:trPr>
          <w:tblCellSpacing w:w="0" w:type="dxa"/>
        </w:trPr>
        <w:tc>
          <w:tcPr>
            <w:tcW w:w="0" w:type="auto"/>
            <w:shd w:val="clear" w:color="auto" w:fill="auto"/>
          </w:tcPr>
          <w:p w14:paraId="0BC9A28E"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(1)</w:t>
            </w:r>
          </w:p>
        </w:tc>
        <w:tc>
          <w:tcPr>
            <w:tcW w:w="0" w:type="auto"/>
            <w:shd w:val="clear" w:color="auto" w:fill="auto"/>
          </w:tcPr>
          <w:p w14:paraId="0BC9A28F"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 xml:space="preserve">These repurchased shares of common stock were recorded as treasury stock and were accounted for under the cost method. None of the repurchased shares of common stock have been retired. </w:t>
            </w:r>
          </w:p>
        </w:tc>
      </w:tr>
    </w:tbl>
    <w:p w14:paraId="0BC9A291"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2161"/>
      </w:tblGrid>
      <w:tr w:rsidR="009F0928" w14:paraId="0BC9A294" w14:textId="77777777">
        <w:trPr>
          <w:tblCellSpacing w:w="0" w:type="dxa"/>
        </w:trPr>
        <w:tc>
          <w:tcPr>
            <w:tcW w:w="480" w:type="dxa"/>
            <w:shd w:val="clear" w:color="auto" w:fill="auto"/>
            <w:vAlign w:val="center"/>
          </w:tcPr>
          <w:p w14:paraId="0BC9A292" w14:textId="77777777" w:rsidR="009F0928" w:rsidRDefault="009F0928">
            <w:pPr>
              <w:rPr>
                <w:rFonts w:ascii="Times New Roman" w:hAnsi="Times New Roman"/>
                <w:sz w:val="20"/>
                <w:szCs w:val="20"/>
              </w:rPr>
            </w:pPr>
          </w:p>
        </w:tc>
        <w:tc>
          <w:tcPr>
            <w:tcW w:w="0" w:type="auto"/>
            <w:shd w:val="clear" w:color="auto" w:fill="auto"/>
            <w:vAlign w:val="center"/>
          </w:tcPr>
          <w:p w14:paraId="0BC9A293" w14:textId="77777777" w:rsidR="009F0928" w:rsidRDefault="009F0928">
            <w:pPr>
              <w:rPr>
                <w:rFonts w:ascii="Times New Roman" w:hAnsi="Times New Roman"/>
                <w:sz w:val="20"/>
                <w:szCs w:val="20"/>
              </w:rPr>
            </w:pPr>
          </w:p>
        </w:tc>
      </w:tr>
      <w:tr w:rsidR="009F0928" w14:paraId="0BC9A297" w14:textId="77777777">
        <w:trPr>
          <w:tblCellSpacing w:w="0" w:type="dxa"/>
        </w:trPr>
        <w:tc>
          <w:tcPr>
            <w:tcW w:w="0" w:type="auto"/>
            <w:shd w:val="clear" w:color="auto" w:fill="auto"/>
          </w:tcPr>
          <w:p w14:paraId="0BC9A295"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(2)</w:t>
            </w:r>
          </w:p>
        </w:tc>
        <w:tc>
          <w:tcPr>
            <w:tcW w:w="0" w:type="auto"/>
            <w:shd w:val="clear" w:color="auto" w:fill="auto"/>
          </w:tcPr>
          <w:p w14:paraId="0BC9A296"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Excludes broker commissions.</w:t>
            </w:r>
          </w:p>
        </w:tc>
      </w:tr>
    </w:tbl>
    <w:p w14:paraId="0BC9A298" w14:textId="77777777" w:rsidR="009F0928" w:rsidRDefault="009F0928">
      <w:pPr>
        <w:spacing w:line="288" w:lineRule="auto"/>
        <w:rPr>
          <w:rFonts w:ascii="Times New Roman" w:hAnsi="Times New Roman"/>
          <w:sz w:val="20"/>
          <w:szCs w:val="20"/>
        </w:rPr>
      </w:pPr>
    </w:p>
    <w:p w14:paraId="0BC9A29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In January 2020, our Board authorized an additional $5.0 billion stock repurchase program, with no expiration from the date of authorization. </w:t>
      </w:r>
    </w:p>
    <w:p w14:paraId="0BC9A29A" w14:textId="77777777" w:rsidR="009F0928" w:rsidRDefault="009F0928">
      <w:pPr>
        <w:spacing w:line="288" w:lineRule="auto"/>
        <w:ind w:firstLine="720"/>
        <w:jc w:val="both"/>
        <w:rPr>
          <w:rFonts w:ascii="Times New Roman" w:hAnsi="Times New Roman"/>
          <w:sz w:val="20"/>
          <w:szCs w:val="20"/>
        </w:rPr>
      </w:pPr>
    </w:p>
    <w:p w14:paraId="0BC9A29B" w14:textId="77777777" w:rsidR="009F0928" w:rsidRDefault="002112BD">
      <w:pPr>
        <w:spacing w:line="417" w:lineRule="auto"/>
        <w:ind w:firstLine="240"/>
        <w:jc w:val="both"/>
        <w:rPr>
          <w:rFonts w:ascii="Times New Roman" w:hAnsi="Times New Roman"/>
          <w:sz w:val="20"/>
          <w:szCs w:val="20"/>
        </w:rPr>
      </w:pPr>
      <w:r>
        <w:rPr>
          <w:rFonts w:ascii="Arial" w:eastAsia="宋体" w:hAnsi="Arial" w:cs="Arial"/>
          <w:b/>
          <w:bCs/>
          <w:i/>
          <w:iCs/>
          <w:sz w:val="20"/>
          <w:szCs w:val="20"/>
        </w:rPr>
        <w:t>Dividends</w:t>
      </w:r>
    </w:p>
    <w:p w14:paraId="0BC9A29C" w14:textId="77777777" w:rsidR="009F0928" w:rsidRDefault="009F0928">
      <w:pPr>
        <w:spacing w:line="288" w:lineRule="auto"/>
        <w:ind w:firstLine="340"/>
        <w:rPr>
          <w:rFonts w:ascii="Times New Roman" w:hAnsi="Times New Roman"/>
          <w:sz w:val="20"/>
          <w:szCs w:val="20"/>
        </w:rPr>
      </w:pPr>
    </w:p>
    <w:p w14:paraId="0BC9A29D" w14:textId="77777777" w:rsidR="009F0928" w:rsidRDefault="002112BD">
      <w:pPr>
        <w:spacing w:line="288" w:lineRule="auto"/>
        <w:ind w:firstLine="720"/>
        <w:rPr>
          <w:rFonts w:ascii="Times New Roman" w:hAnsi="Times New Roman"/>
          <w:sz w:val="20"/>
          <w:szCs w:val="20"/>
        </w:rPr>
      </w:pPr>
      <w:r>
        <w:rPr>
          <w:rFonts w:ascii="Arial" w:eastAsia="宋体" w:hAnsi="Arial" w:cs="Arial"/>
          <w:sz w:val="20"/>
          <w:szCs w:val="20"/>
        </w:rPr>
        <w:t xml:space="preserve">The company paid a total of $473 million in cash dividends during the year ended December 31, </w:t>
      </w:r>
      <w:r>
        <w:rPr>
          <w:rFonts w:ascii="Arial" w:eastAsia="宋体" w:hAnsi="Arial" w:cs="Arial"/>
          <w:sz w:val="20"/>
          <w:szCs w:val="20"/>
        </w:rPr>
        <w:t>2019. In January 2020, we declared a cash dividend of $0.16 per share of common stock to be paid on March 20, 2020 to stockholders of record as of March 2, 2020.</w:t>
      </w:r>
    </w:p>
    <w:p w14:paraId="0BC9A29E" w14:textId="77777777" w:rsidR="009F0928" w:rsidRDefault="009F0928">
      <w:pPr>
        <w:spacing w:line="288" w:lineRule="auto"/>
        <w:jc w:val="both"/>
        <w:rPr>
          <w:rFonts w:ascii="Times New Roman" w:hAnsi="Times New Roman"/>
          <w:sz w:val="20"/>
          <w:szCs w:val="20"/>
        </w:rPr>
      </w:pPr>
    </w:p>
    <w:p w14:paraId="0BC9A29F" w14:textId="77777777" w:rsidR="009F0928" w:rsidRDefault="009F0928">
      <w:pPr>
        <w:rPr>
          <w:rFonts w:ascii="Times New Roman" w:hAnsi="Times New Roman"/>
          <w:sz w:val="20"/>
          <w:szCs w:val="20"/>
        </w:rPr>
      </w:pPr>
    </w:p>
    <w:p w14:paraId="0BC9A2A0"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F-37</w:t>
      </w:r>
    </w:p>
    <w:p w14:paraId="0BC9A2A1" w14:textId="77777777" w:rsidR="009F0928" w:rsidRDefault="002112BD">
      <w:r>
        <w:rPr>
          <w:rFonts w:ascii="Times New Roman" w:hAnsi="Times New Roman"/>
          <w:sz w:val="18"/>
          <w:szCs w:val="18"/>
        </w:rPr>
        <w:pict w14:anchorId="0BC9B51F">
          <v:rect id="_x0000_i1123" style="width:415.3pt;height:1.5pt" o:hralign="center" o:hrstd="t" o:hr="t" fillcolor="#a0a0a0" stroked="f"/>
        </w:pict>
      </w:r>
    </w:p>
    <w:p w14:paraId="0BC9A2A2"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A2A3"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A2A4" w14:textId="77777777" w:rsidR="009F0928" w:rsidRDefault="009F0928">
      <w:pPr>
        <w:spacing w:line="288" w:lineRule="auto"/>
        <w:jc w:val="center"/>
        <w:rPr>
          <w:rFonts w:ascii="Times New Roman" w:hAnsi="Times New Roman"/>
          <w:sz w:val="20"/>
          <w:szCs w:val="20"/>
        </w:rPr>
      </w:pPr>
    </w:p>
    <w:p w14:paraId="0BC9A2A5" w14:textId="77777777" w:rsidR="009F0928" w:rsidRDefault="009F0928">
      <w:pPr>
        <w:rPr>
          <w:rFonts w:ascii="Times New Roman" w:hAnsi="Times New Roman"/>
          <w:sz w:val="20"/>
          <w:szCs w:val="20"/>
        </w:rPr>
      </w:pPr>
    </w:p>
    <w:p w14:paraId="0BC9A2A6"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Note 14 – Employee</w:t>
      </w:r>
      <w:r>
        <w:rPr>
          <w:rFonts w:ascii="Arial" w:eastAsia="宋体" w:hAnsi="Arial" w:cs="Arial"/>
          <w:b/>
          <w:bCs/>
          <w:sz w:val="20"/>
          <w:szCs w:val="20"/>
        </w:rPr>
        <w:t xml:space="preserve"> Benefit Plans</w:t>
      </w:r>
    </w:p>
    <w:p w14:paraId="0BC9A2A7" w14:textId="77777777" w:rsidR="009F0928" w:rsidRDefault="009F0928">
      <w:pPr>
        <w:spacing w:line="288" w:lineRule="auto"/>
        <w:jc w:val="both"/>
        <w:rPr>
          <w:rFonts w:ascii="Times New Roman" w:hAnsi="Times New Roman"/>
          <w:sz w:val="20"/>
          <w:szCs w:val="20"/>
        </w:rPr>
      </w:pPr>
    </w:p>
    <w:p w14:paraId="0BC9A2A8"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Equity Incentive Plans</w:t>
      </w:r>
    </w:p>
    <w:p w14:paraId="0BC9A2A9"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w:t>
      </w:r>
    </w:p>
    <w:p w14:paraId="0BC9A2AA"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have equity incentive plans under which we grant equity awards, including stock options, restricted stock units (“RSUs”), performance-based restricted stock units (“PBRSUs”), stock payment awards and performance </w:t>
      </w:r>
      <w:r>
        <w:rPr>
          <w:rFonts w:ascii="Arial" w:eastAsia="宋体" w:hAnsi="Arial" w:cs="Arial"/>
          <w:sz w:val="20"/>
          <w:szCs w:val="20"/>
        </w:rPr>
        <w:t xml:space="preserve">share units, to our directors, officers and employees. As of December 31, 2019, 755 million shares were authorized under our equity incentive plans and 55 million shares were available for future grant. </w:t>
      </w:r>
    </w:p>
    <w:p w14:paraId="0BC9A2AB" w14:textId="77777777" w:rsidR="009F0928" w:rsidRDefault="009F0928">
      <w:pPr>
        <w:spacing w:line="288" w:lineRule="auto"/>
        <w:ind w:firstLine="720"/>
        <w:jc w:val="both"/>
        <w:rPr>
          <w:rFonts w:ascii="Times New Roman" w:hAnsi="Times New Roman"/>
          <w:sz w:val="20"/>
          <w:szCs w:val="20"/>
        </w:rPr>
      </w:pPr>
    </w:p>
    <w:p w14:paraId="0BC9A2AC"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Stock options granted under these plans generally v</w:t>
      </w:r>
      <w:r>
        <w:rPr>
          <w:rFonts w:ascii="Arial" w:eastAsia="宋体" w:hAnsi="Arial" w:cs="Arial"/>
          <w:sz w:val="20"/>
          <w:szCs w:val="20"/>
        </w:rPr>
        <w:t xml:space="preserve">est 12.5% six months from the date of grant (or 25% one year from the date of grant for grants to new employees) with the remainder vesting at a rate of 2.08% per month thereafter, and generally expire seven to ten years from the date of grant. RSU awards </w:t>
      </w:r>
      <w:r>
        <w:rPr>
          <w:rFonts w:ascii="Arial" w:eastAsia="宋体" w:hAnsi="Arial" w:cs="Arial"/>
          <w:sz w:val="20"/>
          <w:szCs w:val="20"/>
        </w:rPr>
        <w:t xml:space="preserve">granted to eligible employees under our equity incentive plans generally vest in annual or quarterly installments over a period of three to five years, are subject to the employees’ continuing service to us and do not have an expiration date. </w:t>
      </w:r>
    </w:p>
    <w:p w14:paraId="0BC9A2AD" w14:textId="77777777" w:rsidR="009F0928" w:rsidRDefault="009F0928">
      <w:pPr>
        <w:spacing w:line="288" w:lineRule="auto"/>
        <w:ind w:firstLine="720"/>
        <w:jc w:val="both"/>
        <w:rPr>
          <w:rFonts w:ascii="Times New Roman" w:hAnsi="Times New Roman"/>
          <w:sz w:val="20"/>
          <w:szCs w:val="20"/>
        </w:rPr>
      </w:pPr>
    </w:p>
    <w:p w14:paraId="0BC9A2A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2019, 20</w:t>
      </w:r>
      <w:r>
        <w:rPr>
          <w:rFonts w:ascii="Arial" w:eastAsia="宋体" w:hAnsi="Arial" w:cs="Arial"/>
          <w:sz w:val="20"/>
          <w:szCs w:val="20"/>
        </w:rPr>
        <w:t>18 and 2017, certain executives were eligible to receive PBRSUs. PBRSU awards are subject to performance and time-based vesting requirements. The target number of shares subject to the PBRSU award are adjusted based on our business performance measured aga</w:t>
      </w:r>
      <w:r>
        <w:rPr>
          <w:rFonts w:ascii="Arial" w:eastAsia="宋体" w:hAnsi="Arial" w:cs="Arial"/>
          <w:sz w:val="20"/>
          <w:szCs w:val="20"/>
        </w:rPr>
        <w:t>inst the performance goals approved by the Compensation Committee at the beginning of the performance period. Generally, if the performance criteria are satisfied, one-half of the award vests in March following the end of the performance period and the oth</w:t>
      </w:r>
      <w:r>
        <w:rPr>
          <w:rFonts w:ascii="Arial" w:eastAsia="宋体" w:hAnsi="Arial" w:cs="Arial"/>
          <w:sz w:val="20"/>
          <w:szCs w:val="20"/>
        </w:rPr>
        <w:t>er half of the award vests in March of the following year.</w:t>
      </w:r>
    </w:p>
    <w:p w14:paraId="0BC9A2AF" w14:textId="77777777" w:rsidR="009F0928" w:rsidRDefault="009F0928">
      <w:pPr>
        <w:spacing w:line="288" w:lineRule="auto"/>
        <w:ind w:firstLine="720"/>
        <w:jc w:val="both"/>
        <w:rPr>
          <w:rFonts w:ascii="Times New Roman" w:hAnsi="Times New Roman"/>
          <w:sz w:val="20"/>
          <w:szCs w:val="20"/>
        </w:rPr>
      </w:pPr>
    </w:p>
    <w:p w14:paraId="0BC9A2B0"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Deferred Stock Units</w:t>
      </w:r>
    </w:p>
    <w:p w14:paraId="0BC9A2B1" w14:textId="77777777" w:rsidR="009F0928" w:rsidRDefault="009F0928">
      <w:pPr>
        <w:spacing w:line="288" w:lineRule="auto"/>
        <w:jc w:val="both"/>
        <w:rPr>
          <w:rFonts w:ascii="Times New Roman" w:hAnsi="Times New Roman"/>
          <w:sz w:val="20"/>
          <w:szCs w:val="20"/>
        </w:rPr>
      </w:pPr>
    </w:p>
    <w:p w14:paraId="0BC9A2B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Prior to December 31, 2016, we granted deferred stock units to each non-employee director (other than Mr. Omidyar) at the time of our annual meeting of stockholders and to ne</w:t>
      </w:r>
      <w:r>
        <w:rPr>
          <w:rFonts w:ascii="Arial" w:eastAsia="宋体" w:hAnsi="Arial" w:cs="Arial"/>
          <w:sz w:val="20"/>
          <w:szCs w:val="20"/>
        </w:rPr>
        <w:t>w non-employee directors upon their election to the Board. Each deferred stock unit award granted to a new non-employee director upon election to the Board vests 25% one year from the date of grant, and at a rate of 2.08% per month thereafter. In addition,</w:t>
      </w:r>
      <w:r>
        <w:rPr>
          <w:rFonts w:ascii="Arial" w:eastAsia="宋体" w:hAnsi="Arial" w:cs="Arial"/>
          <w:sz w:val="20"/>
          <w:szCs w:val="20"/>
        </w:rPr>
        <w:t xml:space="preserve"> directors were permitted to elect to receive, in lieu of annual retainer and committee chair fees and at the time these fees would otherwise be payable, fully vested deferred stock units with an initial value equal to the amount based on the fair market v</w:t>
      </w:r>
      <w:r>
        <w:rPr>
          <w:rFonts w:ascii="Arial" w:eastAsia="宋体" w:hAnsi="Arial" w:cs="Arial"/>
          <w:sz w:val="20"/>
          <w:szCs w:val="20"/>
        </w:rPr>
        <w:t>alue of common stock at the date of grant. Following termination of a non-employee director’s service on the Board, deferred stock units granted prior to August 1, 2013 are payable in stock or cash (at our election), while deferred stock units granted on o</w:t>
      </w:r>
      <w:r>
        <w:rPr>
          <w:rFonts w:ascii="Arial" w:eastAsia="宋体" w:hAnsi="Arial" w:cs="Arial"/>
          <w:sz w:val="20"/>
          <w:szCs w:val="20"/>
        </w:rPr>
        <w:t>r after August 1, 2013 are payable solely in stock. As of December 31, 2019, there were approximately 207,179 deferred stock units outstanding, which are included in our restricted stock unit activity below. As of December 31, 2016, we no longer grant defe</w:t>
      </w:r>
      <w:r>
        <w:rPr>
          <w:rFonts w:ascii="Arial" w:eastAsia="宋体" w:hAnsi="Arial" w:cs="Arial"/>
          <w:sz w:val="20"/>
          <w:szCs w:val="20"/>
        </w:rPr>
        <w:t>rred stock units.</w:t>
      </w:r>
    </w:p>
    <w:p w14:paraId="0BC9A2B3" w14:textId="77777777" w:rsidR="009F0928" w:rsidRDefault="009F0928">
      <w:pPr>
        <w:spacing w:line="288" w:lineRule="auto"/>
        <w:jc w:val="both"/>
        <w:rPr>
          <w:rFonts w:ascii="Times New Roman" w:hAnsi="Times New Roman"/>
          <w:sz w:val="20"/>
          <w:szCs w:val="20"/>
        </w:rPr>
      </w:pPr>
    </w:p>
    <w:p w14:paraId="0BC9A2B4"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Employee Stock Purchase Plan </w:t>
      </w:r>
    </w:p>
    <w:p w14:paraId="0BC9A2B5" w14:textId="77777777" w:rsidR="009F0928" w:rsidRDefault="009F0928">
      <w:pPr>
        <w:spacing w:line="288" w:lineRule="auto"/>
        <w:jc w:val="both"/>
        <w:rPr>
          <w:rFonts w:ascii="Times New Roman" w:hAnsi="Times New Roman"/>
          <w:sz w:val="20"/>
          <w:szCs w:val="20"/>
        </w:rPr>
      </w:pPr>
    </w:p>
    <w:p w14:paraId="0BC9A2B6"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have an Employee Stock Purchase Plan (“ESPP”) for all eligible employees. Under the plan, shares of our common stock may be purchased over an offering period with a maximum duration of two years at 85% of the lower of the fair market value on the first </w:t>
      </w:r>
      <w:r>
        <w:rPr>
          <w:rFonts w:ascii="Arial" w:eastAsia="宋体" w:hAnsi="Arial" w:cs="Arial"/>
          <w:sz w:val="20"/>
          <w:szCs w:val="20"/>
        </w:rPr>
        <w:t>day of the applicable offering period or on the last day of the six-month purchase period. Employees may purchase shares having a value not exceeding 10% of their eligible compensation during an offering period. During 2019, 2018, and 2017, employees purch</w:t>
      </w:r>
      <w:r>
        <w:rPr>
          <w:rFonts w:ascii="Arial" w:eastAsia="宋体" w:hAnsi="Arial" w:cs="Arial"/>
          <w:sz w:val="20"/>
          <w:szCs w:val="20"/>
        </w:rPr>
        <w:t xml:space="preserve">ased approximately 3 million, 4 million and 4 million shares under this plan at average prices of $25.24, $23.82 and $22.32 per share, respectively. As of December 31, 2019, approximately 9 million shares of common stock were reserved for future issuance. </w:t>
      </w:r>
    </w:p>
    <w:p w14:paraId="0BC9A2B7" w14:textId="77777777" w:rsidR="009F0928" w:rsidRDefault="009F0928">
      <w:pPr>
        <w:spacing w:line="288" w:lineRule="auto"/>
        <w:jc w:val="both"/>
        <w:rPr>
          <w:rFonts w:ascii="Times New Roman" w:hAnsi="Times New Roman"/>
          <w:sz w:val="20"/>
          <w:szCs w:val="20"/>
        </w:rPr>
      </w:pPr>
    </w:p>
    <w:p w14:paraId="0BC9A2B8"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Stock Option Activity </w:t>
      </w:r>
    </w:p>
    <w:p w14:paraId="0BC9A2B9" w14:textId="77777777" w:rsidR="009F0928" w:rsidRDefault="009F0928">
      <w:pPr>
        <w:spacing w:line="288" w:lineRule="auto"/>
        <w:jc w:val="both"/>
        <w:rPr>
          <w:rFonts w:ascii="Times New Roman" w:hAnsi="Times New Roman"/>
          <w:sz w:val="20"/>
          <w:szCs w:val="20"/>
        </w:rPr>
      </w:pPr>
    </w:p>
    <w:p w14:paraId="0BC9A2BA"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No stock options were granted in 2019, 2018 and 2017. </w:t>
      </w:r>
    </w:p>
    <w:p w14:paraId="0BC9A2BB" w14:textId="77777777" w:rsidR="009F0928" w:rsidRDefault="009F0928">
      <w:pPr>
        <w:spacing w:line="288" w:lineRule="auto"/>
        <w:ind w:firstLine="720"/>
        <w:jc w:val="both"/>
        <w:rPr>
          <w:rFonts w:ascii="Times New Roman" w:hAnsi="Times New Roman"/>
          <w:sz w:val="20"/>
          <w:szCs w:val="20"/>
        </w:rPr>
      </w:pPr>
    </w:p>
    <w:p w14:paraId="0BC9A2BC"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During 2019, 2018 and 2017, the aggregate intrinsic value of options exercised under our equity incentive plans was $20 million, $18 million and $26 million, respectively, de</w:t>
      </w:r>
      <w:r>
        <w:rPr>
          <w:rFonts w:ascii="Arial" w:eastAsia="宋体" w:hAnsi="Arial" w:cs="Arial"/>
          <w:sz w:val="20"/>
          <w:szCs w:val="20"/>
        </w:rPr>
        <w:t xml:space="preserve">termined as of the date of option exercise. As of December 31, 2019, options to purchase approximately 800 thousand shares of our common stock were outstanding and in-the-money. </w:t>
      </w:r>
    </w:p>
    <w:p w14:paraId="0BC9A2BD" w14:textId="77777777" w:rsidR="009F0928" w:rsidRDefault="009F0928">
      <w:pPr>
        <w:spacing w:line="288" w:lineRule="auto"/>
        <w:ind w:firstLine="640"/>
        <w:jc w:val="both"/>
        <w:rPr>
          <w:rFonts w:ascii="Times New Roman" w:hAnsi="Times New Roman"/>
          <w:sz w:val="20"/>
          <w:szCs w:val="20"/>
        </w:rPr>
      </w:pPr>
    </w:p>
    <w:p w14:paraId="0BC9A2BE" w14:textId="77777777" w:rsidR="009F0928" w:rsidRDefault="009F0928">
      <w:pPr>
        <w:rPr>
          <w:rFonts w:ascii="Times New Roman" w:hAnsi="Times New Roman"/>
          <w:sz w:val="20"/>
          <w:szCs w:val="20"/>
        </w:rPr>
      </w:pPr>
    </w:p>
    <w:p w14:paraId="0BC9A2BF"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F-38</w:t>
      </w:r>
    </w:p>
    <w:p w14:paraId="0BC9A2C0" w14:textId="77777777" w:rsidR="009F0928" w:rsidRDefault="002112BD">
      <w:r>
        <w:rPr>
          <w:rFonts w:ascii="Times New Roman" w:hAnsi="Times New Roman"/>
          <w:sz w:val="18"/>
          <w:szCs w:val="18"/>
        </w:rPr>
        <w:pict w14:anchorId="0BC9B520">
          <v:rect id="_x0000_i1124" style="width:415.3pt;height:1.5pt" o:hralign="center" o:hrstd="t" o:hr="t" fillcolor="#a0a0a0" stroked="f"/>
        </w:pict>
      </w:r>
    </w:p>
    <w:p w14:paraId="0BC9A2C1"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A2C2"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A2C3" w14:textId="77777777" w:rsidR="009F0928" w:rsidRDefault="009F0928">
      <w:pPr>
        <w:spacing w:line="288" w:lineRule="auto"/>
        <w:jc w:val="center"/>
        <w:rPr>
          <w:rFonts w:ascii="Times New Roman" w:hAnsi="Times New Roman"/>
          <w:sz w:val="20"/>
          <w:szCs w:val="20"/>
        </w:rPr>
      </w:pPr>
    </w:p>
    <w:p w14:paraId="0BC9A2C4" w14:textId="77777777" w:rsidR="009F0928" w:rsidRDefault="009F0928">
      <w:pPr>
        <w:rPr>
          <w:rFonts w:ascii="Times New Roman" w:hAnsi="Times New Roman"/>
          <w:sz w:val="20"/>
          <w:szCs w:val="20"/>
        </w:rPr>
      </w:pPr>
    </w:p>
    <w:p w14:paraId="0BC9A2C5"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R</w:t>
      </w:r>
      <w:r>
        <w:rPr>
          <w:rFonts w:ascii="Arial" w:eastAsia="宋体" w:hAnsi="Arial" w:cs="Arial"/>
          <w:b/>
          <w:bCs/>
          <w:i/>
          <w:iCs/>
          <w:sz w:val="20"/>
          <w:szCs w:val="20"/>
        </w:rPr>
        <w:t>estricted Stock Unit Activity</w:t>
      </w:r>
    </w:p>
    <w:p w14:paraId="0BC9A2C6" w14:textId="77777777" w:rsidR="009F0928" w:rsidRDefault="009F0928">
      <w:pPr>
        <w:spacing w:line="288" w:lineRule="auto"/>
        <w:jc w:val="both"/>
        <w:rPr>
          <w:rFonts w:ascii="Times New Roman" w:hAnsi="Times New Roman"/>
          <w:sz w:val="20"/>
          <w:szCs w:val="20"/>
        </w:rPr>
      </w:pPr>
    </w:p>
    <w:p w14:paraId="0BC9A2C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table presents RSU activity (including PBRSUs that have been earned) under our equity incentive plans as of and for the year ended December 31, 2019 (in millions except per share amounts):</w:t>
      </w:r>
    </w:p>
    <w:p w14:paraId="0BC9A2C8"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w:t>
      </w:r>
    </w:p>
    <w:tbl>
      <w:tblPr>
        <w:tblW w:w="5000" w:type="pct"/>
        <w:tblCellMar>
          <w:left w:w="0" w:type="dxa"/>
          <w:right w:w="0" w:type="dxa"/>
        </w:tblCellMar>
        <w:tblLook w:val="04A0" w:firstRow="1" w:lastRow="0" w:firstColumn="1" w:lastColumn="0" w:noHBand="0" w:noVBand="1"/>
      </w:tblPr>
      <w:tblGrid>
        <w:gridCol w:w="5885"/>
        <w:gridCol w:w="654"/>
        <w:gridCol w:w="107"/>
        <w:gridCol w:w="130"/>
        <w:gridCol w:w="153"/>
        <w:gridCol w:w="1279"/>
        <w:gridCol w:w="98"/>
      </w:tblGrid>
      <w:tr w:rsidR="009F0928" w14:paraId="0BC9A2CA" w14:textId="77777777">
        <w:tc>
          <w:tcPr>
            <w:tcW w:w="0" w:type="auto"/>
            <w:gridSpan w:val="7"/>
            <w:shd w:val="clear" w:color="auto" w:fill="auto"/>
            <w:vAlign w:val="center"/>
          </w:tcPr>
          <w:p w14:paraId="0BC9A2C9" w14:textId="77777777" w:rsidR="009F0928" w:rsidRDefault="009F0928">
            <w:pPr>
              <w:rPr>
                <w:rFonts w:ascii="Times New Roman" w:hAnsi="Times New Roman"/>
                <w:sz w:val="20"/>
                <w:szCs w:val="20"/>
              </w:rPr>
            </w:pPr>
          </w:p>
        </w:tc>
      </w:tr>
      <w:tr w:rsidR="009F0928" w14:paraId="0BC9A2D2" w14:textId="77777777">
        <w:tc>
          <w:tcPr>
            <w:tcW w:w="3650" w:type="pct"/>
            <w:shd w:val="clear" w:color="auto" w:fill="auto"/>
            <w:vAlign w:val="center"/>
          </w:tcPr>
          <w:p w14:paraId="0BC9A2CB" w14:textId="77777777" w:rsidR="009F0928" w:rsidRDefault="009F0928">
            <w:pPr>
              <w:rPr>
                <w:rFonts w:ascii="Times New Roman" w:hAnsi="Times New Roman"/>
                <w:sz w:val="20"/>
                <w:szCs w:val="20"/>
              </w:rPr>
            </w:pPr>
          </w:p>
        </w:tc>
        <w:tc>
          <w:tcPr>
            <w:tcW w:w="500" w:type="pct"/>
            <w:shd w:val="clear" w:color="auto" w:fill="auto"/>
            <w:vAlign w:val="center"/>
          </w:tcPr>
          <w:p w14:paraId="0BC9A2CC" w14:textId="77777777" w:rsidR="009F0928" w:rsidRDefault="009F0928">
            <w:pPr>
              <w:rPr>
                <w:rFonts w:ascii="Times New Roman" w:hAnsi="Times New Roman"/>
                <w:sz w:val="20"/>
                <w:szCs w:val="20"/>
              </w:rPr>
            </w:pPr>
          </w:p>
        </w:tc>
        <w:tc>
          <w:tcPr>
            <w:tcW w:w="50" w:type="pct"/>
            <w:shd w:val="clear" w:color="auto" w:fill="auto"/>
            <w:vAlign w:val="center"/>
          </w:tcPr>
          <w:p w14:paraId="0BC9A2CD" w14:textId="77777777" w:rsidR="009F0928" w:rsidRDefault="009F0928">
            <w:pPr>
              <w:rPr>
                <w:rFonts w:ascii="Times New Roman" w:hAnsi="Times New Roman"/>
                <w:sz w:val="20"/>
                <w:szCs w:val="20"/>
              </w:rPr>
            </w:pPr>
          </w:p>
        </w:tc>
        <w:tc>
          <w:tcPr>
            <w:tcW w:w="50" w:type="pct"/>
            <w:shd w:val="clear" w:color="auto" w:fill="auto"/>
            <w:vAlign w:val="center"/>
          </w:tcPr>
          <w:p w14:paraId="0BC9A2CE" w14:textId="77777777" w:rsidR="009F0928" w:rsidRDefault="009F0928">
            <w:pPr>
              <w:rPr>
                <w:rFonts w:ascii="Times New Roman" w:hAnsi="Times New Roman"/>
                <w:sz w:val="20"/>
                <w:szCs w:val="20"/>
              </w:rPr>
            </w:pPr>
          </w:p>
        </w:tc>
        <w:tc>
          <w:tcPr>
            <w:tcW w:w="50" w:type="pct"/>
            <w:shd w:val="clear" w:color="auto" w:fill="auto"/>
            <w:vAlign w:val="center"/>
          </w:tcPr>
          <w:p w14:paraId="0BC9A2CF" w14:textId="77777777" w:rsidR="009F0928" w:rsidRDefault="009F0928">
            <w:pPr>
              <w:rPr>
                <w:rFonts w:ascii="Times New Roman" w:hAnsi="Times New Roman"/>
                <w:sz w:val="20"/>
                <w:szCs w:val="20"/>
              </w:rPr>
            </w:pPr>
          </w:p>
        </w:tc>
        <w:tc>
          <w:tcPr>
            <w:tcW w:w="650" w:type="pct"/>
            <w:shd w:val="clear" w:color="auto" w:fill="auto"/>
            <w:vAlign w:val="center"/>
          </w:tcPr>
          <w:p w14:paraId="0BC9A2D0" w14:textId="77777777" w:rsidR="009F0928" w:rsidRDefault="009F0928">
            <w:pPr>
              <w:rPr>
                <w:rFonts w:ascii="Times New Roman" w:hAnsi="Times New Roman"/>
                <w:sz w:val="20"/>
                <w:szCs w:val="20"/>
              </w:rPr>
            </w:pPr>
          </w:p>
        </w:tc>
        <w:tc>
          <w:tcPr>
            <w:tcW w:w="50" w:type="pct"/>
            <w:shd w:val="clear" w:color="auto" w:fill="auto"/>
            <w:vAlign w:val="center"/>
          </w:tcPr>
          <w:p w14:paraId="0BC9A2D1" w14:textId="77777777" w:rsidR="009F0928" w:rsidRDefault="009F0928">
            <w:pPr>
              <w:rPr>
                <w:rFonts w:ascii="Times New Roman" w:hAnsi="Times New Roman"/>
                <w:sz w:val="20"/>
                <w:szCs w:val="20"/>
              </w:rPr>
            </w:pPr>
          </w:p>
        </w:tc>
      </w:tr>
      <w:tr w:rsidR="009F0928" w14:paraId="0BC9A2DA" w14:textId="77777777">
        <w:tc>
          <w:tcPr>
            <w:tcW w:w="0" w:type="auto"/>
            <w:shd w:val="clear" w:color="auto" w:fill="auto"/>
            <w:tcMar>
              <w:top w:w="40" w:type="dxa"/>
              <w:left w:w="40" w:type="dxa"/>
              <w:bottom w:w="40" w:type="dxa"/>
              <w:right w:w="40" w:type="dxa"/>
            </w:tcMar>
            <w:vAlign w:val="bottom"/>
          </w:tcPr>
          <w:p w14:paraId="0BC9A2D3"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0BC9A2D4"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Units</w:t>
            </w:r>
            <w:r>
              <w:rPr>
                <w:rFonts w:ascii="Arial" w:eastAsia="宋体" w:hAnsi="Arial" w:cs="Arial"/>
                <w:sz w:val="16"/>
                <w:szCs w:val="16"/>
              </w:rPr>
              <w:t> </w:t>
            </w:r>
          </w:p>
        </w:tc>
        <w:tc>
          <w:tcPr>
            <w:tcW w:w="0" w:type="auto"/>
            <w:shd w:val="clear" w:color="auto" w:fill="auto"/>
            <w:tcMar>
              <w:top w:w="40" w:type="dxa"/>
              <w:left w:w="40" w:type="dxa"/>
              <w:bottom w:w="40" w:type="dxa"/>
              <w:right w:w="40" w:type="dxa"/>
            </w:tcMar>
            <w:vAlign w:val="bottom"/>
          </w:tcPr>
          <w:p w14:paraId="0BC9A2D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2D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Weighted Average</w:t>
            </w:r>
          </w:p>
          <w:p w14:paraId="0BC9A2D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Grant-Date</w:t>
            </w:r>
          </w:p>
          <w:p w14:paraId="0BC9A2D8"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Fair Value</w:t>
            </w:r>
          </w:p>
          <w:p w14:paraId="0BC9A2D9"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(per share)</w:t>
            </w:r>
          </w:p>
        </w:tc>
      </w:tr>
      <w:tr w:rsidR="009F0928" w14:paraId="0BC9A2E2" w14:textId="77777777">
        <w:tc>
          <w:tcPr>
            <w:tcW w:w="0" w:type="auto"/>
            <w:shd w:val="clear" w:color="auto" w:fill="E2E2E2"/>
            <w:tcMar>
              <w:top w:w="40" w:type="dxa"/>
              <w:left w:w="40" w:type="dxa"/>
              <w:bottom w:w="40" w:type="dxa"/>
              <w:right w:w="40" w:type="dxa"/>
            </w:tcMar>
            <w:vAlign w:val="bottom"/>
          </w:tcPr>
          <w:p w14:paraId="0BC9A2DB" w14:textId="77777777" w:rsidR="009F0928" w:rsidRDefault="002112BD">
            <w:pPr>
              <w:textAlignment w:val="bottom"/>
              <w:rPr>
                <w:rFonts w:ascii="Times New Roman" w:hAnsi="Times New Roman"/>
                <w:sz w:val="20"/>
                <w:szCs w:val="20"/>
              </w:rPr>
            </w:pPr>
            <w:r>
              <w:rPr>
                <w:rFonts w:ascii="Arial" w:eastAsia="宋体" w:hAnsi="Arial" w:cs="Arial"/>
                <w:sz w:val="20"/>
                <w:szCs w:val="20"/>
              </w:rPr>
              <w:t>Outstanding as of January 1, 2019</w:t>
            </w:r>
          </w:p>
        </w:tc>
        <w:tc>
          <w:tcPr>
            <w:tcW w:w="0" w:type="auto"/>
            <w:shd w:val="clear" w:color="auto" w:fill="E2E2E2"/>
            <w:tcMar>
              <w:top w:w="40" w:type="dxa"/>
              <w:left w:w="40" w:type="dxa"/>
              <w:bottom w:w="40" w:type="dxa"/>
            </w:tcMar>
            <w:vAlign w:val="bottom"/>
          </w:tcPr>
          <w:p w14:paraId="0BC9A2D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34</w:t>
            </w:r>
          </w:p>
        </w:tc>
        <w:tc>
          <w:tcPr>
            <w:tcW w:w="0" w:type="auto"/>
            <w:shd w:val="clear" w:color="auto" w:fill="E2E2E2"/>
            <w:vAlign w:val="bottom"/>
          </w:tcPr>
          <w:p w14:paraId="0BC9A2D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2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2DF"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A2E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33.59</w:t>
            </w:r>
          </w:p>
        </w:tc>
        <w:tc>
          <w:tcPr>
            <w:tcW w:w="0" w:type="auto"/>
            <w:shd w:val="clear" w:color="auto" w:fill="E2E2E2"/>
            <w:vAlign w:val="bottom"/>
          </w:tcPr>
          <w:p w14:paraId="0BC9A2E1" w14:textId="77777777" w:rsidR="009F0928" w:rsidRDefault="009F0928">
            <w:pPr>
              <w:textAlignment w:val="bottom"/>
              <w:rPr>
                <w:rFonts w:ascii="Times New Roman" w:hAnsi="Times New Roman"/>
                <w:sz w:val="20"/>
                <w:szCs w:val="20"/>
              </w:rPr>
            </w:pPr>
          </w:p>
        </w:tc>
      </w:tr>
      <w:tr w:rsidR="009F0928" w14:paraId="0BC9A2EA" w14:textId="77777777">
        <w:tc>
          <w:tcPr>
            <w:tcW w:w="0" w:type="auto"/>
            <w:shd w:val="clear" w:color="auto" w:fill="auto"/>
            <w:tcMar>
              <w:top w:w="40" w:type="dxa"/>
              <w:left w:w="40" w:type="dxa"/>
              <w:bottom w:w="40" w:type="dxa"/>
              <w:right w:w="40" w:type="dxa"/>
            </w:tcMar>
            <w:vAlign w:val="bottom"/>
          </w:tcPr>
          <w:p w14:paraId="0BC9A2E3" w14:textId="77777777" w:rsidR="009F0928" w:rsidRDefault="002112BD">
            <w:pPr>
              <w:textAlignment w:val="bottom"/>
              <w:rPr>
                <w:rFonts w:ascii="Times New Roman" w:hAnsi="Times New Roman"/>
                <w:sz w:val="20"/>
                <w:szCs w:val="20"/>
              </w:rPr>
            </w:pPr>
            <w:r>
              <w:rPr>
                <w:rFonts w:ascii="Arial" w:eastAsia="宋体" w:hAnsi="Arial" w:cs="Arial"/>
                <w:sz w:val="20"/>
                <w:szCs w:val="20"/>
              </w:rPr>
              <w:t>Awarded and assumed</w:t>
            </w:r>
          </w:p>
        </w:tc>
        <w:tc>
          <w:tcPr>
            <w:tcW w:w="0" w:type="auto"/>
            <w:shd w:val="clear" w:color="auto" w:fill="auto"/>
            <w:tcMar>
              <w:top w:w="40" w:type="dxa"/>
              <w:left w:w="40" w:type="dxa"/>
              <w:bottom w:w="40" w:type="dxa"/>
            </w:tcMar>
            <w:vAlign w:val="bottom"/>
          </w:tcPr>
          <w:p w14:paraId="0BC9A2E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19</w:t>
            </w:r>
          </w:p>
        </w:tc>
        <w:tc>
          <w:tcPr>
            <w:tcW w:w="0" w:type="auto"/>
            <w:shd w:val="clear" w:color="auto" w:fill="auto"/>
            <w:vAlign w:val="bottom"/>
          </w:tcPr>
          <w:p w14:paraId="0BC9A2E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2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2E7"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bottom w:w="40" w:type="dxa"/>
            </w:tcMar>
            <w:vAlign w:val="bottom"/>
          </w:tcPr>
          <w:p w14:paraId="0BC9A2E8"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37.61</w:t>
            </w:r>
          </w:p>
        </w:tc>
        <w:tc>
          <w:tcPr>
            <w:tcW w:w="0" w:type="auto"/>
            <w:shd w:val="clear" w:color="auto" w:fill="auto"/>
            <w:vAlign w:val="bottom"/>
          </w:tcPr>
          <w:p w14:paraId="0BC9A2E9" w14:textId="77777777" w:rsidR="009F0928" w:rsidRDefault="009F0928">
            <w:pPr>
              <w:textAlignment w:val="bottom"/>
              <w:rPr>
                <w:rFonts w:ascii="Times New Roman" w:hAnsi="Times New Roman"/>
                <w:sz w:val="20"/>
                <w:szCs w:val="20"/>
              </w:rPr>
            </w:pPr>
          </w:p>
        </w:tc>
      </w:tr>
      <w:tr w:rsidR="009F0928" w14:paraId="0BC9A2F2" w14:textId="77777777">
        <w:tc>
          <w:tcPr>
            <w:tcW w:w="0" w:type="auto"/>
            <w:shd w:val="clear" w:color="auto" w:fill="E2E2E2"/>
            <w:tcMar>
              <w:top w:w="40" w:type="dxa"/>
              <w:left w:w="40" w:type="dxa"/>
              <w:bottom w:w="40" w:type="dxa"/>
              <w:right w:w="40" w:type="dxa"/>
            </w:tcMar>
            <w:vAlign w:val="bottom"/>
          </w:tcPr>
          <w:p w14:paraId="0BC9A2EB" w14:textId="77777777" w:rsidR="009F0928" w:rsidRDefault="002112BD">
            <w:pPr>
              <w:textAlignment w:val="bottom"/>
              <w:rPr>
                <w:rFonts w:ascii="Times New Roman" w:hAnsi="Times New Roman"/>
                <w:sz w:val="20"/>
                <w:szCs w:val="20"/>
              </w:rPr>
            </w:pPr>
            <w:r>
              <w:rPr>
                <w:rFonts w:ascii="Arial" w:eastAsia="宋体" w:hAnsi="Arial" w:cs="Arial"/>
                <w:sz w:val="20"/>
                <w:szCs w:val="20"/>
              </w:rPr>
              <w:t>Vested</w:t>
            </w:r>
          </w:p>
        </w:tc>
        <w:tc>
          <w:tcPr>
            <w:tcW w:w="0" w:type="auto"/>
            <w:shd w:val="clear" w:color="auto" w:fill="E2E2E2"/>
            <w:tcMar>
              <w:top w:w="40" w:type="dxa"/>
              <w:left w:w="40" w:type="dxa"/>
              <w:bottom w:w="40" w:type="dxa"/>
            </w:tcMar>
            <w:vAlign w:val="bottom"/>
          </w:tcPr>
          <w:p w14:paraId="0BC9A2E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(17</w:t>
            </w:r>
          </w:p>
        </w:tc>
        <w:tc>
          <w:tcPr>
            <w:tcW w:w="0" w:type="auto"/>
            <w:shd w:val="clear" w:color="auto" w:fill="E2E2E2"/>
            <w:tcMar>
              <w:top w:w="40" w:type="dxa"/>
              <w:bottom w:w="40" w:type="dxa"/>
              <w:right w:w="40" w:type="dxa"/>
            </w:tcMar>
            <w:vAlign w:val="bottom"/>
          </w:tcPr>
          <w:p w14:paraId="0BC9A2ED"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left w:w="40" w:type="dxa"/>
              <w:bottom w:w="40" w:type="dxa"/>
              <w:right w:w="40" w:type="dxa"/>
            </w:tcMar>
            <w:vAlign w:val="bottom"/>
          </w:tcPr>
          <w:p w14:paraId="0BC9A2E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2EF"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A2F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31.67</w:t>
            </w:r>
          </w:p>
        </w:tc>
        <w:tc>
          <w:tcPr>
            <w:tcW w:w="0" w:type="auto"/>
            <w:shd w:val="clear" w:color="auto" w:fill="E2E2E2"/>
            <w:vAlign w:val="bottom"/>
          </w:tcPr>
          <w:p w14:paraId="0BC9A2F1" w14:textId="77777777" w:rsidR="009F0928" w:rsidRDefault="009F0928">
            <w:pPr>
              <w:textAlignment w:val="bottom"/>
              <w:rPr>
                <w:rFonts w:ascii="Times New Roman" w:hAnsi="Times New Roman"/>
                <w:sz w:val="20"/>
                <w:szCs w:val="20"/>
              </w:rPr>
            </w:pPr>
          </w:p>
        </w:tc>
      </w:tr>
      <w:tr w:rsidR="009F0928" w14:paraId="0BC9A2FA" w14:textId="77777777">
        <w:tc>
          <w:tcPr>
            <w:tcW w:w="0" w:type="auto"/>
            <w:shd w:val="clear" w:color="auto" w:fill="auto"/>
            <w:tcMar>
              <w:top w:w="40" w:type="dxa"/>
              <w:left w:w="40" w:type="dxa"/>
              <w:bottom w:w="40" w:type="dxa"/>
              <w:right w:w="40" w:type="dxa"/>
            </w:tcMar>
            <w:vAlign w:val="bottom"/>
          </w:tcPr>
          <w:p w14:paraId="0BC9A2F3" w14:textId="77777777" w:rsidR="009F0928" w:rsidRDefault="002112BD">
            <w:pPr>
              <w:textAlignment w:val="bottom"/>
              <w:rPr>
                <w:rFonts w:ascii="Times New Roman" w:hAnsi="Times New Roman"/>
                <w:sz w:val="20"/>
                <w:szCs w:val="20"/>
              </w:rPr>
            </w:pPr>
            <w:r>
              <w:rPr>
                <w:rFonts w:ascii="Arial" w:eastAsia="宋体" w:hAnsi="Arial" w:cs="Arial"/>
                <w:sz w:val="20"/>
                <w:szCs w:val="20"/>
              </w:rPr>
              <w:t>Forfeited</w:t>
            </w:r>
          </w:p>
        </w:tc>
        <w:tc>
          <w:tcPr>
            <w:tcW w:w="0" w:type="auto"/>
            <w:shd w:val="clear" w:color="auto" w:fill="auto"/>
            <w:tcMar>
              <w:top w:w="40" w:type="dxa"/>
              <w:left w:w="40" w:type="dxa"/>
              <w:bottom w:w="40" w:type="dxa"/>
            </w:tcMar>
            <w:vAlign w:val="bottom"/>
          </w:tcPr>
          <w:p w14:paraId="0BC9A2F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(8</w:t>
            </w:r>
          </w:p>
        </w:tc>
        <w:tc>
          <w:tcPr>
            <w:tcW w:w="0" w:type="auto"/>
            <w:shd w:val="clear" w:color="auto" w:fill="auto"/>
            <w:tcMar>
              <w:top w:w="40" w:type="dxa"/>
              <w:bottom w:w="40" w:type="dxa"/>
              <w:right w:w="40" w:type="dxa"/>
            </w:tcMar>
            <w:vAlign w:val="bottom"/>
          </w:tcPr>
          <w:p w14:paraId="0BC9A2F5"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0BC9A2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2F7"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bottom w:w="40" w:type="dxa"/>
            </w:tcMar>
            <w:vAlign w:val="bottom"/>
          </w:tcPr>
          <w:p w14:paraId="0BC9A2F8"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35.50</w:t>
            </w:r>
          </w:p>
        </w:tc>
        <w:tc>
          <w:tcPr>
            <w:tcW w:w="0" w:type="auto"/>
            <w:shd w:val="clear" w:color="auto" w:fill="auto"/>
            <w:vAlign w:val="bottom"/>
          </w:tcPr>
          <w:p w14:paraId="0BC9A2F9" w14:textId="77777777" w:rsidR="009F0928" w:rsidRDefault="009F0928">
            <w:pPr>
              <w:textAlignment w:val="bottom"/>
              <w:rPr>
                <w:rFonts w:ascii="Times New Roman" w:hAnsi="Times New Roman"/>
                <w:sz w:val="20"/>
                <w:szCs w:val="20"/>
              </w:rPr>
            </w:pPr>
          </w:p>
        </w:tc>
      </w:tr>
      <w:tr w:rsidR="009F0928" w14:paraId="0BC9A302" w14:textId="77777777">
        <w:tc>
          <w:tcPr>
            <w:tcW w:w="0" w:type="auto"/>
            <w:shd w:val="clear" w:color="auto" w:fill="E2E2E2"/>
            <w:tcMar>
              <w:top w:w="40" w:type="dxa"/>
              <w:left w:w="40" w:type="dxa"/>
              <w:bottom w:w="40" w:type="dxa"/>
              <w:right w:w="40" w:type="dxa"/>
            </w:tcMar>
            <w:vAlign w:val="bottom"/>
          </w:tcPr>
          <w:p w14:paraId="0BC9A2FB" w14:textId="77777777" w:rsidR="009F0928" w:rsidRDefault="002112BD">
            <w:pPr>
              <w:textAlignment w:val="bottom"/>
              <w:rPr>
                <w:rFonts w:ascii="Times New Roman" w:hAnsi="Times New Roman"/>
                <w:sz w:val="20"/>
                <w:szCs w:val="20"/>
              </w:rPr>
            </w:pPr>
            <w:r>
              <w:rPr>
                <w:rFonts w:ascii="Arial" w:eastAsia="宋体" w:hAnsi="Arial" w:cs="Arial"/>
                <w:sz w:val="20"/>
                <w:szCs w:val="20"/>
              </w:rPr>
              <w:t>Outstanding as of December 31, 2019</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2FC"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28</w:t>
            </w:r>
          </w:p>
        </w:tc>
        <w:tc>
          <w:tcPr>
            <w:tcW w:w="0" w:type="auto"/>
            <w:tcBorders>
              <w:top w:val="single" w:sz="8" w:space="0" w:color="000000"/>
              <w:bottom w:val="double" w:sz="6" w:space="0" w:color="000000"/>
            </w:tcBorders>
            <w:shd w:val="clear" w:color="auto" w:fill="E2E2E2"/>
            <w:vAlign w:val="bottom"/>
          </w:tcPr>
          <w:p w14:paraId="0BC9A2F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2F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2FF"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A300"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36.82</w:t>
            </w:r>
          </w:p>
        </w:tc>
        <w:tc>
          <w:tcPr>
            <w:tcW w:w="0" w:type="auto"/>
            <w:shd w:val="clear" w:color="auto" w:fill="E2E2E2"/>
            <w:vAlign w:val="bottom"/>
          </w:tcPr>
          <w:p w14:paraId="0BC9A301" w14:textId="77777777" w:rsidR="009F0928" w:rsidRDefault="009F0928">
            <w:pPr>
              <w:textAlignment w:val="bottom"/>
              <w:rPr>
                <w:rFonts w:ascii="Times New Roman" w:hAnsi="Times New Roman"/>
                <w:sz w:val="20"/>
                <w:szCs w:val="20"/>
              </w:rPr>
            </w:pPr>
          </w:p>
        </w:tc>
      </w:tr>
      <w:tr w:rsidR="009F0928" w14:paraId="0BC9A308" w14:textId="77777777">
        <w:tc>
          <w:tcPr>
            <w:tcW w:w="0" w:type="auto"/>
            <w:shd w:val="clear" w:color="auto" w:fill="auto"/>
            <w:tcMar>
              <w:top w:w="40" w:type="dxa"/>
              <w:left w:w="40" w:type="dxa"/>
              <w:bottom w:w="40" w:type="dxa"/>
              <w:right w:w="40" w:type="dxa"/>
            </w:tcMar>
            <w:vAlign w:val="bottom"/>
          </w:tcPr>
          <w:p w14:paraId="0BC9A303" w14:textId="77777777" w:rsidR="009F0928" w:rsidRDefault="002112BD">
            <w:pPr>
              <w:textAlignment w:val="bottom"/>
              <w:rPr>
                <w:rFonts w:ascii="Times New Roman" w:hAnsi="Times New Roman"/>
                <w:sz w:val="20"/>
                <w:szCs w:val="20"/>
              </w:rPr>
            </w:pPr>
            <w:r>
              <w:rPr>
                <w:rFonts w:ascii="Arial" w:eastAsia="宋体" w:hAnsi="Arial" w:cs="Arial"/>
                <w:sz w:val="20"/>
                <w:szCs w:val="20"/>
              </w:rPr>
              <w:t>Expected to vest as of December 31, 2019</w:t>
            </w:r>
          </w:p>
        </w:tc>
        <w:tc>
          <w:tcPr>
            <w:tcW w:w="0" w:type="auto"/>
            <w:shd w:val="clear" w:color="auto" w:fill="auto"/>
            <w:tcMar>
              <w:top w:w="40" w:type="dxa"/>
              <w:left w:w="40" w:type="dxa"/>
              <w:bottom w:w="40" w:type="dxa"/>
            </w:tcMar>
            <w:vAlign w:val="bottom"/>
          </w:tcPr>
          <w:p w14:paraId="0BC9A30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23</w:t>
            </w:r>
          </w:p>
        </w:tc>
        <w:tc>
          <w:tcPr>
            <w:tcW w:w="0" w:type="auto"/>
            <w:shd w:val="clear" w:color="auto" w:fill="auto"/>
            <w:vAlign w:val="bottom"/>
          </w:tcPr>
          <w:p w14:paraId="0BC9A30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30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A30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A309" w14:textId="77777777" w:rsidR="009F0928" w:rsidRDefault="009F0928">
      <w:pPr>
        <w:spacing w:line="288" w:lineRule="auto"/>
        <w:jc w:val="both"/>
        <w:rPr>
          <w:rFonts w:ascii="Times New Roman" w:hAnsi="Times New Roman"/>
          <w:sz w:val="20"/>
          <w:szCs w:val="20"/>
        </w:rPr>
      </w:pPr>
    </w:p>
    <w:p w14:paraId="0BC9A30A" w14:textId="77777777" w:rsidR="009F0928" w:rsidRDefault="009F0928">
      <w:pPr>
        <w:spacing w:line="288" w:lineRule="auto"/>
        <w:jc w:val="both"/>
        <w:rPr>
          <w:rFonts w:ascii="Times New Roman" w:hAnsi="Times New Roman"/>
          <w:sz w:val="16"/>
          <w:szCs w:val="16"/>
        </w:rPr>
      </w:pPr>
    </w:p>
    <w:p w14:paraId="0BC9A30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During 2019, 2018 and 2017, the aggregate intrinsic value of RSUs vested under our equity incentive plans was $609 million, $684 million and $635 million, respectively.</w:t>
      </w:r>
    </w:p>
    <w:p w14:paraId="0BC9A30C" w14:textId="77777777" w:rsidR="009F0928" w:rsidRDefault="009F0928">
      <w:pPr>
        <w:spacing w:line="288" w:lineRule="auto"/>
        <w:ind w:firstLine="640"/>
        <w:jc w:val="both"/>
        <w:rPr>
          <w:rFonts w:ascii="Times New Roman" w:hAnsi="Times New Roman"/>
          <w:sz w:val="20"/>
          <w:szCs w:val="20"/>
        </w:rPr>
      </w:pPr>
    </w:p>
    <w:p w14:paraId="0BC9A30D"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Stock-Based </w:t>
      </w:r>
      <w:r>
        <w:rPr>
          <w:rFonts w:ascii="Arial" w:eastAsia="宋体" w:hAnsi="Arial" w:cs="Arial"/>
          <w:b/>
          <w:bCs/>
          <w:i/>
          <w:iCs/>
          <w:sz w:val="20"/>
          <w:szCs w:val="20"/>
        </w:rPr>
        <w:t>Compensation Expense</w:t>
      </w:r>
    </w:p>
    <w:p w14:paraId="0BC9A30E" w14:textId="77777777" w:rsidR="009F0928" w:rsidRDefault="009F0928">
      <w:pPr>
        <w:spacing w:line="288" w:lineRule="auto"/>
        <w:jc w:val="both"/>
        <w:rPr>
          <w:rFonts w:ascii="Times New Roman" w:hAnsi="Times New Roman"/>
          <w:sz w:val="20"/>
          <w:szCs w:val="20"/>
        </w:rPr>
      </w:pPr>
    </w:p>
    <w:p w14:paraId="0BC9A30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table presents stock-based compensation expense for the years ended December 31, 2019, 2018 and 2017 (in millions):  </w:t>
      </w:r>
    </w:p>
    <w:tbl>
      <w:tblPr>
        <w:tblW w:w="5000" w:type="pct"/>
        <w:tblCellMar>
          <w:left w:w="0" w:type="dxa"/>
          <w:right w:w="0" w:type="dxa"/>
        </w:tblCellMar>
        <w:tblLook w:val="04A0" w:firstRow="1" w:lastRow="0" w:firstColumn="1" w:lastColumn="0" w:noHBand="0" w:noVBand="1"/>
      </w:tblPr>
      <w:tblGrid>
        <w:gridCol w:w="5106"/>
        <w:gridCol w:w="152"/>
        <w:gridCol w:w="788"/>
        <w:gridCol w:w="40"/>
        <w:gridCol w:w="130"/>
        <w:gridCol w:w="152"/>
        <w:gridCol w:w="788"/>
        <w:gridCol w:w="40"/>
        <w:gridCol w:w="130"/>
        <w:gridCol w:w="152"/>
        <w:gridCol w:w="788"/>
        <w:gridCol w:w="40"/>
      </w:tblGrid>
      <w:tr w:rsidR="009F0928" w14:paraId="0BC9A311" w14:textId="77777777">
        <w:tc>
          <w:tcPr>
            <w:tcW w:w="0" w:type="auto"/>
            <w:gridSpan w:val="12"/>
            <w:shd w:val="clear" w:color="auto" w:fill="auto"/>
            <w:vAlign w:val="center"/>
          </w:tcPr>
          <w:p w14:paraId="0BC9A310" w14:textId="77777777" w:rsidR="009F0928" w:rsidRDefault="009F0928">
            <w:pPr>
              <w:rPr>
                <w:rFonts w:ascii="Times New Roman" w:hAnsi="Times New Roman"/>
                <w:sz w:val="20"/>
                <w:szCs w:val="20"/>
              </w:rPr>
            </w:pPr>
          </w:p>
        </w:tc>
      </w:tr>
      <w:tr w:rsidR="009F0928" w14:paraId="0BC9A31E" w14:textId="77777777">
        <w:tc>
          <w:tcPr>
            <w:tcW w:w="3100" w:type="pct"/>
            <w:shd w:val="clear" w:color="auto" w:fill="auto"/>
            <w:vAlign w:val="center"/>
          </w:tcPr>
          <w:p w14:paraId="0BC9A312" w14:textId="77777777" w:rsidR="009F0928" w:rsidRDefault="009F0928">
            <w:pPr>
              <w:rPr>
                <w:rFonts w:ascii="Times New Roman" w:hAnsi="Times New Roman"/>
                <w:sz w:val="20"/>
                <w:szCs w:val="20"/>
              </w:rPr>
            </w:pPr>
          </w:p>
        </w:tc>
        <w:tc>
          <w:tcPr>
            <w:tcW w:w="50" w:type="pct"/>
            <w:shd w:val="clear" w:color="auto" w:fill="auto"/>
            <w:vAlign w:val="center"/>
          </w:tcPr>
          <w:p w14:paraId="0BC9A313" w14:textId="77777777" w:rsidR="009F0928" w:rsidRDefault="009F0928">
            <w:pPr>
              <w:rPr>
                <w:rFonts w:ascii="Times New Roman" w:hAnsi="Times New Roman"/>
                <w:sz w:val="20"/>
                <w:szCs w:val="20"/>
              </w:rPr>
            </w:pPr>
          </w:p>
        </w:tc>
        <w:tc>
          <w:tcPr>
            <w:tcW w:w="500" w:type="pct"/>
            <w:shd w:val="clear" w:color="auto" w:fill="auto"/>
            <w:vAlign w:val="center"/>
          </w:tcPr>
          <w:p w14:paraId="0BC9A314" w14:textId="77777777" w:rsidR="009F0928" w:rsidRDefault="009F0928">
            <w:pPr>
              <w:rPr>
                <w:rFonts w:ascii="Times New Roman" w:hAnsi="Times New Roman"/>
                <w:sz w:val="20"/>
                <w:szCs w:val="20"/>
              </w:rPr>
            </w:pPr>
          </w:p>
        </w:tc>
        <w:tc>
          <w:tcPr>
            <w:tcW w:w="50" w:type="pct"/>
            <w:shd w:val="clear" w:color="auto" w:fill="auto"/>
            <w:vAlign w:val="center"/>
          </w:tcPr>
          <w:p w14:paraId="0BC9A315" w14:textId="77777777" w:rsidR="009F0928" w:rsidRDefault="009F0928">
            <w:pPr>
              <w:rPr>
                <w:rFonts w:ascii="Times New Roman" w:hAnsi="Times New Roman"/>
                <w:sz w:val="20"/>
                <w:szCs w:val="20"/>
              </w:rPr>
            </w:pPr>
          </w:p>
        </w:tc>
        <w:tc>
          <w:tcPr>
            <w:tcW w:w="50" w:type="pct"/>
            <w:shd w:val="clear" w:color="auto" w:fill="auto"/>
            <w:vAlign w:val="center"/>
          </w:tcPr>
          <w:p w14:paraId="0BC9A316" w14:textId="77777777" w:rsidR="009F0928" w:rsidRDefault="009F0928">
            <w:pPr>
              <w:rPr>
                <w:rFonts w:ascii="Times New Roman" w:hAnsi="Times New Roman"/>
                <w:sz w:val="20"/>
                <w:szCs w:val="20"/>
              </w:rPr>
            </w:pPr>
          </w:p>
        </w:tc>
        <w:tc>
          <w:tcPr>
            <w:tcW w:w="50" w:type="pct"/>
            <w:shd w:val="clear" w:color="auto" w:fill="auto"/>
            <w:vAlign w:val="center"/>
          </w:tcPr>
          <w:p w14:paraId="0BC9A317" w14:textId="77777777" w:rsidR="009F0928" w:rsidRDefault="009F0928">
            <w:pPr>
              <w:rPr>
                <w:rFonts w:ascii="Times New Roman" w:hAnsi="Times New Roman"/>
                <w:sz w:val="20"/>
                <w:szCs w:val="20"/>
              </w:rPr>
            </w:pPr>
          </w:p>
        </w:tc>
        <w:tc>
          <w:tcPr>
            <w:tcW w:w="500" w:type="pct"/>
            <w:shd w:val="clear" w:color="auto" w:fill="auto"/>
            <w:vAlign w:val="center"/>
          </w:tcPr>
          <w:p w14:paraId="0BC9A318" w14:textId="77777777" w:rsidR="009F0928" w:rsidRDefault="009F0928">
            <w:pPr>
              <w:rPr>
                <w:rFonts w:ascii="Times New Roman" w:hAnsi="Times New Roman"/>
                <w:sz w:val="20"/>
                <w:szCs w:val="20"/>
              </w:rPr>
            </w:pPr>
          </w:p>
        </w:tc>
        <w:tc>
          <w:tcPr>
            <w:tcW w:w="50" w:type="pct"/>
            <w:shd w:val="clear" w:color="auto" w:fill="auto"/>
            <w:vAlign w:val="center"/>
          </w:tcPr>
          <w:p w14:paraId="0BC9A319" w14:textId="77777777" w:rsidR="009F0928" w:rsidRDefault="009F0928">
            <w:pPr>
              <w:rPr>
                <w:rFonts w:ascii="Times New Roman" w:hAnsi="Times New Roman"/>
                <w:sz w:val="20"/>
                <w:szCs w:val="20"/>
              </w:rPr>
            </w:pPr>
          </w:p>
        </w:tc>
        <w:tc>
          <w:tcPr>
            <w:tcW w:w="50" w:type="pct"/>
            <w:shd w:val="clear" w:color="auto" w:fill="auto"/>
            <w:vAlign w:val="center"/>
          </w:tcPr>
          <w:p w14:paraId="0BC9A31A" w14:textId="77777777" w:rsidR="009F0928" w:rsidRDefault="009F0928">
            <w:pPr>
              <w:rPr>
                <w:rFonts w:ascii="Times New Roman" w:hAnsi="Times New Roman"/>
                <w:sz w:val="20"/>
                <w:szCs w:val="20"/>
              </w:rPr>
            </w:pPr>
          </w:p>
        </w:tc>
        <w:tc>
          <w:tcPr>
            <w:tcW w:w="50" w:type="pct"/>
            <w:shd w:val="clear" w:color="auto" w:fill="auto"/>
            <w:vAlign w:val="center"/>
          </w:tcPr>
          <w:p w14:paraId="0BC9A31B" w14:textId="77777777" w:rsidR="009F0928" w:rsidRDefault="009F0928">
            <w:pPr>
              <w:rPr>
                <w:rFonts w:ascii="Times New Roman" w:hAnsi="Times New Roman"/>
                <w:sz w:val="20"/>
                <w:szCs w:val="20"/>
              </w:rPr>
            </w:pPr>
          </w:p>
        </w:tc>
        <w:tc>
          <w:tcPr>
            <w:tcW w:w="500" w:type="pct"/>
            <w:shd w:val="clear" w:color="auto" w:fill="auto"/>
            <w:vAlign w:val="center"/>
          </w:tcPr>
          <w:p w14:paraId="0BC9A31C" w14:textId="77777777" w:rsidR="009F0928" w:rsidRDefault="009F0928">
            <w:pPr>
              <w:rPr>
                <w:rFonts w:ascii="Times New Roman" w:hAnsi="Times New Roman"/>
                <w:sz w:val="20"/>
                <w:szCs w:val="20"/>
              </w:rPr>
            </w:pPr>
          </w:p>
        </w:tc>
        <w:tc>
          <w:tcPr>
            <w:tcW w:w="50" w:type="pct"/>
            <w:shd w:val="clear" w:color="auto" w:fill="auto"/>
            <w:vAlign w:val="center"/>
          </w:tcPr>
          <w:p w14:paraId="0BC9A31D" w14:textId="77777777" w:rsidR="009F0928" w:rsidRDefault="009F0928">
            <w:pPr>
              <w:rPr>
                <w:rFonts w:ascii="Times New Roman" w:hAnsi="Times New Roman"/>
                <w:sz w:val="20"/>
                <w:szCs w:val="20"/>
              </w:rPr>
            </w:pPr>
          </w:p>
        </w:tc>
      </w:tr>
      <w:tr w:rsidR="009F0928" w14:paraId="0BC9A321" w14:textId="77777777">
        <w:tc>
          <w:tcPr>
            <w:tcW w:w="0" w:type="auto"/>
            <w:shd w:val="clear" w:color="auto" w:fill="auto"/>
            <w:tcMar>
              <w:top w:w="40" w:type="dxa"/>
              <w:left w:w="40" w:type="dxa"/>
              <w:bottom w:w="40" w:type="dxa"/>
              <w:right w:w="40" w:type="dxa"/>
            </w:tcMar>
            <w:vAlign w:val="bottom"/>
          </w:tcPr>
          <w:p w14:paraId="0BC9A31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A32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w:t>
            </w:r>
          </w:p>
        </w:tc>
      </w:tr>
      <w:tr w:rsidR="009F0928" w14:paraId="0BC9A328" w14:textId="77777777">
        <w:tc>
          <w:tcPr>
            <w:tcW w:w="0" w:type="auto"/>
            <w:shd w:val="clear" w:color="auto" w:fill="auto"/>
            <w:tcMar>
              <w:top w:w="40" w:type="dxa"/>
              <w:left w:w="40" w:type="dxa"/>
              <w:bottom w:w="40" w:type="dxa"/>
              <w:right w:w="40" w:type="dxa"/>
            </w:tcMar>
            <w:vAlign w:val="bottom"/>
          </w:tcPr>
          <w:p w14:paraId="0BC9A322"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32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A32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325"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0BC9A32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A32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2017</w:t>
            </w:r>
          </w:p>
        </w:tc>
      </w:tr>
      <w:tr w:rsidR="009F0928" w14:paraId="0BC9A335" w14:textId="77777777">
        <w:tc>
          <w:tcPr>
            <w:tcW w:w="0" w:type="auto"/>
            <w:shd w:val="clear" w:color="auto" w:fill="E2E2E2"/>
            <w:tcMar>
              <w:top w:w="40" w:type="dxa"/>
              <w:left w:w="40" w:type="dxa"/>
              <w:bottom w:w="40" w:type="dxa"/>
              <w:right w:w="40" w:type="dxa"/>
            </w:tcMar>
            <w:vAlign w:val="bottom"/>
          </w:tcPr>
          <w:p w14:paraId="0BC9A329" w14:textId="77777777" w:rsidR="009F0928" w:rsidRDefault="002112BD">
            <w:pPr>
              <w:textAlignment w:val="bottom"/>
              <w:rPr>
                <w:rFonts w:ascii="Times New Roman" w:hAnsi="Times New Roman"/>
                <w:sz w:val="20"/>
                <w:szCs w:val="20"/>
              </w:rPr>
            </w:pPr>
            <w:r>
              <w:rPr>
                <w:rFonts w:ascii="Arial" w:eastAsia="宋体" w:hAnsi="Arial" w:cs="Arial"/>
                <w:sz w:val="20"/>
                <w:szCs w:val="20"/>
              </w:rPr>
              <w:t>Cost of net revenues</w:t>
            </w:r>
          </w:p>
        </w:tc>
        <w:tc>
          <w:tcPr>
            <w:tcW w:w="0" w:type="auto"/>
            <w:tcBorders>
              <w:top w:val="single" w:sz="8" w:space="0" w:color="000000"/>
            </w:tcBorders>
            <w:shd w:val="clear" w:color="auto" w:fill="E2E2E2"/>
            <w:tcMar>
              <w:top w:w="40" w:type="dxa"/>
              <w:left w:w="40" w:type="dxa"/>
              <w:bottom w:w="40" w:type="dxa"/>
            </w:tcMar>
            <w:vAlign w:val="bottom"/>
          </w:tcPr>
          <w:p w14:paraId="0BC9A32A"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tcBorders>
            <w:shd w:val="clear" w:color="auto" w:fill="E2E2E2"/>
            <w:tcMar>
              <w:top w:w="40" w:type="dxa"/>
              <w:bottom w:w="40" w:type="dxa"/>
            </w:tcMar>
            <w:vAlign w:val="bottom"/>
          </w:tcPr>
          <w:p w14:paraId="0BC9A32B"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55</w:t>
            </w:r>
          </w:p>
        </w:tc>
        <w:tc>
          <w:tcPr>
            <w:tcW w:w="0" w:type="auto"/>
            <w:tcBorders>
              <w:top w:val="single" w:sz="8" w:space="0" w:color="000000"/>
            </w:tcBorders>
            <w:shd w:val="clear" w:color="auto" w:fill="E2E2E2"/>
            <w:vAlign w:val="bottom"/>
          </w:tcPr>
          <w:p w14:paraId="0BC9A32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32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32E"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A32F"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59</w:t>
            </w:r>
          </w:p>
        </w:tc>
        <w:tc>
          <w:tcPr>
            <w:tcW w:w="0" w:type="auto"/>
            <w:shd w:val="clear" w:color="auto" w:fill="E2E2E2"/>
            <w:vAlign w:val="bottom"/>
          </w:tcPr>
          <w:p w14:paraId="0BC9A33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33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332"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E2E2E2"/>
            <w:tcMar>
              <w:top w:w="40" w:type="dxa"/>
              <w:bottom w:w="40" w:type="dxa"/>
            </w:tcMar>
            <w:vAlign w:val="bottom"/>
          </w:tcPr>
          <w:p w14:paraId="0BC9A333"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53</w:t>
            </w:r>
          </w:p>
        </w:tc>
        <w:tc>
          <w:tcPr>
            <w:tcW w:w="0" w:type="auto"/>
            <w:shd w:val="clear" w:color="auto" w:fill="E2E2E2"/>
            <w:vAlign w:val="bottom"/>
          </w:tcPr>
          <w:p w14:paraId="0BC9A334" w14:textId="77777777" w:rsidR="009F0928" w:rsidRDefault="009F0928">
            <w:pPr>
              <w:textAlignment w:val="bottom"/>
              <w:rPr>
                <w:rFonts w:ascii="Times New Roman" w:hAnsi="Times New Roman"/>
                <w:sz w:val="20"/>
                <w:szCs w:val="20"/>
              </w:rPr>
            </w:pPr>
          </w:p>
        </w:tc>
      </w:tr>
      <w:tr w:rsidR="009F0928" w14:paraId="0BC9A33F" w14:textId="77777777">
        <w:tc>
          <w:tcPr>
            <w:tcW w:w="0" w:type="auto"/>
            <w:shd w:val="clear" w:color="auto" w:fill="auto"/>
            <w:tcMar>
              <w:top w:w="40" w:type="dxa"/>
              <w:left w:w="40" w:type="dxa"/>
              <w:bottom w:w="40" w:type="dxa"/>
              <w:right w:w="40" w:type="dxa"/>
            </w:tcMar>
            <w:vAlign w:val="bottom"/>
          </w:tcPr>
          <w:p w14:paraId="0BC9A336" w14:textId="77777777" w:rsidR="009F0928" w:rsidRDefault="002112BD">
            <w:pPr>
              <w:textAlignment w:val="bottom"/>
              <w:rPr>
                <w:rFonts w:ascii="Times New Roman" w:hAnsi="Times New Roman"/>
                <w:sz w:val="20"/>
                <w:szCs w:val="20"/>
              </w:rPr>
            </w:pPr>
            <w:r>
              <w:rPr>
                <w:rFonts w:ascii="Arial" w:eastAsia="宋体" w:hAnsi="Arial" w:cs="Arial"/>
                <w:sz w:val="20"/>
                <w:szCs w:val="20"/>
              </w:rPr>
              <w:t>Sales and marketing</w:t>
            </w:r>
          </w:p>
        </w:tc>
        <w:tc>
          <w:tcPr>
            <w:tcW w:w="0" w:type="auto"/>
            <w:gridSpan w:val="2"/>
            <w:shd w:val="clear" w:color="auto" w:fill="auto"/>
            <w:tcMar>
              <w:top w:w="40" w:type="dxa"/>
              <w:left w:w="40" w:type="dxa"/>
              <w:bottom w:w="40" w:type="dxa"/>
            </w:tcMar>
            <w:vAlign w:val="bottom"/>
          </w:tcPr>
          <w:p w14:paraId="0BC9A33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97</w:t>
            </w:r>
          </w:p>
        </w:tc>
        <w:tc>
          <w:tcPr>
            <w:tcW w:w="0" w:type="auto"/>
            <w:shd w:val="clear" w:color="auto" w:fill="auto"/>
            <w:vAlign w:val="bottom"/>
          </w:tcPr>
          <w:p w14:paraId="0BC9A33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33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33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111</w:t>
            </w:r>
          </w:p>
        </w:tc>
        <w:tc>
          <w:tcPr>
            <w:tcW w:w="0" w:type="auto"/>
            <w:shd w:val="clear" w:color="auto" w:fill="auto"/>
            <w:vAlign w:val="bottom"/>
          </w:tcPr>
          <w:p w14:paraId="0BC9A33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33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33D"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94</w:t>
            </w:r>
          </w:p>
        </w:tc>
        <w:tc>
          <w:tcPr>
            <w:tcW w:w="0" w:type="auto"/>
            <w:shd w:val="clear" w:color="auto" w:fill="auto"/>
            <w:vAlign w:val="bottom"/>
          </w:tcPr>
          <w:p w14:paraId="0BC9A33E" w14:textId="77777777" w:rsidR="009F0928" w:rsidRDefault="009F0928">
            <w:pPr>
              <w:textAlignment w:val="bottom"/>
              <w:rPr>
                <w:rFonts w:ascii="Times New Roman" w:hAnsi="Times New Roman"/>
                <w:sz w:val="20"/>
                <w:szCs w:val="20"/>
              </w:rPr>
            </w:pPr>
          </w:p>
        </w:tc>
      </w:tr>
      <w:tr w:rsidR="009F0928" w14:paraId="0BC9A349" w14:textId="77777777">
        <w:tc>
          <w:tcPr>
            <w:tcW w:w="0" w:type="auto"/>
            <w:shd w:val="clear" w:color="auto" w:fill="E2E2E2"/>
            <w:tcMar>
              <w:top w:w="40" w:type="dxa"/>
              <w:left w:w="40" w:type="dxa"/>
              <w:bottom w:w="40" w:type="dxa"/>
              <w:right w:w="40" w:type="dxa"/>
            </w:tcMar>
            <w:vAlign w:val="bottom"/>
          </w:tcPr>
          <w:p w14:paraId="0BC9A340" w14:textId="77777777" w:rsidR="009F0928" w:rsidRDefault="002112BD">
            <w:pPr>
              <w:textAlignment w:val="bottom"/>
              <w:rPr>
                <w:rFonts w:ascii="Times New Roman" w:hAnsi="Times New Roman"/>
                <w:sz w:val="20"/>
                <w:szCs w:val="20"/>
              </w:rPr>
            </w:pPr>
            <w:r>
              <w:rPr>
                <w:rFonts w:ascii="Arial" w:eastAsia="宋体" w:hAnsi="Arial" w:cs="Arial"/>
                <w:sz w:val="20"/>
                <w:szCs w:val="20"/>
              </w:rPr>
              <w:t>Product development</w:t>
            </w:r>
          </w:p>
        </w:tc>
        <w:tc>
          <w:tcPr>
            <w:tcW w:w="0" w:type="auto"/>
            <w:gridSpan w:val="2"/>
            <w:shd w:val="clear" w:color="auto" w:fill="E2E2E2"/>
            <w:tcMar>
              <w:top w:w="40" w:type="dxa"/>
              <w:left w:w="40" w:type="dxa"/>
              <w:bottom w:w="40" w:type="dxa"/>
            </w:tcMar>
            <w:vAlign w:val="bottom"/>
          </w:tcPr>
          <w:p w14:paraId="0BC9A34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198</w:t>
            </w:r>
          </w:p>
        </w:tc>
        <w:tc>
          <w:tcPr>
            <w:tcW w:w="0" w:type="auto"/>
            <w:shd w:val="clear" w:color="auto" w:fill="E2E2E2"/>
            <w:vAlign w:val="bottom"/>
          </w:tcPr>
          <w:p w14:paraId="0BC9A34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34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344"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197</w:t>
            </w:r>
          </w:p>
        </w:tc>
        <w:tc>
          <w:tcPr>
            <w:tcW w:w="0" w:type="auto"/>
            <w:shd w:val="clear" w:color="auto" w:fill="E2E2E2"/>
            <w:vAlign w:val="bottom"/>
          </w:tcPr>
          <w:p w14:paraId="0BC9A34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34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34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178</w:t>
            </w:r>
          </w:p>
        </w:tc>
        <w:tc>
          <w:tcPr>
            <w:tcW w:w="0" w:type="auto"/>
            <w:shd w:val="clear" w:color="auto" w:fill="E2E2E2"/>
            <w:vAlign w:val="bottom"/>
          </w:tcPr>
          <w:p w14:paraId="0BC9A348" w14:textId="77777777" w:rsidR="009F0928" w:rsidRDefault="009F0928">
            <w:pPr>
              <w:textAlignment w:val="bottom"/>
              <w:rPr>
                <w:rFonts w:ascii="Times New Roman" w:hAnsi="Times New Roman"/>
                <w:sz w:val="20"/>
                <w:szCs w:val="20"/>
              </w:rPr>
            </w:pPr>
          </w:p>
        </w:tc>
      </w:tr>
      <w:tr w:rsidR="009F0928" w14:paraId="0BC9A353" w14:textId="77777777">
        <w:tc>
          <w:tcPr>
            <w:tcW w:w="0" w:type="auto"/>
            <w:shd w:val="clear" w:color="auto" w:fill="auto"/>
            <w:tcMar>
              <w:top w:w="40" w:type="dxa"/>
              <w:left w:w="40" w:type="dxa"/>
              <w:bottom w:w="40" w:type="dxa"/>
              <w:right w:w="40" w:type="dxa"/>
            </w:tcMar>
            <w:vAlign w:val="bottom"/>
          </w:tcPr>
          <w:p w14:paraId="0BC9A34A" w14:textId="77777777" w:rsidR="009F0928" w:rsidRDefault="002112BD">
            <w:pPr>
              <w:textAlignment w:val="bottom"/>
              <w:rPr>
                <w:rFonts w:ascii="Times New Roman" w:hAnsi="Times New Roman"/>
                <w:sz w:val="20"/>
                <w:szCs w:val="20"/>
              </w:rPr>
            </w:pPr>
            <w:r>
              <w:rPr>
                <w:rFonts w:ascii="Arial" w:eastAsia="宋体" w:hAnsi="Arial" w:cs="Arial"/>
                <w:sz w:val="20"/>
                <w:szCs w:val="20"/>
              </w:rPr>
              <w:t>General and administrative</w:t>
            </w:r>
          </w:p>
        </w:tc>
        <w:tc>
          <w:tcPr>
            <w:tcW w:w="0" w:type="auto"/>
            <w:gridSpan w:val="2"/>
            <w:tcBorders>
              <w:bottom w:val="single" w:sz="8" w:space="0" w:color="000000"/>
            </w:tcBorders>
            <w:shd w:val="clear" w:color="auto" w:fill="auto"/>
            <w:tcMar>
              <w:top w:w="40" w:type="dxa"/>
              <w:left w:w="40" w:type="dxa"/>
              <w:bottom w:w="40" w:type="dxa"/>
            </w:tcMar>
            <w:vAlign w:val="bottom"/>
          </w:tcPr>
          <w:p w14:paraId="0BC9A34B"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155</w:t>
            </w:r>
          </w:p>
        </w:tc>
        <w:tc>
          <w:tcPr>
            <w:tcW w:w="0" w:type="auto"/>
            <w:tcBorders>
              <w:bottom w:val="single" w:sz="8" w:space="0" w:color="000000"/>
            </w:tcBorders>
            <w:shd w:val="clear" w:color="auto" w:fill="auto"/>
            <w:vAlign w:val="bottom"/>
          </w:tcPr>
          <w:p w14:paraId="0BC9A34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34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A34E"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171</w:t>
            </w:r>
          </w:p>
        </w:tc>
        <w:tc>
          <w:tcPr>
            <w:tcW w:w="0" w:type="auto"/>
            <w:tcBorders>
              <w:bottom w:val="single" w:sz="8" w:space="0" w:color="000000"/>
            </w:tcBorders>
            <w:shd w:val="clear" w:color="auto" w:fill="auto"/>
            <w:vAlign w:val="bottom"/>
          </w:tcPr>
          <w:p w14:paraId="0BC9A34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35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A351"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158</w:t>
            </w:r>
          </w:p>
        </w:tc>
        <w:tc>
          <w:tcPr>
            <w:tcW w:w="0" w:type="auto"/>
            <w:tcBorders>
              <w:bottom w:val="single" w:sz="8" w:space="0" w:color="000000"/>
            </w:tcBorders>
            <w:shd w:val="clear" w:color="auto" w:fill="auto"/>
            <w:vAlign w:val="bottom"/>
          </w:tcPr>
          <w:p w14:paraId="0BC9A352" w14:textId="77777777" w:rsidR="009F0928" w:rsidRDefault="009F0928">
            <w:pPr>
              <w:textAlignment w:val="bottom"/>
              <w:rPr>
                <w:rFonts w:ascii="Times New Roman" w:hAnsi="Times New Roman"/>
                <w:sz w:val="20"/>
                <w:szCs w:val="20"/>
              </w:rPr>
            </w:pPr>
          </w:p>
        </w:tc>
      </w:tr>
      <w:tr w:rsidR="009F0928" w14:paraId="0BC9A360" w14:textId="77777777">
        <w:tc>
          <w:tcPr>
            <w:tcW w:w="0" w:type="auto"/>
            <w:shd w:val="clear" w:color="auto" w:fill="E2E2E2"/>
            <w:tcMar>
              <w:top w:w="40" w:type="dxa"/>
              <w:left w:w="40" w:type="dxa"/>
              <w:bottom w:w="40" w:type="dxa"/>
              <w:right w:w="40" w:type="dxa"/>
            </w:tcMar>
            <w:vAlign w:val="bottom"/>
          </w:tcPr>
          <w:p w14:paraId="0BC9A354" w14:textId="77777777" w:rsidR="009F0928" w:rsidRDefault="002112BD">
            <w:pPr>
              <w:textAlignment w:val="bottom"/>
              <w:rPr>
                <w:rFonts w:ascii="Times New Roman" w:hAnsi="Times New Roman"/>
                <w:sz w:val="20"/>
                <w:szCs w:val="20"/>
              </w:rPr>
            </w:pPr>
            <w:r>
              <w:rPr>
                <w:rFonts w:ascii="Arial" w:eastAsia="宋体" w:hAnsi="Arial" w:cs="Arial"/>
                <w:sz w:val="20"/>
                <w:szCs w:val="20"/>
              </w:rPr>
              <w:t>Total stock-based compensation expense</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355"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356"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505</w:t>
            </w:r>
          </w:p>
        </w:tc>
        <w:tc>
          <w:tcPr>
            <w:tcW w:w="0" w:type="auto"/>
            <w:tcBorders>
              <w:top w:val="single" w:sz="8" w:space="0" w:color="000000"/>
              <w:bottom w:val="double" w:sz="6" w:space="0" w:color="000000"/>
            </w:tcBorders>
            <w:shd w:val="clear" w:color="auto" w:fill="E2E2E2"/>
            <w:vAlign w:val="bottom"/>
          </w:tcPr>
          <w:p w14:paraId="0BC9A35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35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359"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35A"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538</w:t>
            </w:r>
          </w:p>
        </w:tc>
        <w:tc>
          <w:tcPr>
            <w:tcW w:w="0" w:type="auto"/>
            <w:tcBorders>
              <w:top w:val="single" w:sz="8" w:space="0" w:color="000000"/>
              <w:bottom w:val="double" w:sz="6" w:space="0" w:color="000000"/>
            </w:tcBorders>
            <w:shd w:val="clear" w:color="auto" w:fill="E2E2E2"/>
            <w:vAlign w:val="bottom"/>
          </w:tcPr>
          <w:p w14:paraId="0BC9A35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35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35D"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35E"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483</w:t>
            </w:r>
          </w:p>
        </w:tc>
        <w:tc>
          <w:tcPr>
            <w:tcW w:w="0" w:type="auto"/>
            <w:tcBorders>
              <w:top w:val="single" w:sz="8" w:space="0" w:color="000000"/>
              <w:bottom w:val="double" w:sz="6" w:space="0" w:color="000000"/>
            </w:tcBorders>
            <w:shd w:val="clear" w:color="auto" w:fill="E2E2E2"/>
            <w:vAlign w:val="bottom"/>
          </w:tcPr>
          <w:p w14:paraId="0BC9A35F" w14:textId="77777777" w:rsidR="009F0928" w:rsidRDefault="009F0928">
            <w:pPr>
              <w:textAlignment w:val="bottom"/>
              <w:rPr>
                <w:rFonts w:ascii="Times New Roman" w:hAnsi="Times New Roman"/>
                <w:sz w:val="20"/>
                <w:szCs w:val="20"/>
              </w:rPr>
            </w:pPr>
          </w:p>
        </w:tc>
      </w:tr>
      <w:tr w:rsidR="009F0928" w14:paraId="0BC9A36D" w14:textId="77777777">
        <w:tc>
          <w:tcPr>
            <w:tcW w:w="0" w:type="auto"/>
            <w:shd w:val="clear" w:color="auto" w:fill="auto"/>
            <w:tcMar>
              <w:top w:w="40" w:type="dxa"/>
              <w:left w:w="40" w:type="dxa"/>
              <w:bottom w:w="40" w:type="dxa"/>
              <w:right w:w="40" w:type="dxa"/>
            </w:tcMar>
            <w:vAlign w:val="bottom"/>
          </w:tcPr>
          <w:p w14:paraId="0BC9A361" w14:textId="77777777" w:rsidR="009F0928" w:rsidRDefault="002112BD">
            <w:pPr>
              <w:textAlignment w:val="bottom"/>
              <w:rPr>
                <w:rFonts w:ascii="Times New Roman" w:hAnsi="Times New Roman"/>
                <w:sz w:val="20"/>
                <w:szCs w:val="20"/>
              </w:rPr>
            </w:pPr>
            <w:r>
              <w:rPr>
                <w:rFonts w:ascii="Arial" w:eastAsia="宋体" w:hAnsi="Arial" w:cs="Arial"/>
                <w:sz w:val="20"/>
                <w:szCs w:val="20"/>
              </w:rPr>
              <w:t>Capitalized in product development</w:t>
            </w:r>
          </w:p>
        </w:tc>
        <w:tc>
          <w:tcPr>
            <w:tcW w:w="0" w:type="auto"/>
            <w:tcBorders>
              <w:bottom w:val="double" w:sz="6" w:space="0" w:color="000000"/>
            </w:tcBorders>
            <w:shd w:val="clear" w:color="auto" w:fill="auto"/>
            <w:tcMar>
              <w:top w:w="40" w:type="dxa"/>
              <w:left w:w="40" w:type="dxa"/>
              <w:bottom w:w="40" w:type="dxa"/>
            </w:tcMar>
            <w:vAlign w:val="bottom"/>
          </w:tcPr>
          <w:p w14:paraId="0BC9A362"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auto"/>
            <w:tcMar>
              <w:top w:w="40" w:type="dxa"/>
              <w:bottom w:w="40" w:type="dxa"/>
            </w:tcMar>
            <w:vAlign w:val="bottom"/>
          </w:tcPr>
          <w:p w14:paraId="0BC9A363"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14</w:t>
            </w:r>
          </w:p>
        </w:tc>
        <w:tc>
          <w:tcPr>
            <w:tcW w:w="0" w:type="auto"/>
            <w:tcBorders>
              <w:bottom w:val="double" w:sz="6" w:space="0" w:color="000000"/>
            </w:tcBorders>
            <w:shd w:val="clear" w:color="auto" w:fill="auto"/>
            <w:vAlign w:val="bottom"/>
          </w:tcPr>
          <w:p w14:paraId="0BC9A36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3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A366"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auto"/>
            <w:tcMar>
              <w:top w:w="40" w:type="dxa"/>
              <w:bottom w:w="40" w:type="dxa"/>
            </w:tcMar>
            <w:vAlign w:val="bottom"/>
          </w:tcPr>
          <w:p w14:paraId="0BC9A367"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14</w:t>
            </w:r>
          </w:p>
        </w:tc>
        <w:tc>
          <w:tcPr>
            <w:tcW w:w="0" w:type="auto"/>
            <w:tcBorders>
              <w:bottom w:val="double" w:sz="6" w:space="0" w:color="000000"/>
            </w:tcBorders>
            <w:shd w:val="clear" w:color="auto" w:fill="auto"/>
            <w:vAlign w:val="bottom"/>
          </w:tcPr>
          <w:p w14:paraId="0BC9A36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36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0BC9A36A" w14:textId="77777777" w:rsidR="009F0928" w:rsidRDefault="002112BD">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0BC9A36B" w14:textId="77777777" w:rsidR="009F0928" w:rsidRDefault="002112BD">
            <w:pPr>
              <w:jc w:val="right"/>
              <w:textAlignment w:val="bottom"/>
              <w:rPr>
                <w:rFonts w:ascii="Times New Roman" w:hAnsi="Times New Roman"/>
                <w:sz w:val="20"/>
                <w:szCs w:val="20"/>
              </w:rPr>
            </w:pPr>
            <w:r>
              <w:rPr>
                <w:rFonts w:ascii="Arial" w:eastAsia="宋体" w:hAnsi="Arial" w:cs="Arial"/>
                <w:sz w:val="20"/>
                <w:szCs w:val="20"/>
              </w:rPr>
              <w:t>14</w:t>
            </w:r>
          </w:p>
        </w:tc>
        <w:tc>
          <w:tcPr>
            <w:tcW w:w="0" w:type="auto"/>
            <w:tcBorders>
              <w:top w:val="double" w:sz="6" w:space="0" w:color="000000"/>
              <w:bottom w:val="double" w:sz="6" w:space="0" w:color="000000"/>
            </w:tcBorders>
            <w:shd w:val="clear" w:color="auto" w:fill="auto"/>
            <w:vAlign w:val="bottom"/>
          </w:tcPr>
          <w:p w14:paraId="0BC9A36C" w14:textId="77777777" w:rsidR="009F0928" w:rsidRDefault="009F0928">
            <w:pPr>
              <w:textAlignment w:val="bottom"/>
              <w:rPr>
                <w:rFonts w:ascii="Times New Roman" w:hAnsi="Times New Roman"/>
                <w:sz w:val="20"/>
                <w:szCs w:val="20"/>
              </w:rPr>
            </w:pPr>
          </w:p>
        </w:tc>
      </w:tr>
    </w:tbl>
    <w:p w14:paraId="0BC9A36E" w14:textId="77777777" w:rsidR="009F0928" w:rsidRDefault="009F0928">
      <w:pPr>
        <w:spacing w:line="288" w:lineRule="auto"/>
        <w:jc w:val="both"/>
        <w:rPr>
          <w:rFonts w:ascii="Times New Roman" w:hAnsi="Times New Roman"/>
          <w:sz w:val="20"/>
          <w:szCs w:val="20"/>
        </w:rPr>
      </w:pPr>
    </w:p>
    <w:p w14:paraId="0BC9A36F" w14:textId="77777777" w:rsidR="009F0928" w:rsidRDefault="009F0928">
      <w:pPr>
        <w:spacing w:line="288" w:lineRule="auto"/>
        <w:jc w:val="both"/>
        <w:rPr>
          <w:rFonts w:ascii="Times New Roman" w:hAnsi="Times New Roman"/>
          <w:sz w:val="20"/>
          <w:szCs w:val="20"/>
        </w:rPr>
      </w:pPr>
    </w:p>
    <w:p w14:paraId="0BC9A37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As of December 31, 2019, there was approximately $768 million of unearned stock-based compensation that will be expensed from 2020 through 2023. If there are any modifications or cancellations of the underlying unvested awards, we may be required to acce</w:t>
      </w:r>
      <w:r>
        <w:rPr>
          <w:rFonts w:ascii="Arial" w:eastAsia="宋体" w:hAnsi="Arial" w:cs="Arial"/>
          <w:sz w:val="20"/>
          <w:szCs w:val="20"/>
        </w:rPr>
        <w:t>lerate, increase or cancel all or a portion of the remaining unearned stock-based compensation expense. Future unearned stock-based compensation will increase to the extent we grant additional equity awards, change the mix of grants between stock options a</w:t>
      </w:r>
      <w:r>
        <w:rPr>
          <w:rFonts w:ascii="Arial" w:eastAsia="宋体" w:hAnsi="Arial" w:cs="Arial"/>
          <w:sz w:val="20"/>
          <w:szCs w:val="20"/>
        </w:rPr>
        <w:t xml:space="preserve">nd restricted stock units or assume unvested equity awards in connection with acquisitions. </w:t>
      </w:r>
    </w:p>
    <w:p w14:paraId="0BC9A371" w14:textId="77777777" w:rsidR="009F0928" w:rsidRDefault="009F0928">
      <w:pPr>
        <w:spacing w:line="288" w:lineRule="auto"/>
        <w:ind w:firstLine="720"/>
        <w:jc w:val="both"/>
        <w:rPr>
          <w:rFonts w:ascii="Times New Roman" w:hAnsi="Times New Roman"/>
          <w:sz w:val="20"/>
          <w:szCs w:val="20"/>
        </w:rPr>
      </w:pPr>
    </w:p>
    <w:p w14:paraId="0BC9A372"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Employee Savings Plans </w:t>
      </w:r>
    </w:p>
    <w:p w14:paraId="0BC9A373" w14:textId="77777777" w:rsidR="009F0928" w:rsidRDefault="009F0928">
      <w:pPr>
        <w:spacing w:line="288" w:lineRule="auto"/>
        <w:jc w:val="both"/>
        <w:rPr>
          <w:rFonts w:ascii="Times New Roman" w:hAnsi="Times New Roman"/>
          <w:sz w:val="20"/>
          <w:szCs w:val="20"/>
        </w:rPr>
      </w:pPr>
    </w:p>
    <w:p w14:paraId="0BC9A374"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have a defined contribution plan, which is qualified under Section 401(k) of the Internal Revenue Code. Participating employees may contribute up to 50% of their eligible compensation, but not more than statutory limits. In 2019, 2018 and 2017, we contr</w:t>
      </w:r>
      <w:r>
        <w:rPr>
          <w:rFonts w:ascii="Arial" w:eastAsia="宋体" w:hAnsi="Arial" w:cs="Arial"/>
          <w:sz w:val="20"/>
          <w:szCs w:val="20"/>
        </w:rPr>
        <w:t xml:space="preserve">ibuted one dollar for each dollar a participant contributed, with a maximum contribution of 4% of each employee’s eligible compensation, subject to a maximum employer contribution of $11,200, $11,000 and $10,800 per employee for each period, respectively. </w:t>
      </w:r>
      <w:r>
        <w:rPr>
          <w:rFonts w:ascii="Arial" w:eastAsia="宋体" w:hAnsi="Arial" w:cs="Arial"/>
          <w:sz w:val="20"/>
          <w:szCs w:val="20"/>
        </w:rPr>
        <w:t xml:space="preserve">Our non-U.S. employees are covered by various other savings plans. Total expense for these plans was $64 million, $60 million and $57 million in 2019, 2018 and 2017, respectively. </w:t>
      </w:r>
    </w:p>
    <w:p w14:paraId="0BC9A375" w14:textId="77777777" w:rsidR="009F0928" w:rsidRDefault="009F0928">
      <w:pPr>
        <w:spacing w:line="288" w:lineRule="auto"/>
        <w:jc w:val="both"/>
        <w:rPr>
          <w:rFonts w:ascii="Times New Roman" w:hAnsi="Times New Roman"/>
          <w:sz w:val="20"/>
          <w:szCs w:val="20"/>
        </w:rPr>
      </w:pPr>
    </w:p>
    <w:p w14:paraId="0BC9A376" w14:textId="77777777" w:rsidR="009F0928" w:rsidRDefault="009F0928">
      <w:pPr>
        <w:rPr>
          <w:rFonts w:ascii="Times New Roman" w:hAnsi="Times New Roman"/>
          <w:sz w:val="20"/>
          <w:szCs w:val="20"/>
        </w:rPr>
      </w:pPr>
    </w:p>
    <w:p w14:paraId="0BC9A377"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F-39</w:t>
      </w:r>
    </w:p>
    <w:p w14:paraId="0BC9A378" w14:textId="77777777" w:rsidR="009F0928" w:rsidRDefault="002112BD">
      <w:r>
        <w:rPr>
          <w:rFonts w:ascii="Times New Roman" w:hAnsi="Times New Roman"/>
          <w:sz w:val="18"/>
          <w:szCs w:val="18"/>
        </w:rPr>
        <w:pict w14:anchorId="0BC9B521">
          <v:rect id="_x0000_i1125" style="width:415.3pt;height:1.5pt" o:hralign="center" o:hrstd="t" o:hr="t" fillcolor="#a0a0a0" stroked="f"/>
        </w:pict>
      </w:r>
    </w:p>
    <w:p w14:paraId="0BC9A379"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A37A"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NOTES TO CONSOLIDATED FINANCIAL </w:t>
      </w:r>
      <w:r>
        <w:rPr>
          <w:rFonts w:ascii="Arial" w:eastAsia="宋体" w:hAnsi="Arial" w:cs="Arial"/>
          <w:b/>
          <w:bCs/>
          <w:sz w:val="20"/>
          <w:szCs w:val="20"/>
        </w:rPr>
        <w:t>STATEMENTS—(Continued)</w:t>
      </w:r>
    </w:p>
    <w:p w14:paraId="0BC9A37B" w14:textId="77777777" w:rsidR="009F0928" w:rsidRDefault="009F0928">
      <w:pPr>
        <w:spacing w:line="288" w:lineRule="auto"/>
        <w:jc w:val="center"/>
        <w:rPr>
          <w:rFonts w:ascii="Times New Roman" w:hAnsi="Times New Roman"/>
          <w:sz w:val="20"/>
          <w:szCs w:val="20"/>
        </w:rPr>
      </w:pPr>
    </w:p>
    <w:p w14:paraId="0BC9A37C" w14:textId="77777777" w:rsidR="009F0928" w:rsidRDefault="009F0928">
      <w:pPr>
        <w:rPr>
          <w:rFonts w:ascii="Times New Roman" w:hAnsi="Times New Roman"/>
          <w:sz w:val="20"/>
          <w:szCs w:val="20"/>
        </w:rPr>
      </w:pPr>
    </w:p>
    <w:p w14:paraId="0BC9A37D"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Note 15 – Income Taxes</w:t>
      </w:r>
    </w:p>
    <w:p w14:paraId="0BC9A37E" w14:textId="77777777" w:rsidR="009F0928" w:rsidRDefault="009F0928">
      <w:pPr>
        <w:spacing w:line="288" w:lineRule="auto"/>
        <w:jc w:val="both"/>
        <w:rPr>
          <w:rFonts w:ascii="Times New Roman" w:hAnsi="Times New Roman"/>
          <w:sz w:val="20"/>
          <w:szCs w:val="20"/>
        </w:rPr>
      </w:pPr>
    </w:p>
    <w:p w14:paraId="0BC9A37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components of pretax income for the years ended December 31, 2019, 2018 and 2017 are as follows (in millions):</w:t>
      </w:r>
    </w:p>
    <w:tbl>
      <w:tblPr>
        <w:tblW w:w="5000" w:type="pct"/>
        <w:tblCellMar>
          <w:left w:w="0" w:type="dxa"/>
          <w:right w:w="0" w:type="dxa"/>
        </w:tblCellMar>
        <w:tblLook w:val="04A0" w:firstRow="1" w:lastRow="0" w:firstColumn="1" w:lastColumn="0" w:noHBand="0" w:noVBand="1"/>
      </w:tblPr>
      <w:tblGrid>
        <w:gridCol w:w="5014"/>
        <w:gridCol w:w="141"/>
        <w:gridCol w:w="778"/>
        <w:gridCol w:w="30"/>
        <w:gridCol w:w="181"/>
        <w:gridCol w:w="141"/>
        <w:gridCol w:w="778"/>
        <w:gridCol w:w="30"/>
        <w:gridCol w:w="181"/>
        <w:gridCol w:w="141"/>
        <w:gridCol w:w="861"/>
        <w:gridCol w:w="30"/>
      </w:tblGrid>
      <w:tr w:rsidR="009F0928" w14:paraId="0BC9A381" w14:textId="77777777">
        <w:tc>
          <w:tcPr>
            <w:tcW w:w="0" w:type="auto"/>
            <w:gridSpan w:val="12"/>
            <w:shd w:val="clear" w:color="auto" w:fill="auto"/>
            <w:vAlign w:val="center"/>
          </w:tcPr>
          <w:p w14:paraId="0BC9A380" w14:textId="77777777" w:rsidR="009F0928" w:rsidRDefault="009F0928">
            <w:pPr>
              <w:rPr>
                <w:rFonts w:ascii="Times New Roman" w:hAnsi="Times New Roman"/>
                <w:sz w:val="20"/>
                <w:szCs w:val="20"/>
              </w:rPr>
            </w:pPr>
          </w:p>
        </w:tc>
      </w:tr>
      <w:tr w:rsidR="009F0928" w14:paraId="0BC9A38E" w14:textId="77777777">
        <w:tc>
          <w:tcPr>
            <w:tcW w:w="3050" w:type="pct"/>
            <w:shd w:val="clear" w:color="auto" w:fill="auto"/>
            <w:vAlign w:val="center"/>
          </w:tcPr>
          <w:p w14:paraId="0BC9A382" w14:textId="77777777" w:rsidR="009F0928" w:rsidRDefault="009F0928">
            <w:pPr>
              <w:rPr>
                <w:rFonts w:ascii="Times New Roman" w:hAnsi="Times New Roman"/>
                <w:sz w:val="20"/>
                <w:szCs w:val="20"/>
              </w:rPr>
            </w:pPr>
          </w:p>
        </w:tc>
        <w:tc>
          <w:tcPr>
            <w:tcW w:w="50" w:type="pct"/>
            <w:shd w:val="clear" w:color="auto" w:fill="auto"/>
            <w:vAlign w:val="center"/>
          </w:tcPr>
          <w:p w14:paraId="0BC9A383" w14:textId="77777777" w:rsidR="009F0928" w:rsidRDefault="009F0928">
            <w:pPr>
              <w:rPr>
                <w:rFonts w:ascii="Times New Roman" w:hAnsi="Times New Roman"/>
                <w:sz w:val="20"/>
                <w:szCs w:val="20"/>
              </w:rPr>
            </w:pPr>
          </w:p>
        </w:tc>
        <w:tc>
          <w:tcPr>
            <w:tcW w:w="500" w:type="pct"/>
            <w:shd w:val="clear" w:color="auto" w:fill="auto"/>
            <w:vAlign w:val="center"/>
          </w:tcPr>
          <w:p w14:paraId="0BC9A384" w14:textId="77777777" w:rsidR="009F0928" w:rsidRDefault="009F0928">
            <w:pPr>
              <w:rPr>
                <w:rFonts w:ascii="Times New Roman" w:hAnsi="Times New Roman"/>
                <w:sz w:val="20"/>
                <w:szCs w:val="20"/>
              </w:rPr>
            </w:pPr>
          </w:p>
        </w:tc>
        <w:tc>
          <w:tcPr>
            <w:tcW w:w="50" w:type="pct"/>
            <w:shd w:val="clear" w:color="auto" w:fill="auto"/>
            <w:vAlign w:val="center"/>
          </w:tcPr>
          <w:p w14:paraId="0BC9A385" w14:textId="77777777" w:rsidR="009F0928" w:rsidRDefault="009F0928">
            <w:pPr>
              <w:rPr>
                <w:rFonts w:ascii="Times New Roman" w:hAnsi="Times New Roman"/>
                <w:sz w:val="20"/>
                <w:szCs w:val="20"/>
              </w:rPr>
            </w:pPr>
          </w:p>
        </w:tc>
        <w:tc>
          <w:tcPr>
            <w:tcW w:w="50" w:type="pct"/>
            <w:shd w:val="clear" w:color="auto" w:fill="auto"/>
            <w:vAlign w:val="center"/>
          </w:tcPr>
          <w:p w14:paraId="0BC9A386" w14:textId="77777777" w:rsidR="009F0928" w:rsidRDefault="009F0928">
            <w:pPr>
              <w:rPr>
                <w:rFonts w:ascii="Times New Roman" w:hAnsi="Times New Roman"/>
                <w:sz w:val="20"/>
                <w:szCs w:val="20"/>
              </w:rPr>
            </w:pPr>
          </w:p>
        </w:tc>
        <w:tc>
          <w:tcPr>
            <w:tcW w:w="50" w:type="pct"/>
            <w:shd w:val="clear" w:color="auto" w:fill="auto"/>
            <w:vAlign w:val="center"/>
          </w:tcPr>
          <w:p w14:paraId="0BC9A387" w14:textId="77777777" w:rsidR="009F0928" w:rsidRDefault="009F0928">
            <w:pPr>
              <w:rPr>
                <w:rFonts w:ascii="Times New Roman" w:hAnsi="Times New Roman"/>
                <w:sz w:val="20"/>
                <w:szCs w:val="20"/>
              </w:rPr>
            </w:pPr>
          </w:p>
        </w:tc>
        <w:tc>
          <w:tcPr>
            <w:tcW w:w="500" w:type="pct"/>
            <w:shd w:val="clear" w:color="auto" w:fill="auto"/>
            <w:vAlign w:val="center"/>
          </w:tcPr>
          <w:p w14:paraId="0BC9A388" w14:textId="77777777" w:rsidR="009F0928" w:rsidRDefault="009F0928">
            <w:pPr>
              <w:rPr>
                <w:rFonts w:ascii="Times New Roman" w:hAnsi="Times New Roman"/>
                <w:sz w:val="20"/>
                <w:szCs w:val="20"/>
              </w:rPr>
            </w:pPr>
          </w:p>
        </w:tc>
        <w:tc>
          <w:tcPr>
            <w:tcW w:w="50" w:type="pct"/>
            <w:shd w:val="clear" w:color="auto" w:fill="auto"/>
            <w:vAlign w:val="center"/>
          </w:tcPr>
          <w:p w14:paraId="0BC9A389" w14:textId="77777777" w:rsidR="009F0928" w:rsidRDefault="009F0928">
            <w:pPr>
              <w:rPr>
                <w:rFonts w:ascii="Times New Roman" w:hAnsi="Times New Roman"/>
                <w:sz w:val="20"/>
                <w:szCs w:val="20"/>
              </w:rPr>
            </w:pPr>
          </w:p>
        </w:tc>
        <w:tc>
          <w:tcPr>
            <w:tcW w:w="50" w:type="pct"/>
            <w:shd w:val="clear" w:color="auto" w:fill="auto"/>
            <w:vAlign w:val="center"/>
          </w:tcPr>
          <w:p w14:paraId="0BC9A38A" w14:textId="77777777" w:rsidR="009F0928" w:rsidRDefault="009F0928">
            <w:pPr>
              <w:rPr>
                <w:rFonts w:ascii="Times New Roman" w:hAnsi="Times New Roman"/>
                <w:sz w:val="20"/>
                <w:szCs w:val="20"/>
              </w:rPr>
            </w:pPr>
          </w:p>
        </w:tc>
        <w:tc>
          <w:tcPr>
            <w:tcW w:w="50" w:type="pct"/>
            <w:shd w:val="clear" w:color="auto" w:fill="auto"/>
            <w:vAlign w:val="center"/>
          </w:tcPr>
          <w:p w14:paraId="0BC9A38B" w14:textId="77777777" w:rsidR="009F0928" w:rsidRDefault="009F0928">
            <w:pPr>
              <w:rPr>
                <w:rFonts w:ascii="Times New Roman" w:hAnsi="Times New Roman"/>
                <w:sz w:val="20"/>
                <w:szCs w:val="20"/>
              </w:rPr>
            </w:pPr>
          </w:p>
        </w:tc>
        <w:tc>
          <w:tcPr>
            <w:tcW w:w="550" w:type="pct"/>
            <w:shd w:val="clear" w:color="auto" w:fill="auto"/>
            <w:vAlign w:val="center"/>
          </w:tcPr>
          <w:p w14:paraId="0BC9A38C" w14:textId="77777777" w:rsidR="009F0928" w:rsidRDefault="009F0928">
            <w:pPr>
              <w:rPr>
                <w:rFonts w:ascii="Times New Roman" w:hAnsi="Times New Roman"/>
                <w:sz w:val="20"/>
                <w:szCs w:val="20"/>
              </w:rPr>
            </w:pPr>
          </w:p>
        </w:tc>
        <w:tc>
          <w:tcPr>
            <w:tcW w:w="50" w:type="pct"/>
            <w:shd w:val="clear" w:color="auto" w:fill="auto"/>
            <w:vAlign w:val="center"/>
          </w:tcPr>
          <w:p w14:paraId="0BC9A38D" w14:textId="77777777" w:rsidR="009F0928" w:rsidRDefault="009F0928">
            <w:pPr>
              <w:rPr>
                <w:rFonts w:ascii="Times New Roman" w:hAnsi="Times New Roman"/>
                <w:sz w:val="20"/>
                <w:szCs w:val="20"/>
              </w:rPr>
            </w:pPr>
          </w:p>
        </w:tc>
      </w:tr>
      <w:tr w:rsidR="009F0928" w14:paraId="0BC9A391" w14:textId="77777777">
        <w:tc>
          <w:tcPr>
            <w:tcW w:w="0" w:type="auto"/>
            <w:shd w:val="clear" w:color="auto" w:fill="auto"/>
            <w:tcMar>
              <w:top w:w="40" w:type="dxa"/>
              <w:left w:w="40" w:type="dxa"/>
              <w:bottom w:w="40" w:type="dxa"/>
              <w:right w:w="40" w:type="dxa"/>
            </w:tcMar>
            <w:vAlign w:val="bottom"/>
          </w:tcPr>
          <w:p w14:paraId="0BC9A38F"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A39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w:t>
            </w:r>
          </w:p>
        </w:tc>
      </w:tr>
      <w:tr w:rsidR="009F0928" w14:paraId="0BC9A398" w14:textId="77777777">
        <w:tc>
          <w:tcPr>
            <w:tcW w:w="0" w:type="auto"/>
            <w:shd w:val="clear" w:color="auto" w:fill="auto"/>
            <w:tcMar>
              <w:top w:w="40" w:type="dxa"/>
              <w:left w:w="40" w:type="dxa"/>
              <w:bottom w:w="40" w:type="dxa"/>
              <w:right w:w="40" w:type="dxa"/>
            </w:tcMar>
            <w:vAlign w:val="bottom"/>
          </w:tcPr>
          <w:p w14:paraId="0BC9A392"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A39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A394"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A395"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0BC9A396"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A39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2017</w:t>
            </w:r>
          </w:p>
        </w:tc>
      </w:tr>
      <w:tr w:rsidR="009F0928" w14:paraId="0BC9A3A5" w14:textId="77777777">
        <w:tc>
          <w:tcPr>
            <w:tcW w:w="0" w:type="auto"/>
            <w:shd w:val="clear" w:color="auto" w:fill="E2E2E2"/>
            <w:tcMar>
              <w:top w:w="40" w:type="dxa"/>
              <w:left w:w="40" w:type="dxa"/>
              <w:bottom w:w="40" w:type="dxa"/>
              <w:right w:w="40" w:type="dxa"/>
            </w:tcMar>
            <w:vAlign w:val="bottom"/>
          </w:tcPr>
          <w:p w14:paraId="0BC9A399" w14:textId="77777777" w:rsidR="009F0928" w:rsidRDefault="002112BD">
            <w:pPr>
              <w:textAlignment w:val="bottom"/>
              <w:rPr>
                <w:rFonts w:ascii="Times New Roman" w:hAnsi="Times New Roman"/>
                <w:sz w:val="18"/>
                <w:szCs w:val="18"/>
              </w:rPr>
            </w:pPr>
            <w:r>
              <w:rPr>
                <w:rFonts w:ascii="Arial" w:eastAsia="宋体" w:hAnsi="Arial" w:cs="Arial"/>
                <w:sz w:val="18"/>
                <w:szCs w:val="18"/>
              </w:rPr>
              <w:t>United States</w:t>
            </w:r>
          </w:p>
        </w:tc>
        <w:tc>
          <w:tcPr>
            <w:tcW w:w="0" w:type="auto"/>
            <w:shd w:val="clear" w:color="auto" w:fill="E2E2E2"/>
            <w:tcMar>
              <w:top w:w="40" w:type="dxa"/>
              <w:left w:w="40" w:type="dxa"/>
              <w:bottom w:w="40" w:type="dxa"/>
            </w:tcMar>
            <w:vAlign w:val="bottom"/>
          </w:tcPr>
          <w:p w14:paraId="0BC9A39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39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358</w:t>
            </w:r>
          </w:p>
        </w:tc>
        <w:tc>
          <w:tcPr>
            <w:tcW w:w="0" w:type="auto"/>
            <w:shd w:val="clear" w:color="auto" w:fill="E2E2E2"/>
            <w:vAlign w:val="bottom"/>
          </w:tcPr>
          <w:p w14:paraId="0BC9A39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39D"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tcMar>
            <w:vAlign w:val="bottom"/>
          </w:tcPr>
          <w:p w14:paraId="0BC9A39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39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299</w:t>
            </w:r>
          </w:p>
        </w:tc>
        <w:tc>
          <w:tcPr>
            <w:tcW w:w="0" w:type="auto"/>
            <w:shd w:val="clear" w:color="auto" w:fill="E2E2E2"/>
            <w:vAlign w:val="bottom"/>
          </w:tcPr>
          <w:p w14:paraId="0BC9A3A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3A1"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tcMar>
            <w:vAlign w:val="bottom"/>
          </w:tcPr>
          <w:p w14:paraId="0BC9A3A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3A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417</w:t>
            </w:r>
          </w:p>
        </w:tc>
        <w:tc>
          <w:tcPr>
            <w:tcW w:w="0" w:type="auto"/>
            <w:shd w:val="clear" w:color="auto" w:fill="E2E2E2"/>
            <w:vAlign w:val="bottom"/>
          </w:tcPr>
          <w:p w14:paraId="0BC9A3A4" w14:textId="77777777" w:rsidR="009F0928" w:rsidRDefault="009F0928">
            <w:pPr>
              <w:textAlignment w:val="bottom"/>
              <w:rPr>
                <w:rFonts w:ascii="Times New Roman" w:hAnsi="Times New Roman"/>
                <w:sz w:val="20"/>
                <w:szCs w:val="20"/>
              </w:rPr>
            </w:pPr>
          </w:p>
        </w:tc>
      </w:tr>
      <w:tr w:rsidR="009F0928" w14:paraId="0BC9A3AF" w14:textId="77777777">
        <w:tc>
          <w:tcPr>
            <w:tcW w:w="0" w:type="auto"/>
            <w:shd w:val="clear" w:color="auto" w:fill="auto"/>
            <w:tcMar>
              <w:top w:w="40" w:type="dxa"/>
              <w:left w:w="40" w:type="dxa"/>
              <w:bottom w:w="40" w:type="dxa"/>
              <w:right w:w="40" w:type="dxa"/>
            </w:tcMar>
            <w:vAlign w:val="bottom"/>
          </w:tcPr>
          <w:p w14:paraId="0BC9A3A6" w14:textId="77777777" w:rsidR="009F0928" w:rsidRDefault="002112BD">
            <w:pPr>
              <w:textAlignment w:val="bottom"/>
              <w:rPr>
                <w:rFonts w:ascii="Times New Roman" w:hAnsi="Times New Roman"/>
                <w:sz w:val="18"/>
                <w:szCs w:val="18"/>
              </w:rPr>
            </w:pPr>
            <w:r>
              <w:rPr>
                <w:rFonts w:ascii="Arial" w:eastAsia="宋体" w:hAnsi="Arial" w:cs="Arial"/>
                <w:sz w:val="18"/>
                <w:szCs w:val="18"/>
              </w:rPr>
              <w:t>International</w:t>
            </w:r>
          </w:p>
        </w:tc>
        <w:tc>
          <w:tcPr>
            <w:tcW w:w="0" w:type="auto"/>
            <w:gridSpan w:val="2"/>
            <w:tcBorders>
              <w:bottom w:val="single" w:sz="8" w:space="0" w:color="000000"/>
            </w:tcBorders>
            <w:shd w:val="clear" w:color="auto" w:fill="auto"/>
            <w:tcMar>
              <w:top w:w="40" w:type="dxa"/>
              <w:left w:w="40" w:type="dxa"/>
              <w:bottom w:w="40" w:type="dxa"/>
            </w:tcMar>
            <w:vAlign w:val="bottom"/>
          </w:tcPr>
          <w:p w14:paraId="0BC9A3A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1,849</w:t>
            </w:r>
          </w:p>
        </w:tc>
        <w:tc>
          <w:tcPr>
            <w:tcW w:w="0" w:type="auto"/>
            <w:tcBorders>
              <w:bottom w:val="single" w:sz="8" w:space="0" w:color="000000"/>
            </w:tcBorders>
            <w:shd w:val="clear" w:color="auto" w:fill="auto"/>
            <w:vAlign w:val="bottom"/>
          </w:tcPr>
          <w:p w14:paraId="0BC9A3A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3A9"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3A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2,419</w:t>
            </w:r>
          </w:p>
        </w:tc>
        <w:tc>
          <w:tcPr>
            <w:tcW w:w="0" w:type="auto"/>
            <w:shd w:val="clear" w:color="auto" w:fill="auto"/>
            <w:vAlign w:val="bottom"/>
          </w:tcPr>
          <w:p w14:paraId="0BC9A3A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3AC"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3A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1,858</w:t>
            </w:r>
          </w:p>
        </w:tc>
        <w:tc>
          <w:tcPr>
            <w:tcW w:w="0" w:type="auto"/>
            <w:shd w:val="clear" w:color="auto" w:fill="auto"/>
            <w:vAlign w:val="bottom"/>
          </w:tcPr>
          <w:p w14:paraId="0BC9A3AE" w14:textId="77777777" w:rsidR="009F0928" w:rsidRDefault="009F0928">
            <w:pPr>
              <w:textAlignment w:val="bottom"/>
              <w:rPr>
                <w:rFonts w:ascii="Times New Roman" w:hAnsi="Times New Roman"/>
                <w:sz w:val="20"/>
                <w:szCs w:val="20"/>
              </w:rPr>
            </w:pPr>
          </w:p>
        </w:tc>
      </w:tr>
      <w:tr w:rsidR="009F0928" w14:paraId="0BC9A3BC" w14:textId="77777777">
        <w:tc>
          <w:tcPr>
            <w:tcW w:w="0" w:type="auto"/>
            <w:shd w:val="clear" w:color="auto" w:fill="E2E2E2"/>
            <w:tcMar>
              <w:top w:w="40" w:type="dxa"/>
              <w:left w:w="40" w:type="dxa"/>
              <w:bottom w:w="40" w:type="dxa"/>
              <w:right w:w="40" w:type="dxa"/>
            </w:tcMar>
            <w:vAlign w:val="bottom"/>
          </w:tcPr>
          <w:p w14:paraId="0BC9A3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3B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3B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2,207</w:t>
            </w:r>
          </w:p>
        </w:tc>
        <w:tc>
          <w:tcPr>
            <w:tcW w:w="0" w:type="auto"/>
            <w:tcBorders>
              <w:top w:val="single" w:sz="8" w:space="0" w:color="000000"/>
              <w:bottom w:val="double" w:sz="6" w:space="0" w:color="000000"/>
            </w:tcBorders>
            <w:shd w:val="clear" w:color="auto" w:fill="E2E2E2"/>
            <w:vAlign w:val="bottom"/>
          </w:tcPr>
          <w:p w14:paraId="0BC9A3B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3B4" w14:textId="77777777" w:rsidR="009F0928" w:rsidRDefault="009F0928">
            <w:pPr>
              <w:jc w:val="right"/>
              <w:textAlignment w:val="bottom"/>
              <w:rPr>
                <w:rFonts w:ascii="Times New Roman" w:hAnsi="Times New Roman"/>
                <w:sz w:val="18"/>
                <w:szCs w:val="18"/>
              </w:rPr>
            </w:pP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3B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3B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2,718</w:t>
            </w:r>
          </w:p>
        </w:tc>
        <w:tc>
          <w:tcPr>
            <w:tcW w:w="0" w:type="auto"/>
            <w:tcBorders>
              <w:top w:val="single" w:sz="8" w:space="0" w:color="000000"/>
              <w:bottom w:val="double" w:sz="6" w:space="0" w:color="000000"/>
            </w:tcBorders>
            <w:shd w:val="clear" w:color="auto" w:fill="E2E2E2"/>
            <w:vAlign w:val="bottom"/>
          </w:tcPr>
          <w:p w14:paraId="0BC9A3B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3B8" w14:textId="77777777" w:rsidR="009F0928" w:rsidRDefault="009F0928">
            <w:pPr>
              <w:jc w:val="right"/>
              <w:textAlignment w:val="bottom"/>
              <w:rPr>
                <w:rFonts w:ascii="Times New Roman" w:hAnsi="Times New Roman"/>
                <w:sz w:val="18"/>
                <w:szCs w:val="18"/>
              </w:rPr>
            </w:pP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3B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3B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2,275</w:t>
            </w:r>
          </w:p>
        </w:tc>
        <w:tc>
          <w:tcPr>
            <w:tcW w:w="0" w:type="auto"/>
            <w:tcBorders>
              <w:top w:val="single" w:sz="8" w:space="0" w:color="000000"/>
              <w:bottom w:val="double" w:sz="6" w:space="0" w:color="000000"/>
            </w:tcBorders>
            <w:shd w:val="clear" w:color="auto" w:fill="E2E2E2"/>
            <w:vAlign w:val="bottom"/>
          </w:tcPr>
          <w:p w14:paraId="0BC9A3BB" w14:textId="77777777" w:rsidR="009F0928" w:rsidRDefault="009F0928">
            <w:pPr>
              <w:textAlignment w:val="bottom"/>
              <w:rPr>
                <w:rFonts w:ascii="Times New Roman" w:hAnsi="Times New Roman"/>
                <w:sz w:val="20"/>
                <w:szCs w:val="20"/>
              </w:rPr>
            </w:pPr>
          </w:p>
        </w:tc>
      </w:tr>
    </w:tbl>
    <w:p w14:paraId="0BC9A3BD" w14:textId="77777777" w:rsidR="009F0928" w:rsidRDefault="009F0928">
      <w:pPr>
        <w:spacing w:line="288" w:lineRule="auto"/>
        <w:jc w:val="both"/>
        <w:rPr>
          <w:rFonts w:ascii="Times New Roman" w:hAnsi="Times New Roman"/>
          <w:sz w:val="20"/>
          <w:szCs w:val="20"/>
        </w:rPr>
      </w:pPr>
    </w:p>
    <w:p w14:paraId="0BC9A3BE" w14:textId="77777777" w:rsidR="009F0928" w:rsidRDefault="009F0928">
      <w:pPr>
        <w:spacing w:line="288" w:lineRule="auto"/>
        <w:jc w:val="both"/>
        <w:rPr>
          <w:rFonts w:ascii="Times New Roman" w:hAnsi="Times New Roman"/>
          <w:sz w:val="20"/>
          <w:szCs w:val="20"/>
        </w:rPr>
      </w:pPr>
    </w:p>
    <w:p w14:paraId="0BC9A3B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provision (benefit) for income taxes is comprised of the following (in millions):</w:t>
      </w:r>
    </w:p>
    <w:tbl>
      <w:tblPr>
        <w:tblW w:w="5000" w:type="pct"/>
        <w:tblCellMar>
          <w:left w:w="0" w:type="dxa"/>
          <w:right w:w="0" w:type="dxa"/>
        </w:tblCellMar>
        <w:tblLook w:val="04A0" w:firstRow="1" w:lastRow="0" w:firstColumn="1" w:lastColumn="0" w:noHBand="0" w:noVBand="1"/>
      </w:tblPr>
      <w:tblGrid>
        <w:gridCol w:w="4986"/>
        <w:gridCol w:w="141"/>
        <w:gridCol w:w="750"/>
        <w:gridCol w:w="100"/>
        <w:gridCol w:w="131"/>
        <w:gridCol w:w="141"/>
        <w:gridCol w:w="751"/>
        <w:gridCol w:w="100"/>
        <w:gridCol w:w="131"/>
        <w:gridCol w:w="141"/>
        <w:gridCol w:w="834"/>
        <w:gridCol w:w="100"/>
      </w:tblGrid>
      <w:tr w:rsidR="009F0928" w14:paraId="0BC9A3C1" w14:textId="77777777">
        <w:tc>
          <w:tcPr>
            <w:tcW w:w="0" w:type="auto"/>
            <w:gridSpan w:val="12"/>
            <w:shd w:val="clear" w:color="auto" w:fill="auto"/>
            <w:vAlign w:val="center"/>
          </w:tcPr>
          <w:p w14:paraId="0BC9A3C0" w14:textId="77777777" w:rsidR="009F0928" w:rsidRDefault="009F0928">
            <w:pPr>
              <w:rPr>
                <w:rFonts w:ascii="Times New Roman" w:hAnsi="Times New Roman"/>
                <w:sz w:val="20"/>
                <w:szCs w:val="20"/>
              </w:rPr>
            </w:pPr>
          </w:p>
        </w:tc>
      </w:tr>
      <w:tr w:rsidR="009F0928" w14:paraId="0BC9A3CE" w14:textId="77777777">
        <w:tc>
          <w:tcPr>
            <w:tcW w:w="3050" w:type="pct"/>
            <w:shd w:val="clear" w:color="auto" w:fill="auto"/>
            <w:vAlign w:val="center"/>
          </w:tcPr>
          <w:p w14:paraId="0BC9A3C2" w14:textId="77777777" w:rsidR="009F0928" w:rsidRDefault="009F0928">
            <w:pPr>
              <w:rPr>
                <w:rFonts w:ascii="Times New Roman" w:hAnsi="Times New Roman"/>
                <w:sz w:val="20"/>
                <w:szCs w:val="20"/>
              </w:rPr>
            </w:pPr>
          </w:p>
        </w:tc>
        <w:tc>
          <w:tcPr>
            <w:tcW w:w="50" w:type="pct"/>
            <w:shd w:val="clear" w:color="auto" w:fill="auto"/>
            <w:vAlign w:val="center"/>
          </w:tcPr>
          <w:p w14:paraId="0BC9A3C3" w14:textId="77777777" w:rsidR="009F0928" w:rsidRDefault="009F0928">
            <w:pPr>
              <w:rPr>
                <w:rFonts w:ascii="Times New Roman" w:hAnsi="Times New Roman"/>
                <w:sz w:val="20"/>
                <w:szCs w:val="20"/>
              </w:rPr>
            </w:pPr>
          </w:p>
        </w:tc>
        <w:tc>
          <w:tcPr>
            <w:tcW w:w="500" w:type="pct"/>
            <w:shd w:val="clear" w:color="auto" w:fill="auto"/>
            <w:vAlign w:val="center"/>
          </w:tcPr>
          <w:p w14:paraId="0BC9A3C4" w14:textId="77777777" w:rsidR="009F0928" w:rsidRDefault="009F0928">
            <w:pPr>
              <w:rPr>
                <w:rFonts w:ascii="Times New Roman" w:hAnsi="Times New Roman"/>
                <w:sz w:val="20"/>
                <w:szCs w:val="20"/>
              </w:rPr>
            </w:pPr>
          </w:p>
        </w:tc>
        <w:tc>
          <w:tcPr>
            <w:tcW w:w="50" w:type="pct"/>
            <w:shd w:val="clear" w:color="auto" w:fill="auto"/>
            <w:vAlign w:val="center"/>
          </w:tcPr>
          <w:p w14:paraId="0BC9A3C5" w14:textId="77777777" w:rsidR="009F0928" w:rsidRDefault="009F0928">
            <w:pPr>
              <w:rPr>
                <w:rFonts w:ascii="Times New Roman" w:hAnsi="Times New Roman"/>
                <w:sz w:val="20"/>
                <w:szCs w:val="20"/>
              </w:rPr>
            </w:pPr>
          </w:p>
        </w:tc>
        <w:tc>
          <w:tcPr>
            <w:tcW w:w="50" w:type="pct"/>
            <w:shd w:val="clear" w:color="auto" w:fill="auto"/>
            <w:vAlign w:val="center"/>
          </w:tcPr>
          <w:p w14:paraId="0BC9A3C6" w14:textId="77777777" w:rsidR="009F0928" w:rsidRDefault="009F0928">
            <w:pPr>
              <w:rPr>
                <w:rFonts w:ascii="Times New Roman" w:hAnsi="Times New Roman"/>
                <w:sz w:val="20"/>
                <w:szCs w:val="20"/>
              </w:rPr>
            </w:pPr>
          </w:p>
        </w:tc>
        <w:tc>
          <w:tcPr>
            <w:tcW w:w="50" w:type="pct"/>
            <w:shd w:val="clear" w:color="auto" w:fill="auto"/>
            <w:vAlign w:val="center"/>
          </w:tcPr>
          <w:p w14:paraId="0BC9A3C7" w14:textId="77777777" w:rsidR="009F0928" w:rsidRDefault="009F0928">
            <w:pPr>
              <w:rPr>
                <w:rFonts w:ascii="Times New Roman" w:hAnsi="Times New Roman"/>
                <w:sz w:val="20"/>
                <w:szCs w:val="20"/>
              </w:rPr>
            </w:pPr>
          </w:p>
        </w:tc>
        <w:tc>
          <w:tcPr>
            <w:tcW w:w="500" w:type="pct"/>
            <w:shd w:val="clear" w:color="auto" w:fill="auto"/>
            <w:vAlign w:val="center"/>
          </w:tcPr>
          <w:p w14:paraId="0BC9A3C8" w14:textId="77777777" w:rsidR="009F0928" w:rsidRDefault="009F0928">
            <w:pPr>
              <w:rPr>
                <w:rFonts w:ascii="Times New Roman" w:hAnsi="Times New Roman"/>
                <w:sz w:val="20"/>
                <w:szCs w:val="20"/>
              </w:rPr>
            </w:pPr>
          </w:p>
        </w:tc>
        <w:tc>
          <w:tcPr>
            <w:tcW w:w="50" w:type="pct"/>
            <w:shd w:val="clear" w:color="auto" w:fill="auto"/>
            <w:vAlign w:val="center"/>
          </w:tcPr>
          <w:p w14:paraId="0BC9A3C9" w14:textId="77777777" w:rsidR="009F0928" w:rsidRDefault="009F0928">
            <w:pPr>
              <w:rPr>
                <w:rFonts w:ascii="Times New Roman" w:hAnsi="Times New Roman"/>
                <w:sz w:val="20"/>
                <w:szCs w:val="20"/>
              </w:rPr>
            </w:pPr>
          </w:p>
        </w:tc>
        <w:tc>
          <w:tcPr>
            <w:tcW w:w="50" w:type="pct"/>
            <w:shd w:val="clear" w:color="auto" w:fill="auto"/>
            <w:vAlign w:val="center"/>
          </w:tcPr>
          <w:p w14:paraId="0BC9A3CA" w14:textId="77777777" w:rsidR="009F0928" w:rsidRDefault="009F0928">
            <w:pPr>
              <w:rPr>
                <w:rFonts w:ascii="Times New Roman" w:hAnsi="Times New Roman"/>
                <w:sz w:val="20"/>
                <w:szCs w:val="20"/>
              </w:rPr>
            </w:pPr>
          </w:p>
        </w:tc>
        <w:tc>
          <w:tcPr>
            <w:tcW w:w="50" w:type="pct"/>
            <w:shd w:val="clear" w:color="auto" w:fill="auto"/>
            <w:vAlign w:val="center"/>
          </w:tcPr>
          <w:p w14:paraId="0BC9A3CB" w14:textId="77777777" w:rsidR="009F0928" w:rsidRDefault="009F0928">
            <w:pPr>
              <w:rPr>
                <w:rFonts w:ascii="Times New Roman" w:hAnsi="Times New Roman"/>
                <w:sz w:val="20"/>
                <w:szCs w:val="20"/>
              </w:rPr>
            </w:pPr>
          </w:p>
        </w:tc>
        <w:tc>
          <w:tcPr>
            <w:tcW w:w="550" w:type="pct"/>
            <w:shd w:val="clear" w:color="auto" w:fill="auto"/>
            <w:vAlign w:val="center"/>
          </w:tcPr>
          <w:p w14:paraId="0BC9A3CC" w14:textId="77777777" w:rsidR="009F0928" w:rsidRDefault="009F0928">
            <w:pPr>
              <w:rPr>
                <w:rFonts w:ascii="Times New Roman" w:hAnsi="Times New Roman"/>
                <w:sz w:val="20"/>
                <w:szCs w:val="20"/>
              </w:rPr>
            </w:pPr>
          </w:p>
        </w:tc>
        <w:tc>
          <w:tcPr>
            <w:tcW w:w="50" w:type="pct"/>
            <w:shd w:val="clear" w:color="auto" w:fill="auto"/>
            <w:vAlign w:val="center"/>
          </w:tcPr>
          <w:p w14:paraId="0BC9A3CD" w14:textId="77777777" w:rsidR="009F0928" w:rsidRDefault="009F0928">
            <w:pPr>
              <w:rPr>
                <w:rFonts w:ascii="Times New Roman" w:hAnsi="Times New Roman"/>
                <w:sz w:val="20"/>
                <w:szCs w:val="20"/>
              </w:rPr>
            </w:pPr>
          </w:p>
        </w:tc>
      </w:tr>
      <w:tr w:rsidR="009F0928" w14:paraId="0BC9A3D1" w14:textId="77777777">
        <w:tc>
          <w:tcPr>
            <w:tcW w:w="0" w:type="auto"/>
            <w:shd w:val="clear" w:color="auto" w:fill="auto"/>
            <w:tcMar>
              <w:top w:w="40" w:type="dxa"/>
              <w:left w:w="40" w:type="dxa"/>
              <w:bottom w:w="40" w:type="dxa"/>
              <w:right w:w="40" w:type="dxa"/>
            </w:tcMar>
            <w:vAlign w:val="bottom"/>
          </w:tcPr>
          <w:p w14:paraId="0BC9A3CF"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A3D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w:t>
            </w:r>
          </w:p>
        </w:tc>
      </w:tr>
      <w:tr w:rsidR="009F0928" w14:paraId="0BC9A3D8" w14:textId="77777777">
        <w:tc>
          <w:tcPr>
            <w:tcW w:w="0" w:type="auto"/>
            <w:shd w:val="clear" w:color="auto" w:fill="auto"/>
            <w:tcMar>
              <w:top w:w="40" w:type="dxa"/>
              <w:left w:w="40" w:type="dxa"/>
              <w:bottom w:w="40" w:type="dxa"/>
              <w:right w:w="40" w:type="dxa"/>
            </w:tcMar>
            <w:vAlign w:val="bottom"/>
          </w:tcPr>
          <w:p w14:paraId="0BC9A3D2"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A3D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A3D4"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A3D5"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0BC9A3D6"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A3D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2017</w:t>
            </w:r>
          </w:p>
        </w:tc>
      </w:tr>
      <w:tr w:rsidR="009F0928" w14:paraId="0BC9A3DF" w14:textId="77777777">
        <w:tc>
          <w:tcPr>
            <w:tcW w:w="0" w:type="auto"/>
            <w:shd w:val="clear" w:color="auto" w:fill="E2E2E2"/>
            <w:tcMar>
              <w:top w:w="40" w:type="dxa"/>
              <w:left w:w="40" w:type="dxa"/>
              <w:bottom w:w="40" w:type="dxa"/>
              <w:right w:w="40" w:type="dxa"/>
            </w:tcMar>
            <w:vAlign w:val="bottom"/>
          </w:tcPr>
          <w:p w14:paraId="0BC9A3D9" w14:textId="77777777" w:rsidR="009F0928" w:rsidRDefault="002112BD">
            <w:pPr>
              <w:textAlignment w:val="bottom"/>
              <w:rPr>
                <w:rFonts w:ascii="Times New Roman" w:hAnsi="Times New Roman"/>
                <w:sz w:val="18"/>
                <w:szCs w:val="18"/>
              </w:rPr>
            </w:pPr>
            <w:r>
              <w:rPr>
                <w:rFonts w:ascii="Arial" w:eastAsia="宋体" w:hAnsi="Arial" w:cs="Arial"/>
                <w:sz w:val="18"/>
                <w:szCs w:val="18"/>
              </w:rPr>
              <w:t>Current:</w:t>
            </w:r>
          </w:p>
        </w:tc>
        <w:tc>
          <w:tcPr>
            <w:tcW w:w="0" w:type="auto"/>
            <w:gridSpan w:val="3"/>
            <w:shd w:val="clear" w:color="auto" w:fill="E2E2E2"/>
            <w:tcMar>
              <w:top w:w="40" w:type="dxa"/>
              <w:left w:w="40" w:type="dxa"/>
              <w:bottom w:w="40" w:type="dxa"/>
              <w:right w:w="40" w:type="dxa"/>
            </w:tcMar>
            <w:vAlign w:val="bottom"/>
          </w:tcPr>
          <w:p w14:paraId="0BC9A3D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3DB"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shd w:val="clear" w:color="auto" w:fill="E2E2E2"/>
            <w:tcMar>
              <w:top w:w="40" w:type="dxa"/>
              <w:left w:w="40" w:type="dxa"/>
              <w:bottom w:w="40" w:type="dxa"/>
              <w:right w:w="40" w:type="dxa"/>
            </w:tcMar>
            <w:vAlign w:val="bottom"/>
          </w:tcPr>
          <w:p w14:paraId="0BC9A3D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3DD"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shd w:val="clear" w:color="auto" w:fill="E2E2E2"/>
            <w:tcMar>
              <w:top w:w="40" w:type="dxa"/>
              <w:left w:w="40" w:type="dxa"/>
              <w:bottom w:w="40" w:type="dxa"/>
              <w:right w:w="40" w:type="dxa"/>
            </w:tcMar>
            <w:vAlign w:val="bottom"/>
          </w:tcPr>
          <w:p w14:paraId="0BC9A3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3EC" w14:textId="77777777">
        <w:tc>
          <w:tcPr>
            <w:tcW w:w="0" w:type="auto"/>
            <w:shd w:val="clear" w:color="auto" w:fill="auto"/>
            <w:tcMar>
              <w:top w:w="40" w:type="dxa"/>
              <w:left w:w="400" w:type="dxa"/>
              <w:bottom w:w="40" w:type="dxa"/>
              <w:right w:w="40" w:type="dxa"/>
            </w:tcMar>
            <w:vAlign w:val="bottom"/>
          </w:tcPr>
          <w:p w14:paraId="0BC9A3E0" w14:textId="77777777" w:rsidR="009F0928" w:rsidRDefault="002112BD">
            <w:pPr>
              <w:textAlignment w:val="bottom"/>
              <w:rPr>
                <w:rFonts w:ascii="Times New Roman" w:hAnsi="Times New Roman"/>
                <w:sz w:val="18"/>
                <w:szCs w:val="18"/>
              </w:rPr>
            </w:pPr>
            <w:r>
              <w:rPr>
                <w:rFonts w:ascii="Arial" w:eastAsia="宋体" w:hAnsi="Arial" w:cs="Arial"/>
                <w:sz w:val="18"/>
                <w:szCs w:val="18"/>
              </w:rPr>
              <w:t>Federal</w:t>
            </w:r>
          </w:p>
        </w:tc>
        <w:tc>
          <w:tcPr>
            <w:tcW w:w="0" w:type="auto"/>
            <w:shd w:val="clear" w:color="auto" w:fill="auto"/>
            <w:tcMar>
              <w:top w:w="40" w:type="dxa"/>
              <w:left w:w="40" w:type="dxa"/>
              <w:bottom w:w="40" w:type="dxa"/>
            </w:tcMar>
            <w:vAlign w:val="bottom"/>
          </w:tcPr>
          <w:p w14:paraId="0BC9A3E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3E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51</w:t>
            </w:r>
          </w:p>
        </w:tc>
        <w:tc>
          <w:tcPr>
            <w:tcW w:w="0" w:type="auto"/>
            <w:shd w:val="clear" w:color="auto" w:fill="auto"/>
            <w:vAlign w:val="bottom"/>
          </w:tcPr>
          <w:p w14:paraId="0BC9A3E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3E4"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tcMar>
            <w:vAlign w:val="bottom"/>
          </w:tcPr>
          <w:p w14:paraId="0BC9A3E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3E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73</w:t>
            </w:r>
          </w:p>
        </w:tc>
        <w:tc>
          <w:tcPr>
            <w:tcW w:w="0" w:type="auto"/>
            <w:shd w:val="clear" w:color="auto" w:fill="auto"/>
            <w:vAlign w:val="bottom"/>
          </w:tcPr>
          <w:p w14:paraId="0BC9A3E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3E8"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tcMar>
            <w:vAlign w:val="bottom"/>
          </w:tcPr>
          <w:p w14:paraId="0BC9A3E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3E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1,426</w:t>
            </w:r>
          </w:p>
        </w:tc>
        <w:tc>
          <w:tcPr>
            <w:tcW w:w="0" w:type="auto"/>
            <w:shd w:val="clear" w:color="auto" w:fill="auto"/>
            <w:vAlign w:val="bottom"/>
          </w:tcPr>
          <w:p w14:paraId="0BC9A3EB" w14:textId="77777777" w:rsidR="009F0928" w:rsidRDefault="009F0928">
            <w:pPr>
              <w:textAlignment w:val="bottom"/>
              <w:rPr>
                <w:rFonts w:ascii="Times New Roman" w:hAnsi="Times New Roman"/>
                <w:sz w:val="20"/>
                <w:szCs w:val="20"/>
              </w:rPr>
            </w:pPr>
          </w:p>
        </w:tc>
      </w:tr>
      <w:tr w:rsidR="009F0928" w14:paraId="0BC9A3F6" w14:textId="77777777">
        <w:tc>
          <w:tcPr>
            <w:tcW w:w="0" w:type="auto"/>
            <w:shd w:val="clear" w:color="auto" w:fill="E2E2E2"/>
            <w:tcMar>
              <w:top w:w="40" w:type="dxa"/>
              <w:left w:w="400" w:type="dxa"/>
              <w:bottom w:w="40" w:type="dxa"/>
              <w:right w:w="40" w:type="dxa"/>
            </w:tcMar>
            <w:vAlign w:val="bottom"/>
          </w:tcPr>
          <w:p w14:paraId="0BC9A3ED" w14:textId="77777777" w:rsidR="009F0928" w:rsidRDefault="002112BD">
            <w:pPr>
              <w:textAlignment w:val="bottom"/>
              <w:rPr>
                <w:rFonts w:ascii="Times New Roman" w:hAnsi="Times New Roman"/>
                <w:sz w:val="18"/>
                <w:szCs w:val="18"/>
              </w:rPr>
            </w:pPr>
            <w:r>
              <w:rPr>
                <w:rFonts w:ascii="Arial" w:eastAsia="宋体" w:hAnsi="Arial" w:cs="Arial"/>
                <w:sz w:val="18"/>
                <w:szCs w:val="18"/>
              </w:rPr>
              <w:t>State and local</w:t>
            </w:r>
          </w:p>
        </w:tc>
        <w:tc>
          <w:tcPr>
            <w:tcW w:w="0" w:type="auto"/>
            <w:gridSpan w:val="2"/>
            <w:shd w:val="clear" w:color="auto" w:fill="E2E2E2"/>
            <w:tcMar>
              <w:top w:w="40" w:type="dxa"/>
              <w:left w:w="40" w:type="dxa"/>
              <w:bottom w:w="40" w:type="dxa"/>
            </w:tcMar>
            <w:vAlign w:val="bottom"/>
          </w:tcPr>
          <w:p w14:paraId="0BC9A3E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w:t>
            </w:r>
          </w:p>
        </w:tc>
        <w:tc>
          <w:tcPr>
            <w:tcW w:w="0" w:type="auto"/>
            <w:shd w:val="clear" w:color="auto" w:fill="E2E2E2"/>
            <w:vAlign w:val="bottom"/>
          </w:tcPr>
          <w:p w14:paraId="0BC9A3E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3F0"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A3F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w:t>
            </w:r>
          </w:p>
        </w:tc>
        <w:tc>
          <w:tcPr>
            <w:tcW w:w="0" w:type="auto"/>
            <w:shd w:val="clear" w:color="auto" w:fill="E2E2E2"/>
            <w:vAlign w:val="bottom"/>
          </w:tcPr>
          <w:p w14:paraId="0BC9A3F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3F3"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A3F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w:t>
            </w:r>
          </w:p>
        </w:tc>
        <w:tc>
          <w:tcPr>
            <w:tcW w:w="0" w:type="auto"/>
            <w:shd w:val="clear" w:color="auto" w:fill="E2E2E2"/>
            <w:tcMar>
              <w:top w:w="40" w:type="dxa"/>
              <w:bottom w:w="40" w:type="dxa"/>
              <w:right w:w="40" w:type="dxa"/>
            </w:tcMar>
            <w:vAlign w:val="bottom"/>
          </w:tcPr>
          <w:p w14:paraId="0BC9A3F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400" w14:textId="77777777">
        <w:tc>
          <w:tcPr>
            <w:tcW w:w="0" w:type="auto"/>
            <w:shd w:val="clear" w:color="auto" w:fill="auto"/>
            <w:tcMar>
              <w:top w:w="40" w:type="dxa"/>
              <w:left w:w="400" w:type="dxa"/>
              <w:bottom w:w="40" w:type="dxa"/>
              <w:right w:w="40" w:type="dxa"/>
            </w:tcMar>
            <w:vAlign w:val="bottom"/>
          </w:tcPr>
          <w:p w14:paraId="0BC9A3F7" w14:textId="77777777" w:rsidR="009F0928" w:rsidRDefault="002112BD">
            <w:pPr>
              <w:textAlignment w:val="bottom"/>
              <w:rPr>
                <w:rFonts w:ascii="Times New Roman" w:hAnsi="Times New Roman"/>
                <w:sz w:val="18"/>
                <w:szCs w:val="18"/>
              </w:rPr>
            </w:pPr>
            <w:r>
              <w:rPr>
                <w:rFonts w:ascii="Arial" w:eastAsia="宋体" w:hAnsi="Arial" w:cs="Arial"/>
                <w:sz w:val="18"/>
                <w:szCs w:val="18"/>
              </w:rPr>
              <w:t>Foreign</w:t>
            </w:r>
          </w:p>
        </w:tc>
        <w:tc>
          <w:tcPr>
            <w:tcW w:w="0" w:type="auto"/>
            <w:gridSpan w:val="2"/>
            <w:tcBorders>
              <w:bottom w:val="single" w:sz="8" w:space="0" w:color="000000"/>
            </w:tcBorders>
            <w:shd w:val="clear" w:color="auto" w:fill="auto"/>
            <w:tcMar>
              <w:top w:w="40" w:type="dxa"/>
              <w:left w:w="40" w:type="dxa"/>
              <w:bottom w:w="40" w:type="dxa"/>
            </w:tcMar>
            <w:vAlign w:val="bottom"/>
          </w:tcPr>
          <w:p w14:paraId="0BC9A3F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221</w:t>
            </w:r>
          </w:p>
        </w:tc>
        <w:tc>
          <w:tcPr>
            <w:tcW w:w="0" w:type="auto"/>
            <w:tcBorders>
              <w:bottom w:val="single" w:sz="8" w:space="0" w:color="000000"/>
            </w:tcBorders>
            <w:shd w:val="clear" w:color="auto" w:fill="auto"/>
            <w:vAlign w:val="bottom"/>
          </w:tcPr>
          <w:p w14:paraId="0BC9A3F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3FA"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3F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245</w:t>
            </w:r>
          </w:p>
        </w:tc>
        <w:tc>
          <w:tcPr>
            <w:tcW w:w="0" w:type="auto"/>
            <w:shd w:val="clear" w:color="auto" w:fill="auto"/>
            <w:vAlign w:val="bottom"/>
          </w:tcPr>
          <w:p w14:paraId="0BC9A3F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3FD"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3F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151</w:t>
            </w:r>
          </w:p>
        </w:tc>
        <w:tc>
          <w:tcPr>
            <w:tcW w:w="0" w:type="auto"/>
            <w:shd w:val="clear" w:color="auto" w:fill="auto"/>
            <w:vAlign w:val="bottom"/>
          </w:tcPr>
          <w:p w14:paraId="0BC9A3FF" w14:textId="77777777" w:rsidR="009F0928" w:rsidRDefault="009F0928">
            <w:pPr>
              <w:textAlignment w:val="bottom"/>
              <w:rPr>
                <w:rFonts w:ascii="Times New Roman" w:hAnsi="Times New Roman"/>
                <w:sz w:val="20"/>
                <w:szCs w:val="20"/>
              </w:rPr>
            </w:pPr>
          </w:p>
        </w:tc>
      </w:tr>
      <w:tr w:rsidR="009F0928" w14:paraId="0BC9A40D" w14:textId="77777777">
        <w:tc>
          <w:tcPr>
            <w:tcW w:w="0" w:type="auto"/>
            <w:shd w:val="clear" w:color="auto" w:fill="E2E2E2"/>
            <w:tcMar>
              <w:top w:w="40" w:type="dxa"/>
              <w:left w:w="40" w:type="dxa"/>
              <w:bottom w:w="40" w:type="dxa"/>
              <w:right w:w="40" w:type="dxa"/>
            </w:tcMar>
            <w:vAlign w:val="bottom"/>
          </w:tcPr>
          <w:p w14:paraId="0BC9A40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E2E2E2"/>
            <w:tcMar>
              <w:top w:w="40" w:type="dxa"/>
              <w:left w:w="40" w:type="dxa"/>
              <w:bottom w:w="40" w:type="dxa"/>
            </w:tcMar>
            <w:vAlign w:val="bottom"/>
          </w:tcPr>
          <w:p w14:paraId="0BC9A40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E2E2E2"/>
            <w:tcMar>
              <w:top w:w="40" w:type="dxa"/>
              <w:bottom w:w="40" w:type="dxa"/>
            </w:tcMar>
            <w:vAlign w:val="bottom"/>
          </w:tcPr>
          <w:p w14:paraId="0BC9A40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298</w:t>
            </w:r>
          </w:p>
        </w:tc>
        <w:tc>
          <w:tcPr>
            <w:tcW w:w="0" w:type="auto"/>
            <w:tcBorders>
              <w:top w:val="single" w:sz="8" w:space="0" w:color="000000"/>
              <w:bottom w:val="single" w:sz="8" w:space="0" w:color="000000"/>
            </w:tcBorders>
            <w:shd w:val="clear" w:color="auto" w:fill="E2E2E2"/>
            <w:vAlign w:val="bottom"/>
          </w:tcPr>
          <w:p w14:paraId="0BC9A40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405"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single" w:sz="8" w:space="0" w:color="000000"/>
            </w:tcBorders>
            <w:shd w:val="clear" w:color="auto" w:fill="E2E2E2"/>
            <w:tcMar>
              <w:top w:w="40" w:type="dxa"/>
              <w:left w:w="40" w:type="dxa"/>
              <w:bottom w:w="40" w:type="dxa"/>
            </w:tcMar>
            <w:vAlign w:val="bottom"/>
          </w:tcPr>
          <w:p w14:paraId="0BC9A40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E2E2E2"/>
            <w:tcMar>
              <w:top w:w="40" w:type="dxa"/>
              <w:bottom w:w="40" w:type="dxa"/>
            </w:tcMar>
            <w:vAlign w:val="bottom"/>
          </w:tcPr>
          <w:p w14:paraId="0BC9A40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343</w:t>
            </w:r>
          </w:p>
        </w:tc>
        <w:tc>
          <w:tcPr>
            <w:tcW w:w="0" w:type="auto"/>
            <w:tcBorders>
              <w:top w:val="single" w:sz="8" w:space="0" w:color="000000"/>
              <w:bottom w:val="single" w:sz="8" w:space="0" w:color="000000"/>
            </w:tcBorders>
            <w:shd w:val="clear" w:color="auto" w:fill="E2E2E2"/>
            <w:vAlign w:val="bottom"/>
          </w:tcPr>
          <w:p w14:paraId="0BC9A40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409"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single" w:sz="8" w:space="0" w:color="000000"/>
            </w:tcBorders>
            <w:shd w:val="clear" w:color="auto" w:fill="E2E2E2"/>
            <w:tcMar>
              <w:top w:w="40" w:type="dxa"/>
              <w:left w:w="40" w:type="dxa"/>
              <w:bottom w:w="40" w:type="dxa"/>
            </w:tcMar>
            <w:vAlign w:val="bottom"/>
          </w:tcPr>
          <w:p w14:paraId="0BC9A40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E2E2E2"/>
            <w:tcMar>
              <w:top w:w="40" w:type="dxa"/>
              <w:bottom w:w="40" w:type="dxa"/>
            </w:tcMar>
            <w:vAlign w:val="bottom"/>
          </w:tcPr>
          <w:p w14:paraId="0BC9A40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1,560</w:t>
            </w:r>
          </w:p>
        </w:tc>
        <w:tc>
          <w:tcPr>
            <w:tcW w:w="0" w:type="auto"/>
            <w:tcBorders>
              <w:top w:val="single" w:sz="8" w:space="0" w:color="000000"/>
              <w:bottom w:val="single" w:sz="8" w:space="0" w:color="000000"/>
            </w:tcBorders>
            <w:shd w:val="clear" w:color="auto" w:fill="E2E2E2"/>
            <w:vAlign w:val="bottom"/>
          </w:tcPr>
          <w:p w14:paraId="0BC9A40C" w14:textId="77777777" w:rsidR="009F0928" w:rsidRDefault="009F0928">
            <w:pPr>
              <w:textAlignment w:val="bottom"/>
              <w:rPr>
                <w:rFonts w:ascii="Times New Roman" w:hAnsi="Times New Roman"/>
                <w:sz w:val="20"/>
                <w:szCs w:val="20"/>
              </w:rPr>
            </w:pPr>
          </w:p>
        </w:tc>
      </w:tr>
      <w:tr w:rsidR="009F0928" w14:paraId="0BC9A414" w14:textId="77777777">
        <w:tc>
          <w:tcPr>
            <w:tcW w:w="0" w:type="auto"/>
            <w:shd w:val="clear" w:color="auto" w:fill="auto"/>
            <w:tcMar>
              <w:top w:w="40" w:type="dxa"/>
              <w:left w:w="40" w:type="dxa"/>
              <w:bottom w:w="40" w:type="dxa"/>
              <w:right w:w="40" w:type="dxa"/>
            </w:tcMar>
            <w:vAlign w:val="bottom"/>
          </w:tcPr>
          <w:p w14:paraId="0BC9A40E" w14:textId="77777777" w:rsidR="009F0928" w:rsidRDefault="002112BD">
            <w:pPr>
              <w:textAlignment w:val="bottom"/>
              <w:rPr>
                <w:rFonts w:ascii="Times New Roman" w:hAnsi="Times New Roman"/>
                <w:sz w:val="18"/>
                <w:szCs w:val="18"/>
              </w:rPr>
            </w:pPr>
            <w:r>
              <w:rPr>
                <w:rFonts w:ascii="Arial" w:eastAsia="宋体" w:hAnsi="Arial" w:cs="Arial"/>
                <w:sz w:val="18"/>
                <w:szCs w:val="18"/>
              </w:rPr>
              <w:t>Deferred:</w:t>
            </w:r>
          </w:p>
        </w:tc>
        <w:tc>
          <w:tcPr>
            <w:tcW w:w="0" w:type="auto"/>
            <w:gridSpan w:val="3"/>
            <w:shd w:val="clear" w:color="auto" w:fill="auto"/>
            <w:tcMar>
              <w:top w:w="40" w:type="dxa"/>
              <w:left w:w="40" w:type="dxa"/>
              <w:bottom w:w="40" w:type="dxa"/>
              <w:right w:w="40" w:type="dxa"/>
            </w:tcMar>
            <w:vAlign w:val="bottom"/>
          </w:tcPr>
          <w:p w14:paraId="0BC9A40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410"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shd w:val="clear" w:color="auto" w:fill="auto"/>
            <w:tcMar>
              <w:top w:w="40" w:type="dxa"/>
              <w:left w:w="40" w:type="dxa"/>
              <w:bottom w:w="40" w:type="dxa"/>
              <w:right w:w="40" w:type="dxa"/>
            </w:tcMar>
            <w:vAlign w:val="bottom"/>
          </w:tcPr>
          <w:p w14:paraId="0BC9A41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412"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shd w:val="clear" w:color="auto" w:fill="auto"/>
            <w:tcMar>
              <w:top w:w="40" w:type="dxa"/>
              <w:left w:w="40" w:type="dxa"/>
              <w:bottom w:w="40" w:type="dxa"/>
              <w:right w:w="40" w:type="dxa"/>
            </w:tcMar>
            <w:vAlign w:val="bottom"/>
          </w:tcPr>
          <w:p w14:paraId="0BC9A41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421" w14:textId="77777777">
        <w:tc>
          <w:tcPr>
            <w:tcW w:w="0" w:type="auto"/>
            <w:shd w:val="clear" w:color="auto" w:fill="E2E2E2"/>
            <w:tcMar>
              <w:top w:w="40" w:type="dxa"/>
              <w:left w:w="400" w:type="dxa"/>
              <w:bottom w:w="40" w:type="dxa"/>
              <w:right w:w="40" w:type="dxa"/>
            </w:tcMar>
            <w:vAlign w:val="bottom"/>
          </w:tcPr>
          <w:p w14:paraId="0BC9A415" w14:textId="77777777" w:rsidR="009F0928" w:rsidRDefault="002112BD">
            <w:pPr>
              <w:textAlignment w:val="bottom"/>
              <w:rPr>
                <w:rFonts w:ascii="Times New Roman" w:hAnsi="Times New Roman"/>
                <w:sz w:val="18"/>
                <w:szCs w:val="18"/>
              </w:rPr>
            </w:pPr>
            <w:r>
              <w:rPr>
                <w:rFonts w:ascii="Arial" w:eastAsia="宋体" w:hAnsi="Arial" w:cs="Arial"/>
                <w:sz w:val="18"/>
                <w:szCs w:val="18"/>
              </w:rPr>
              <w:t>Federal</w:t>
            </w:r>
          </w:p>
        </w:tc>
        <w:tc>
          <w:tcPr>
            <w:tcW w:w="0" w:type="auto"/>
            <w:shd w:val="clear" w:color="auto" w:fill="E2E2E2"/>
            <w:tcMar>
              <w:top w:w="40" w:type="dxa"/>
              <w:left w:w="40" w:type="dxa"/>
              <w:bottom w:w="40" w:type="dxa"/>
            </w:tcMar>
            <w:vAlign w:val="bottom"/>
          </w:tcPr>
          <w:p w14:paraId="0BC9A41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41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(269</w:t>
            </w:r>
          </w:p>
        </w:tc>
        <w:tc>
          <w:tcPr>
            <w:tcW w:w="0" w:type="auto"/>
            <w:shd w:val="clear" w:color="auto" w:fill="E2E2E2"/>
            <w:tcMar>
              <w:top w:w="40" w:type="dxa"/>
              <w:bottom w:w="40" w:type="dxa"/>
              <w:right w:w="40" w:type="dxa"/>
            </w:tcMar>
            <w:vAlign w:val="bottom"/>
          </w:tcPr>
          <w:p w14:paraId="0BC9A41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419"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tcMar>
            <w:vAlign w:val="bottom"/>
          </w:tcPr>
          <w:p w14:paraId="0BC9A41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41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(488</w:t>
            </w:r>
          </w:p>
        </w:tc>
        <w:tc>
          <w:tcPr>
            <w:tcW w:w="0" w:type="auto"/>
            <w:shd w:val="clear" w:color="auto" w:fill="E2E2E2"/>
            <w:tcMar>
              <w:top w:w="40" w:type="dxa"/>
              <w:bottom w:w="40" w:type="dxa"/>
              <w:right w:w="40" w:type="dxa"/>
            </w:tcMar>
            <w:vAlign w:val="bottom"/>
          </w:tcPr>
          <w:p w14:paraId="0BC9A41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41D"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tcMar>
            <w:vAlign w:val="bottom"/>
          </w:tcPr>
          <w:p w14:paraId="0BC9A41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41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1,788</w:t>
            </w:r>
          </w:p>
        </w:tc>
        <w:tc>
          <w:tcPr>
            <w:tcW w:w="0" w:type="auto"/>
            <w:shd w:val="clear" w:color="auto" w:fill="E2E2E2"/>
            <w:vAlign w:val="bottom"/>
          </w:tcPr>
          <w:p w14:paraId="0BC9A420" w14:textId="77777777" w:rsidR="009F0928" w:rsidRDefault="009F0928">
            <w:pPr>
              <w:textAlignment w:val="bottom"/>
              <w:rPr>
                <w:rFonts w:ascii="Times New Roman" w:hAnsi="Times New Roman"/>
                <w:sz w:val="20"/>
                <w:szCs w:val="20"/>
              </w:rPr>
            </w:pPr>
          </w:p>
        </w:tc>
      </w:tr>
      <w:tr w:rsidR="009F0928" w14:paraId="0BC9A42B" w14:textId="77777777">
        <w:tc>
          <w:tcPr>
            <w:tcW w:w="0" w:type="auto"/>
            <w:shd w:val="clear" w:color="auto" w:fill="auto"/>
            <w:tcMar>
              <w:top w:w="40" w:type="dxa"/>
              <w:left w:w="400" w:type="dxa"/>
              <w:bottom w:w="40" w:type="dxa"/>
              <w:right w:w="40" w:type="dxa"/>
            </w:tcMar>
            <w:vAlign w:val="bottom"/>
          </w:tcPr>
          <w:p w14:paraId="0BC9A422" w14:textId="77777777" w:rsidR="009F0928" w:rsidRDefault="002112BD">
            <w:pPr>
              <w:textAlignment w:val="bottom"/>
              <w:rPr>
                <w:rFonts w:ascii="Times New Roman" w:hAnsi="Times New Roman"/>
                <w:sz w:val="18"/>
                <w:szCs w:val="18"/>
              </w:rPr>
            </w:pPr>
            <w:r>
              <w:rPr>
                <w:rFonts w:ascii="Arial" w:eastAsia="宋体" w:hAnsi="Arial" w:cs="Arial"/>
                <w:sz w:val="18"/>
                <w:szCs w:val="18"/>
              </w:rPr>
              <w:t>State and local</w:t>
            </w:r>
          </w:p>
        </w:tc>
        <w:tc>
          <w:tcPr>
            <w:tcW w:w="0" w:type="auto"/>
            <w:gridSpan w:val="2"/>
            <w:shd w:val="clear" w:color="auto" w:fill="auto"/>
            <w:tcMar>
              <w:top w:w="40" w:type="dxa"/>
              <w:left w:w="40" w:type="dxa"/>
              <w:bottom w:w="40" w:type="dxa"/>
            </w:tcMar>
            <w:vAlign w:val="bottom"/>
          </w:tcPr>
          <w:p w14:paraId="0BC9A42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(45</w:t>
            </w:r>
          </w:p>
        </w:tc>
        <w:tc>
          <w:tcPr>
            <w:tcW w:w="0" w:type="auto"/>
            <w:shd w:val="clear" w:color="auto" w:fill="auto"/>
            <w:tcMar>
              <w:top w:w="40" w:type="dxa"/>
              <w:bottom w:w="40" w:type="dxa"/>
              <w:right w:w="40" w:type="dxa"/>
            </w:tcMar>
            <w:vAlign w:val="bottom"/>
          </w:tcPr>
          <w:p w14:paraId="0BC9A42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425"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42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w:t>
            </w:r>
          </w:p>
        </w:tc>
        <w:tc>
          <w:tcPr>
            <w:tcW w:w="0" w:type="auto"/>
            <w:shd w:val="clear" w:color="auto" w:fill="auto"/>
            <w:tcMar>
              <w:top w:w="40" w:type="dxa"/>
              <w:bottom w:w="40" w:type="dxa"/>
              <w:right w:w="40" w:type="dxa"/>
            </w:tcMar>
            <w:vAlign w:val="bottom"/>
          </w:tcPr>
          <w:p w14:paraId="0BC9A42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428"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42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w:t>
            </w:r>
          </w:p>
        </w:tc>
        <w:tc>
          <w:tcPr>
            <w:tcW w:w="0" w:type="auto"/>
            <w:shd w:val="clear" w:color="auto" w:fill="auto"/>
            <w:vAlign w:val="bottom"/>
          </w:tcPr>
          <w:p w14:paraId="0BC9A42A" w14:textId="77777777" w:rsidR="009F0928" w:rsidRDefault="009F0928">
            <w:pPr>
              <w:textAlignment w:val="bottom"/>
              <w:rPr>
                <w:rFonts w:ascii="Times New Roman" w:hAnsi="Times New Roman"/>
                <w:sz w:val="20"/>
                <w:szCs w:val="20"/>
              </w:rPr>
            </w:pPr>
          </w:p>
        </w:tc>
      </w:tr>
      <w:tr w:rsidR="009F0928" w14:paraId="0BC9A435" w14:textId="77777777">
        <w:tc>
          <w:tcPr>
            <w:tcW w:w="0" w:type="auto"/>
            <w:shd w:val="clear" w:color="auto" w:fill="E2E2E2"/>
            <w:tcMar>
              <w:top w:w="40" w:type="dxa"/>
              <w:left w:w="400" w:type="dxa"/>
              <w:bottom w:w="40" w:type="dxa"/>
              <w:right w:w="40" w:type="dxa"/>
            </w:tcMar>
            <w:vAlign w:val="bottom"/>
          </w:tcPr>
          <w:p w14:paraId="0BC9A42C" w14:textId="77777777" w:rsidR="009F0928" w:rsidRDefault="002112BD">
            <w:pPr>
              <w:textAlignment w:val="bottom"/>
              <w:rPr>
                <w:rFonts w:ascii="Times New Roman" w:hAnsi="Times New Roman"/>
                <w:sz w:val="18"/>
                <w:szCs w:val="18"/>
              </w:rPr>
            </w:pPr>
            <w:r>
              <w:rPr>
                <w:rFonts w:ascii="Arial" w:eastAsia="宋体" w:hAnsi="Arial" w:cs="Arial"/>
                <w:sz w:val="18"/>
                <w:szCs w:val="18"/>
              </w:rPr>
              <w:t>Foreign</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42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431</w:t>
            </w:r>
          </w:p>
        </w:tc>
        <w:tc>
          <w:tcPr>
            <w:tcW w:w="0" w:type="auto"/>
            <w:tcBorders>
              <w:bottom w:val="single" w:sz="8" w:space="0" w:color="000000"/>
            </w:tcBorders>
            <w:shd w:val="clear" w:color="auto" w:fill="E2E2E2"/>
            <w:vAlign w:val="bottom"/>
          </w:tcPr>
          <w:p w14:paraId="0BC9A42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42F"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43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345</w:t>
            </w:r>
          </w:p>
        </w:tc>
        <w:tc>
          <w:tcPr>
            <w:tcW w:w="0" w:type="auto"/>
            <w:tcBorders>
              <w:bottom w:val="single" w:sz="8" w:space="0" w:color="000000"/>
            </w:tcBorders>
            <w:shd w:val="clear" w:color="auto" w:fill="E2E2E2"/>
            <w:vAlign w:val="bottom"/>
          </w:tcPr>
          <w:p w14:paraId="0BC9A43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432"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43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(64</w:t>
            </w:r>
          </w:p>
        </w:tc>
        <w:tc>
          <w:tcPr>
            <w:tcW w:w="0" w:type="auto"/>
            <w:tcBorders>
              <w:bottom w:val="single" w:sz="8" w:space="0" w:color="000000"/>
            </w:tcBorders>
            <w:shd w:val="clear" w:color="auto" w:fill="E2E2E2"/>
            <w:tcMar>
              <w:top w:w="40" w:type="dxa"/>
              <w:bottom w:w="40" w:type="dxa"/>
              <w:right w:w="40" w:type="dxa"/>
            </w:tcMar>
            <w:vAlign w:val="bottom"/>
          </w:tcPr>
          <w:p w14:paraId="0BC9A43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43F" w14:textId="77777777">
        <w:tc>
          <w:tcPr>
            <w:tcW w:w="0" w:type="auto"/>
            <w:shd w:val="clear" w:color="auto" w:fill="auto"/>
            <w:tcMar>
              <w:top w:w="40" w:type="dxa"/>
              <w:left w:w="40" w:type="dxa"/>
              <w:bottom w:w="40" w:type="dxa"/>
              <w:right w:w="40" w:type="dxa"/>
            </w:tcMar>
            <w:vAlign w:val="bottom"/>
          </w:tcPr>
          <w:p w14:paraId="0BC9A4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43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117</w:t>
            </w:r>
          </w:p>
        </w:tc>
        <w:tc>
          <w:tcPr>
            <w:tcW w:w="0" w:type="auto"/>
            <w:shd w:val="clear" w:color="auto" w:fill="auto"/>
            <w:vAlign w:val="bottom"/>
          </w:tcPr>
          <w:p w14:paraId="0BC9A43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439"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43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(153</w:t>
            </w:r>
          </w:p>
        </w:tc>
        <w:tc>
          <w:tcPr>
            <w:tcW w:w="0" w:type="auto"/>
            <w:shd w:val="clear" w:color="auto" w:fill="auto"/>
            <w:tcMar>
              <w:top w:w="40" w:type="dxa"/>
              <w:bottom w:w="40" w:type="dxa"/>
              <w:right w:w="40" w:type="dxa"/>
            </w:tcMar>
            <w:vAlign w:val="bottom"/>
          </w:tcPr>
          <w:p w14:paraId="0BC9A43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43C"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43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1,728</w:t>
            </w:r>
          </w:p>
        </w:tc>
        <w:tc>
          <w:tcPr>
            <w:tcW w:w="0" w:type="auto"/>
            <w:shd w:val="clear" w:color="auto" w:fill="auto"/>
            <w:vAlign w:val="bottom"/>
          </w:tcPr>
          <w:p w14:paraId="0BC9A43E" w14:textId="77777777" w:rsidR="009F0928" w:rsidRDefault="009F0928">
            <w:pPr>
              <w:textAlignment w:val="bottom"/>
              <w:rPr>
                <w:rFonts w:ascii="Times New Roman" w:hAnsi="Times New Roman"/>
                <w:sz w:val="20"/>
                <w:szCs w:val="20"/>
              </w:rPr>
            </w:pPr>
          </w:p>
        </w:tc>
      </w:tr>
      <w:tr w:rsidR="009F0928" w14:paraId="0BC9A44C" w14:textId="77777777">
        <w:tc>
          <w:tcPr>
            <w:tcW w:w="0" w:type="auto"/>
            <w:shd w:val="clear" w:color="auto" w:fill="E2E2E2"/>
            <w:tcMar>
              <w:top w:w="40" w:type="dxa"/>
              <w:left w:w="40" w:type="dxa"/>
              <w:bottom w:w="40" w:type="dxa"/>
              <w:right w:w="40" w:type="dxa"/>
            </w:tcMar>
            <w:vAlign w:val="bottom"/>
          </w:tcPr>
          <w:p w14:paraId="0BC9A44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44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44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415</w:t>
            </w:r>
          </w:p>
        </w:tc>
        <w:tc>
          <w:tcPr>
            <w:tcW w:w="0" w:type="auto"/>
            <w:tcBorders>
              <w:top w:val="single" w:sz="8" w:space="0" w:color="000000"/>
              <w:bottom w:val="double" w:sz="6" w:space="0" w:color="000000"/>
            </w:tcBorders>
            <w:shd w:val="clear" w:color="auto" w:fill="E2E2E2"/>
            <w:vAlign w:val="bottom"/>
          </w:tcPr>
          <w:p w14:paraId="0BC9A44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444"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44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44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190</w:t>
            </w:r>
          </w:p>
        </w:tc>
        <w:tc>
          <w:tcPr>
            <w:tcW w:w="0" w:type="auto"/>
            <w:tcBorders>
              <w:top w:val="single" w:sz="8" w:space="0" w:color="000000"/>
              <w:bottom w:val="double" w:sz="6" w:space="0" w:color="000000"/>
            </w:tcBorders>
            <w:shd w:val="clear" w:color="auto" w:fill="E2E2E2"/>
            <w:vAlign w:val="bottom"/>
          </w:tcPr>
          <w:p w14:paraId="0BC9A44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448"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44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44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3,288</w:t>
            </w:r>
          </w:p>
        </w:tc>
        <w:tc>
          <w:tcPr>
            <w:tcW w:w="0" w:type="auto"/>
            <w:tcBorders>
              <w:top w:val="single" w:sz="8" w:space="0" w:color="000000"/>
              <w:bottom w:val="double" w:sz="6" w:space="0" w:color="000000"/>
            </w:tcBorders>
            <w:shd w:val="clear" w:color="auto" w:fill="E2E2E2"/>
            <w:vAlign w:val="bottom"/>
          </w:tcPr>
          <w:p w14:paraId="0BC9A44B" w14:textId="77777777" w:rsidR="009F0928" w:rsidRDefault="009F0928">
            <w:pPr>
              <w:textAlignment w:val="bottom"/>
              <w:rPr>
                <w:rFonts w:ascii="Times New Roman" w:hAnsi="Times New Roman"/>
                <w:sz w:val="20"/>
                <w:szCs w:val="20"/>
              </w:rPr>
            </w:pPr>
          </w:p>
        </w:tc>
      </w:tr>
    </w:tbl>
    <w:p w14:paraId="0BC9A44D" w14:textId="77777777" w:rsidR="009F0928" w:rsidRDefault="009F0928">
      <w:pPr>
        <w:spacing w:line="288" w:lineRule="auto"/>
        <w:jc w:val="both"/>
        <w:rPr>
          <w:rFonts w:ascii="Times New Roman" w:hAnsi="Times New Roman"/>
          <w:sz w:val="20"/>
          <w:szCs w:val="20"/>
        </w:rPr>
      </w:pPr>
    </w:p>
    <w:p w14:paraId="0BC9A44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following is a reconciliation of the difference between the actual provision for income taxes and the provision computed by applying the federal statutory rate of 21% for 2019 and 2018 and 35% for 2017 to income before income taxes (in millions): </w:t>
      </w:r>
    </w:p>
    <w:tbl>
      <w:tblPr>
        <w:tblW w:w="5000" w:type="pct"/>
        <w:tblCellMar>
          <w:left w:w="0" w:type="dxa"/>
          <w:right w:w="0" w:type="dxa"/>
        </w:tblCellMar>
        <w:tblLook w:val="04A0" w:firstRow="1" w:lastRow="0" w:firstColumn="1" w:lastColumn="0" w:noHBand="0" w:noVBand="1"/>
      </w:tblPr>
      <w:tblGrid>
        <w:gridCol w:w="4986"/>
        <w:gridCol w:w="141"/>
        <w:gridCol w:w="750"/>
        <w:gridCol w:w="100"/>
        <w:gridCol w:w="131"/>
        <w:gridCol w:w="141"/>
        <w:gridCol w:w="751"/>
        <w:gridCol w:w="100"/>
        <w:gridCol w:w="131"/>
        <w:gridCol w:w="141"/>
        <w:gridCol w:w="834"/>
        <w:gridCol w:w="100"/>
      </w:tblGrid>
      <w:tr w:rsidR="009F0928" w14:paraId="0BC9A450" w14:textId="77777777">
        <w:tc>
          <w:tcPr>
            <w:tcW w:w="0" w:type="auto"/>
            <w:gridSpan w:val="12"/>
            <w:shd w:val="clear" w:color="auto" w:fill="auto"/>
            <w:vAlign w:val="center"/>
          </w:tcPr>
          <w:p w14:paraId="0BC9A44F" w14:textId="77777777" w:rsidR="009F0928" w:rsidRDefault="009F0928">
            <w:pPr>
              <w:rPr>
                <w:rFonts w:ascii="Times New Roman" w:hAnsi="Times New Roman"/>
                <w:sz w:val="20"/>
                <w:szCs w:val="20"/>
              </w:rPr>
            </w:pPr>
          </w:p>
        </w:tc>
      </w:tr>
      <w:tr w:rsidR="009F0928" w14:paraId="0BC9A45D" w14:textId="77777777">
        <w:tc>
          <w:tcPr>
            <w:tcW w:w="3050" w:type="pct"/>
            <w:shd w:val="clear" w:color="auto" w:fill="auto"/>
            <w:vAlign w:val="center"/>
          </w:tcPr>
          <w:p w14:paraId="0BC9A451" w14:textId="77777777" w:rsidR="009F0928" w:rsidRDefault="009F0928">
            <w:pPr>
              <w:rPr>
                <w:rFonts w:ascii="Times New Roman" w:hAnsi="Times New Roman"/>
                <w:sz w:val="20"/>
                <w:szCs w:val="20"/>
              </w:rPr>
            </w:pPr>
          </w:p>
        </w:tc>
        <w:tc>
          <w:tcPr>
            <w:tcW w:w="50" w:type="pct"/>
            <w:shd w:val="clear" w:color="auto" w:fill="auto"/>
            <w:vAlign w:val="center"/>
          </w:tcPr>
          <w:p w14:paraId="0BC9A452" w14:textId="77777777" w:rsidR="009F0928" w:rsidRDefault="009F0928">
            <w:pPr>
              <w:rPr>
                <w:rFonts w:ascii="Times New Roman" w:hAnsi="Times New Roman"/>
                <w:sz w:val="20"/>
                <w:szCs w:val="20"/>
              </w:rPr>
            </w:pPr>
          </w:p>
        </w:tc>
        <w:tc>
          <w:tcPr>
            <w:tcW w:w="500" w:type="pct"/>
            <w:shd w:val="clear" w:color="auto" w:fill="auto"/>
            <w:vAlign w:val="center"/>
          </w:tcPr>
          <w:p w14:paraId="0BC9A453" w14:textId="77777777" w:rsidR="009F0928" w:rsidRDefault="009F0928">
            <w:pPr>
              <w:rPr>
                <w:rFonts w:ascii="Times New Roman" w:hAnsi="Times New Roman"/>
                <w:sz w:val="20"/>
                <w:szCs w:val="20"/>
              </w:rPr>
            </w:pPr>
          </w:p>
        </w:tc>
        <w:tc>
          <w:tcPr>
            <w:tcW w:w="50" w:type="pct"/>
            <w:shd w:val="clear" w:color="auto" w:fill="auto"/>
            <w:vAlign w:val="center"/>
          </w:tcPr>
          <w:p w14:paraId="0BC9A454" w14:textId="77777777" w:rsidR="009F0928" w:rsidRDefault="009F0928">
            <w:pPr>
              <w:rPr>
                <w:rFonts w:ascii="Times New Roman" w:hAnsi="Times New Roman"/>
                <w:sz w:val="20"/>
                <w:szCs w:val="20"/>
              </w:rPr>
            </w:pPr>
          </w:p>
        </w:tc>
        <w:tc>
          <w:tcPr>
            <w:tcW w:w="50" w:type="pct"/>
            <w:shd w:val="clear" w:color="auto" w:fill="auto"/>
            <w:vAlign w:val="center"/>
          </w:tcPr>
          <w:p w14:paraId="0BC9A455" w14:textId="77777777" w:rsidR="009F0928" w:rsidRDefault="009F0928">
            <w:pPr>
              <w:rPr>
                <w:rFonts w:ascii="Times New Roman" w:hAnsi="Times New Roman"/>
                <w:sz w:val="20"/>
                <w:szCs w:val="20"/>
              </w:rPr>
            </w:pPr>
          </w:p>
        </w:tc>
        <w:tc>
          <w:tcPr>
            <w:tcW w:w="50" w:type="pct"/>
            <w:shd w:val="clear" w:color="auto" w:fill="auto"/>
            <w:vAlign w:val="center"/>
          </w:tcPr>
          <w:p w14:paraId="0BC9A456" w14:textId="77777777" w:rsidR="009F0928" w:rsidRDefault="009F0928">
            <w:pPr>
              <w:rPr>
                <w:rFonts w:ascii="Times New Roman" w:hAnsi="Times New Roman"/>
                <w:sz w:val="20"/>
                <w:szCs w:val="20"/>
              </w:rPr>
            </w:pPr>
          </w:p>
        </w:tc>
        <w:tc>
          <w:tcPr>
            <w:tcW w:w="500" w:type="pct"/>
            <w:shd w:val="clear" w:color="auto" w:fill="auto"/>
            <w:vAlign w:val="center"/>
          </w:tcPr>
          <w:p w14:paraId="0BC9A457" w14:textId="77777777" w:rsidR="009F0928" w:rsidRDefault="009F0928">
            <w:pPr>
              <w:rPr>
                <w:rFonts w:ascii="Times New Roman" w:hAnsi="Times New Roman"/>
                <w:sz w:val="20"/>
                <w:szCs w:val="20"/>
              </w:rPr>
            </w:pPr>
          </w:p>
        </w:tc>
        <w:tc>
          <w:tcPr>
            <w:tcW w:w="50" w:type="pct"/>
            <w:shd w:val="clear" w:color="auto" w:fill="auto"/>
            <w:vAlign w:val="center"/>
          </w:tcPr>
          <w:p w14:paraId="0BC9A458" w14:textId="77777777" w:rsidR="009F0928" w:rsidRDefault="009F0928">
            <w:pPr>
              <w:rPr>
                <w:rFonts w:ascii="Times New Roman" w:hAnsi="Times New Roman"/>
                <w:sz w:val="20"/>
                <w:szCs w:val="20"/>
              </w:rPr>
            </w:pPr>
          </w:p>
        </w:tc>
        <w:tc>
          <w:tcPr>
            <w:tcW w:w="50" w:type="pct"/>
            <w:shd w:val="clear" w:color="auto" w:fill="auto"/>
            <w:vAlign w:val="center"/>
          </w:tcPr>
          <w:p w14:paraId="0BC9A459" w14:textId="77777777" w:rsidR="009F0928" w:rsidRDefault="009F0928">
            <w:pPr>
              <w:rPr>
                <w:rFonts w:ascii="Times New Roman" w:hAnsi="Times New Roman"/>
                <w:sz w:val="20"/>
                <w:szCs w:val="20"/>
              </w:rPr>
            </w:pPr>
          </w:p>
        </w:tc>
        <w:tc>
          <w:tcPr>
            <w:tcW w:w="50" w:type="pct"/>
            <w:shd w:val="clear" w:color="auto" w:fill="auto"/>
            <w:vAlign w:val="center"/>
          </w:tcPr>
          <w:p w14:paraId="0BC9A45A" w14:textId="77777777" w:rsidR="009F0928" w:rsidRDefault="009F0928">
            <w:pPr>
              <w:rPr>
                <w:rFonts w:ascii="Times New Roman" w:hAnsi="Times New Roman"/>
                <w:sz w:val="20"/>
                <w:szCs w:val="20"/>
              </w:rPr>
            </w:pPr>
          </w:p>
        </w:tc>
        <w:tc>
          <w:tcPr>
            <w:tcW w:w="550" w:type="pct"/>
            <w:shd w:val="clear" w:color="auto" w:fill="auto"/>
            <w:vAlign w:val="center"/>
          </w:tcPr>
          <w:p w14:paraId="0BC9A45B" w14:textId="77777777" w:rsidR="009F0928" w:rsidRDefault="009F0928">
            <w:pPr>
              <w:rPr>
                <w:rFonts w:ascii="Times New Roman" w:hAnsi="Times New Roman"/>
                <w:sz w:val="20"/>
                <w:szCs w:val="20"/>
              </w:rPr>
            </w:pPr>
          </w:p>
        </w:tc>
        <w:tc>
          <w:tcPr>
            <w:tcW w:w="50" w:type="pct"/>
            <w:shd w:val="clear" w:color="auto" w:fill="auto"/>
            <w:vAlign w:val="center"/>
          </w:tcPr>
          <w:p w14:paraId="0BC9A45C" w14:textId="77777777" w:rsidR="009F0928" w:rsidRDefault="009F0928">
            <w:pPr>
              <w:rPr>
                <w:rFonts w:ascii="Times New Roman" w:hAnsi="Times New Roman"/>
                <w:sz w:val="20"/>
                <w:szCs w:val="20"/>
              </w:rPr>
            </w:pPr>
          </w:p>
        </w:tc>
      </w:tr>
      <w:tr w:rsidR="009F0928" w14:paraId="0BC9A460" w14:textId="77777777">
        <w:tc>
          <w:tcPr>
            <w:tcW w:w="0" w:type="auto"/>
            <w:shd w:val="clear" w:color="auto" w:fill="auto"/>
            <w:tcMar>
              <w:top w:w="40" w:type="dxa"/>
              <w:left w:w="400" w:type="dxa"/>
              <w:bottom w:w="40" w:type="dxa"/>
              <w:right w:w="40" w:type="dxa"/>
            </w:tcMar>
            <w:vAlign w:val="bottom"/>
          </w:tcPr>
          <w:p w14:paraId="0BC9A45E"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A45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Year Ended December 31,</w:t>
            </w:r>
          </w:p>
        </w:tc>
      </w:tr>
      <w:tr w:rsidR="009F0928" w14:paraId="0BC9A467" w14:textId="77777777">
        <w:tc>
          <w:tcPr>
            <w:tcW w:w="0" w:type="auto"/>
            <w:shd w:val="clear" w:color="auto" w:fill="auto"/>
            <w:tcMar>
              <w:top w:w="40" w:type="dxa"/>
              <w:left w:w="40" w:type="dxa"/>
              <w:bottom w:w="40" w:type="dxa"/>
              <w:right w:w="40" w:type="dxa"/>
            </w:tcMar>
            <w:vAlign w:val="bottom"/>
          </w:tcPr>
          <w:p w14:paraId="0BC9A461"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A462"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A463"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A464"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0BC9A465"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A46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2017</w:t>
            </w:r>
          </w:p>
        </w:tc>
      </w:tr>
      <w:tr w:rsidR="009F0928" w14:paraId="0BC9A474" w14:textId="77777777">
        <w:tc>
          <w:tcPr>
            <w:tcW w:w="0" w:type="auto"/>
            <w:shd w:val="clear" w:color="auto" w:fill="E2E2E2"/>
            <w:tcMar>
              <w:top w:w="40" w:type="dxa"/>
              <w:left w:w="40" w:type="dxa"/>
              <w:bottom w:w="40" w:type="dxa"/>
              <w:right w:w="40" w:type="dxa"/>
            </w:tcMar>
            <w:vAlign w:val="bottom"/>
          </w:tcPr>
          <w:p w14:paraId="0BC9A468" w14:textId="77777777" w:rsidR="009F0928" w:rsidRDefault="002112BD">
            <w:pPr>
              <w:textAlignment w:val="bottom"/>
              <w:rPr>
                <w:rFonts w:ascii="Times New Roman" w:hAnsi="Times New Roman"/>
                <w:sz w:val="18"/>
                <w:szCs w:val="18"/>
              </w:rPr>
            </w:pPr>
            <w:r>
              <w:rPr>
                <w:rFonts w:ascii="Arial" w:eastAsia="宋体" w:hAnsi="Arial" w:cs="Arial"/>
                <w:sz w:val="18"/>
                <w:szCs w:val="18"/>
              </w:rPr>
              <w:t>Provision at statutory rate</w:t>
            </w:r>
          </w:p>
        </w:tc>
        <w:tc>
          <w:tcPr>
            <w:tcW w:w="0" w:type="auto"/>
            <w:shd w:val="clear" w:color="auto" w:fill="E2E2E2"/>
            <w:tcMar>
              <w:top w:w="40" w:type="dxa"/>
              <w:left w:w="40" w:type="dxa"/>
              <w:bottom w:w="40" w:type="dxa"/>
            </w:tcMar>
            <w:vAlign w:val="bottom"/>
          </w:tcPr>
          <w:p w14:paraId="0BC9A46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46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463</w:t>
            </w:r>
          </w:p>
        </w:tc>
        <w:tc>
          <w:tcPr>
            <w:tcW w:w="0" w:type="auto"/>
            <w:shd w:val="clear" w:color="auto" w:fill="E2E2E2"/>
            <w:vAlign w:val="bottom"/>
          </w:tcPr>
          <w:p w14:paraId="0BC9A46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46C"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tcMar>
            <w:vAlign w:val="bottom"/>
          </w:tcPr>
          <w:p w14:paraId="0BC9A46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46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571</w:t>
            </w:r>
          </w:p>
        </w:tc>
        <w:tc>
          <w:tcPr>
            <w:tcW w:w="0" w:type="auto"/>
            <w:shd w:val="clear" w:color="auto" w:fill="E2E2E2"/>
            <w:vAlign w:val="bottom"/>
          </w:tcPr>
          <w:p w14:paraId="0BC9A46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470"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tcMar>
            <w:vAlign w:val="bottom"/>
          </w:tcPr>
          <w:p w14:paraId="0BC9A47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47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797</w:t>
            </w:r>
          </w:p>
        </w:tc>
        <w:tc>
          <w:tcPr>
            <w:tcW w:w="0" w:type="auto"/>
            <w:shd w:val="clear" w:color="auto" w:fill="E2E2E2"/>
            <w:vAlign w:val="bottom"/>
          </w:tcPr>
          <w:p w14:paraId="0BC9A473" w14:textId="77777777" w:rsidR="009F0928" w:rsidRDefault="009F0928">
            <w:pPr>
              <w:textAlignment w:val="bottom"/>
              <w:rPr>
                <w:rFonts w:ascii="Times New Roman" w:hAnsi="Times New Roman"/>
                <w:sz w:val="20"/>
                <w:szCs w:val="20"/>
              </w:rPr>
            </w:pPr>
          </w:p>
        </w:tc>
      </w:tr>
      <w:tr w:rsidR="009F0928" w14:paraId="0BC9A47E" w14:textId="77777777">
        <w:tc>
          <w:tcPr>
            <w:tcW w:w="0" w:type="auto"/>
            <w:shd w:val="clear" w:color="auto" w:fill="auto"/>
            <w:tcMar>
              <w:top w:w="40" w:type="dxa"/>
              <w:left w:w="400" w:type="dxa"/>
              <w:bottom w:w="40" w:type="dxa"/>
              <w:right w:w="40" w:type="dxa"/>
            </w:tcMar>
            <w:vAlign w:val="bottom"/>
          </w:tcPr>
          <w:p w14:paraId="0BC9A475" w14:textId="77777777" w:rsidR="009F0928" w:rsidRDefault="002112BD">
            <w:pPr>
              <w:textAlignment w:val="bottom"/>
              <w:rPr>
                <w:rFonts w:ascii="Times New Roman" w:hAnsi="Times New Roman"/>
                <w:sz w:val="18"/>
                <w:szCs w:val="18"/>
              </w:rPr>
            </w:pPr>
            <w:r>
              <w:rPr>
                <w:rFonts w:ascii="Arial" w:eastAsia="宋体" w:hAnsi="Arial" w:cs="Arial"/>
                <w:sz w:val="18"/>
                <w:szCs w:val="18"/>
              </w:rPr>
              <w:t>Foreign income taxed at different rates</w:t>
            </w:r>
          </w:p>
        </w:tc>
        <w:tc>
          <w:tcPr>
            <w:tcW w:w="0" w:type="auto"/>
            <w:gridSpan w:val="2"/>
            <w:shd w:val="clear" w:color="auto" w:fill="auto"/>
            <w:tcMar>
              <w:top w:w="40" w:type="dxa"/>
              <w:left w:w="40" w:type="dxa"/>
              <w:bottom w:w="40" w:type="dxa"/>
            </w:tcMar>
            <w:vAlign w:val="bottom"/>
          </w:tcPr>
          <w:p w14:paraId="0BC9A47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31</w:t>
            </w:r>
          </w:p>
        </w:tc>
        <w:tc>
          <w:tcPr>
            <w:tcW w:w="0" w:type="auto"/>
            <w:shd w:val="clear" w:color="auto" w:fill="auto"/>
            <w:vAlign w:val="bottom"/>
          </w:tcPr>
          <w:p w14:paraId="0BC9A47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478"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47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(16</w:t>
            </w:r>
          </w:p>
        </w:tc>
        <w:tc>
          <w:tcPr>
            <w:tcW w:w="0" w:type="auto"/>
            <w:shd w:val="clear" w:color="auto" w:fill="auto"/>
            <w:tcMar>
              <w:top w:w="40" w:type="dxa"/>
              <w:bottom w:w="40" w:type="dxa"/>
              <w:right w:w="40" w:type="dxa"/>
            </w:tcMar>
            <w:vAlign w:val="bottom"/>
          </w:tcPr>
          <w:p w14:paraId="0BC9A47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47B"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47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(217</w:t>
            </w:r>
          </w:p>
        </w:tc>
        <w:tc>
          <w:tcPr>
            <w:tcW w:w="0" w:type="auto"/>
            <w:shd w:val="clear" w:color="auto" w:fill="auto"/>
            <w:tcMar>
              <w:top w:w="40" w:type="dxa"/>
              <w:bottom w:w="40" w:type="dxa"/>
              <w:right w:w="40" w:type="dxa"/>
            </w:tcMar>
            <w:vAlign w:val="bottom"/>
          </w:tcPr>
          <w:p w14:paraId="0BC9A47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488" w14:textId="77777777">
        <w:tc>
          <w:tcPr>
            <w:tcW w:w="0" w:type="auto"/>
            <w:shd w:val="clear" w:color="auto" w:fill="E2E2E2"/>
            <w:tcMar>
              <w:top w:w="40" w:type="dxa"/>
              <w:left w:w="400" w:type="dxa"/>
              <w:bottom w:w="40" w:type="dxa"/>
              <w:right w:w="40" w:type="dxa"/>
            </w:tcMar>
            <w:vAlign w:val="bottom"/>
          </w:tcPr>
          <w:p w14:paraId="0BC9A47F" w14:textId="77777777" w:rsidR="009F0928" w:rsidRDefault="002112BD">
            <w:pPr>
              <w:textAlignment w:val="bottom"/>
              <w:rPr>
                <w:rFonts w:ascii="Times New Roman" w:hAnsi="Times New Roman"/>
                <w:sz w:val="18"/>
                <w:szCs w:val="18"/>
              </w:rPr>
            </w:pPr>
            <w:r>
              <w:rPr>
                <w:rFonts w:ascii="Arial" w:eastAsia="宋体" w:hAnsi="Arial" w:cs="Arial"/>
                <w:sz w:val="18"/>
                <w:szCs w:val="18"/>
              </w:rPr>
              <w:t>Other taxes on foreign operations</w:t>
            </w:r>
          </w:p>
        </w:tc>
        <w:tc>
          <w:tcPr>
            <w:tcW w:w="0" w:type="auto"/>
            <w:gridSpan w:val="2"/>
            <w:shd w:val="clear" w:color="auto" w:fill="E2E2E2"/>
            <w:tcMar>
              <w:top w:w="40" w:type="dxa"/>
              <w:left w:w="40" w:type="dxa"/>
              <w:bottom w:w="40" w:type="dxa"/>
            </w:tcMar>
            <w:vAlign w:val="bottom"/>
          </w:tcPr>
          <w:p w14:paraId="0BC9A48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(155</w:t>
            </w:r>
          </w:p>
        </w:tc>
        <w:tc>
          <w:tcPr>
            <w:tcW w:w="0" w:type="auto"/>
            <w:shd w:val="clear" w:color="auto" w:fill="E2E2E2"/>
            <w:tcMar>
              <w:top w:w="40" w:type="dxa"/>
              <w:bottom w:w="40" w:type="dxa"/>
              <w:right w:w="40" w:type="dxa"/>
            </w:tcMar>
            <w:vAlign w:val="bottom"/>
          </w:tcPr>
          <w:p w14:paraId="0BC9A48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48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48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w:t>
            </w:r>
          </w:p>
        </w:tc>
        <w:tc>
          <w:tcPr>
            <w:tcW w:w="0" w:type="auto"/>
            <w:shd w:val="clear" w:color="auto" w:fill="E2E2E2"/>
            <w:vAlign w:val="bottom"/>
          </w:tcPr>
          <w:p w14:paraId="0BC9A48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48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48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330</w:t>
            </w:r>
          </w:p>
        </w:tc>
        <w:tc>
          <w:tcPr>
            <w:tcW w:w="0" w:type="auto"/>
            <w:shd w:val="clear" w:color="auto" w:fill="E2E2E2"/>
            <w:vAlign w:val="bottom"/>
          </w:tcPr>
          <w:p w14:paraId="0BC9A487" w14:textId="77777777" w:rsidR="009F0928" w:rsidRDefault="009F0928">
            <w:pPr>
              <w:textAlignment w:val="bottom"/>
              <w:rPr>
                <w:rFonts w:ascii="Times New Roman" w:hAnsi="Times New Roman"/>
                <w:sz w:val="20"/>
                <w:szCs w:val="20"/>
              </w:rPr>
            </w:pPr>
          </w:p>
        </w:tc>
      </w:tr>
      <w:tr w:rsidR="009F0928" w14:paraId="0BC9A492" w14:textId="77777777">
        <w:tc>
          <w:tcPr>
            <w:tcW w:w="0" w:type="auto"/>
            <w:shd w:val="clear" w:color="auto" w:fill="auto"/>
            <w:tcMar>
              <w:top w:w="40" w:type="dxa"/>
              <w:left w:w="400" w:type="dxa"/>
              <w:bottom w:w="40" w:type="dxa"/>
              <w:right w:w="40" w:type="dxa"/>
            </w:tcMar>
            <w:vAlign w:val="bottom"/>
          </w:tcPr>
          <w:p w14:paraId="0BC9A489"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Stock-based </w:t>
            </w:r>
            <w:r>
              <w:rPr>
                <w:rFonts w:ascii="Arial" w:eastAsia="宋体" w:hAnsi="Arial" w:cs="Arial"/>
                <w:sz w:val="18"/>
                <w:szCs w:val="18"/>
              </w:rPr>
              <w:t>compensation</w:t>
            </w:r>
          </w:p>
        </w:tc>
        <w:tc>
          <w:tcPr>
            <w:tcW w:w="0" w:type="auto"/>
            <w:gridSpan w:val="2"/>
            <w:shd w:val="clear" w:color="auto" w:fill="auto"/>
            <w:tcMar>
              <w:top w:w="40" w:type="dxa"/>
              <w:left w:w="40" w:type="dxa"/>
              <w:bottom w:w="40" w:type="dxa"/>
            </w:tcMar>
            <w:vAlign w:val="bottom"/>
          </w:tcPr>
          <w:p w14:paraId="0BC9A48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w:t>
            </w:r>
          </w:p>
        </w:tc>
        <w:tc>
          <w:tcPr>
            <w:tcW w:w="0" w:type="auto"/>
            <w:shd w:val="clear" w:color="auto" w:fill="auto"/>
            <w:vAlign w:val="bottom"/>
          </w:tcPr>
          <w:p w14:paraId="0BC9A48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48C"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48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w:t>
            </w:r>
          </w:p>
        </w:tc>
        <w:tc>
          <w:tcPr>
            <w:tcW w:w="0" w:type="auto"/>
            <w:shd w:val="clear" w:color="auto" w:fill="auto"/>
            <w:tcMar>
              <w:top w:w="40" w:type="dxa"/>
              <w:bottom w:w="40" w:type="dxa"/>
              <w:right w:w="40" w:type="dxa"/>
            </w:tcMar>
            <w:vAlign w:val="bottom"/>
          </w:tcPr>
          <w:p w14:paraId="0BC9A48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48F"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49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(33</w:t>
            </w:r>
          </w:p>
        </w:tc>
        <w:tc>
          <w:tcPr>
            <w:tcW w:w="0" w:type="auto"/>
            <w:shd w:val="clear" w:color="auto" w:fill="auto"/>
            <w:tcMar>
              <w:top w:w="40" w:type="dxa"/>
              <w:bottom w:w="40" w:type="dxa"/>
              <w:right w:w="40" w:type="dxa"/>
            </w:tcMar>
            <w:vAlign w:val="bottom"/>
          </w:tcPr>
          <w:p w14:paraId="0BC9A49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49C" w14:textId="77777777">
        <w:tc>
          <w:tcPr>
            <w:tcW w:w="0" w:type="auto"/>
            <w:shd w:val="clear" w:color="auto" w:fill="E2E2E2"/>
            <w:tcMar>
              <w:top w:w="40" w:type="dxa"/>
              <w:left w:w="400" w:type="dxa"/>
              <w:bottom w:w="40" w:type="dxa"/>
              <w:right w:w="40" w:type="dxa"/>
            </w:tcMar>
            <w:vAlign w:val="bottom"/>
          </w:tcPr>
          <w:p w14:paraId="0BC9A493" w14:textId="77777777" w:rsidR="009F0928" w:rsidRDefault="002112BD">
            <w:pPr>
              <w:textAlignment w:val="bottom"/>
              <w:rPr>
                <w:rFonts w:ascii="Times New Roman" w:hAnsi="Times New Roman"/>
                <w:sz w:val="18"/>
                <w:szCs w:val="18"/>
              </w:rPr>
            </w:pPr>
            <w:r>
              <w:rPr>
                <w:rFonts w:ascii="Arial" w:eastAsia="宋体" w:hAnsi="Arial" w:cs="Arial"/>
                <w:sz w:val="18"/>
                <w:szCs w:val="18"/>
              </w:rPr>
              <w:t>State taxes, net of federal benefit</w:t>
            </w:r>
          </w:p>
        </w:tc>
        <w:tc>
          <w:tcPr>
            <w:tcW w:w="0" w:type="auto"/>
            <w:gridSpan w:val="2"/>
            <w:shd w:val="clear" w:color="auto" w:fill="E2E2E2"/>
            <w:tcMar>
              <w:top w:w="40" w:type="dxa"/>
              <w:left w:w="40" w:type="dxa"/>
              <w:bottom w:w="40" w:type="dxa"/>
            </w:tcMar>
            <w:vAlign w:val="bottom"/>
          </w:tcPr>
          <w:p w14:paraId="0BC9A49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(20</w:t>
            </w:r>
          </w:p>
        </w:tc>
        <w:tc>
          <w:tcPr>
            <w:tcW w:w="0" w:type="auto"/>
            <w:shd w:val="clear" w:color="auto" w:fill="E2E2E2"/>
            <w:tcMar>
              <w:top w:w="40" w:type="dxa"/>
              <w:bottom w:w="40" w:type="dxa"/>
              <w:right w:w="40" w:type="dxa"/>
            </w:tcMar>
            <w:vAlign w:val="bottom"/>
          </w:tcPr>
          <w:p w14:paraId="0BC9A49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496"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A49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13</w:t>
            </w:r>
          </w:p>
        </w:tc>
        <w:tc>
          <w:tcPr>
            <w:tcW w:w="0" w:type="auto"/>
            <w:shd w:val="clear" w:color="auto" w:fill="E2E2E2"/>
            <w:vAlign w:val="bottom"/>
          </w:tcPr>
          <w:p w14:paraId="0BC9A49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499"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A49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(13</w:t>
            </w:r>
          </w:p>
        </w:tc>
        <w:tc>
          <w:tcPr>
            <w:tcW w:w="0" w:type="auto"/>
            <w:shd w:val="clear" w:color="auto" w:fill="E2E2E2"/>
            <w:tcMar>
              <w:top w:w="40" w:type="dxa"/>
              <w:bottom w:w="40" w:type="dxa"/>
              <w:right w:w="40" w:type="dxa"/>
            </w:tcMar>
            <w:vAlign w:val="bottom"/>
          </w:tcPr>
          <w:p w14:paraId="0BC9A49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4A6" w14:textId="77777777">
        <w:tc>
          <w:tcPr>
            <w:tcW w:w="0" w:type="auto"/>
            <w:shd w:val="clear" w:color="auto" w:fill="auto"/>
            <w:tcMar>
              <w:top w:w="40" w:type="dxa"/>
              <w:left w:w="400" w:type="dxa"/>
              <w:bottom w:w="40" w:type="dxa"/>
              <w:right w:w="40" w:type="dxa"/>
            </w:tcMar>
            <w:vAlign w:val="bottom"/>
          </w:tcPr>
          <w:p w14:paraId="0BC9A49D" w14:textId="77777777" w:rsidR="009F0928" w:rsidRDefault="002112BD">
            <w:pPr>
              <w:textAlignment w:val="bottom"/>
              <w:rPr>
                <w:rFonts w:ascii="Times New Roman" w:hAnsi="Times New Roman"/>
                <w:sz w:val="18"/>
                <w:szCs w:val="18"/>
              </w:rPr>
            </w:pPr>
            <w:r>
              <w:rPr>
                <w:rFonts w:ascii="Arial" w:eastAsia="宋体" w:hAnsi="Arial" w:cs="Arial"/>
                <w:sz w:val="18"/>
                <w:szCs w:val="18"/>
              </w:rPr>
              <w:t>Research and other tax credits</w:t>
            </w:r>
          </w:p>
        </w:tc>
        <w:tc>
          <w:tcPr>
            <w:tcW w:w="0" w:type="auto"/>
            <w:gridSpan w:val="2"/>
            <w:shd w:val="clear" w:color="auto" w:fill="auto"/>
            <w:tcMar>
              <w:top w:w="40" w:type="dxa"/>
              <w:left w:w="40" w:type="dxa"/>
              <w:bottom w:w="40" w:type="dxa"/>
            </w:tcMar>
            <w:vAlign w:val="bottom"/>
          </w:tcPr>
          <w:p w14:paraId="0BC9A49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(33</w:t>
            </w:r>
          </w:p>
        </w:tc>
        <w:tc>
          <w:tcPr>
            <w:tcW w:w="0" w:type="auto"/>
            <w:shd w:val="clear" w:color="auto" w:fill="auto"/>
            <w:tcMar>
              <w:top w:w="40" w:type="dxa"/>
              <w:bottom w:w="40" w:type="dxa"/>
              <w:right w:w="40" w:type="dxa"/>
            </w:tcMar>
            <w:vAlign w:val="bottom"/>
          </w:tcPr>
          <w:p w14:paraId="0BC9A49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4A0"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4A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(30</w:t>
            </w:r>
          </w:p>
        </w:tc>
        <w:tc>
          <w:tcPr>
            <w:tcW w:w="0" w:type="auto"/>
            <w:shd w:val="clear" w:color="auto" w:fill="auto"/>
            <w:tcMar>
              <w:top w:w="40" w:type="dxa"/>
              <w:bottom w:w="40" w:type="dxa"/>
              <w:right w:w="40" w:type="dxa"/>
            </w:tcMar>
            <w:vAlign w:val="bottom"/>
          </w:tcPr>
          <w:p w14:paraId="0BC9A4A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4A3"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4A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(35</w:t>
            </w:r>
          </w:p>
        </w:tc>
        <w:tc>
          <w:tcPr>
            <w:tcW w:w="0" w:type="auto"/>
            <w:shd w:val="clear" w:color="auto" w:fill="auto"/>
            <w:tcMar>
              <w:top w:w="40" w:type="dxa"/>
              <w:bottom w:w="40" w:type="dxa"/>
              <w:right w:w="40" w:type="dxa"/>
            </w:tcMar>
            <w:vAlign w:val="bottom"/>
          </w:tcPr>
          <w:p w14:paraId="0BC9A4A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4B0" w14:textId="77777777">
        <w:tc>
          <w:tcPr>
            <w:tcW w:w="0" w:type="auto"/>
            <w:shd w:val="clear" w:color="auto" w:fill="E2E2E2"/>
            <w:tcMar>
              <w:top w:w="40" w:type="dxa"/>
              <w:left w:w="400" w:type="dxa"/>
              <w:bottom w:w="40" w:type="dxa"/>
              <w:right w:w="40" w:type="dxa"/>
            </w:tcMar>
            <w:vAlign w:val="bottom"/>
          </w:tcPr>
          <w:p w14:paraId="0BC9A4A7" w14:textId="77777777" w:rsidR="009F0928" w:rsidRDefault="002112BD">
            <w:pPr>
              <w:textAlignment w:val="bottom"/>
              <w:rPr>
                <w:rFonts w:ascii="Times New Roman" w:hAnsi="Times New Roman"/>
                <w:sz w:val="18"/>
                <w:szCs w:val="18"/>
              </w:rPr>
            </w:pPr>
            <w:r>
              <w:rPr>
                <w:rFonts w:ascii="Arial" w:eastAsia="宋体" w:hAnsi="Arial" w:cs="Arial"/>
                <w:sz w:val="18"/>
                <w:szCs w:val="18"/>
              </w:rPr>
              <w:t>Tax basis step-up resulting from realignment</w:t>
            </w:r>
          </w:p>
        </w:tc>
        <w:tc>
          <w:tcPr>
            <w:tcW w:w="0" w:type="auto"/>
            <w:gridSpan w:val="2"/>
            <w:shd w:val="clear" w:color="auto" w:fill="E2E2E2"/>
            <w:tcMar>
              <w:top w:w="40" w:type="dxa"/>
              <w:left w:w="40" w:type="dxa"/>
              <w:bottom w:w="40" w:type="dxa"/>
            </w:tcMar>
            <w:vAlign w:val="bottom"/>
          </w:tcPr>
          <w:p w14:paraId="0BC9A4A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199</w:t>
            </w:r>
          </w:p>
        </w:tc>
        <w:tc>
          <w:tcPr>
            <w:tcW w:w="0" w:type="auto"/>
            <w:shd w:val="clear" w:color="auto" w:fill="E2E2E2"/>
            <w:vAlign w:val="bottom"/>
          </w:tcPr>
          <w:p w14:paraId="0BC9A4A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4A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4A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w:t>
            </w:r>
          </w:p>
        </w:tc>
        <w:tc>
          <w:tcPr>
            <w:tcW w:w="0" w:type="auto"/>
            <w:shd w:val="clear" w:color="auto" w:fill="E2E2E2"/>
            <w:tcMar>
              <w:top w:w="40" w:type="dxa"/>
              <w:bottom w:w="40" w:type="dxa"/>
              <w:right w:w="40" w:type="dxa"/>
            </w:tcMar>
            <w:vAlign w:val="bottom"/>
          </w:tcPr>
          <w:p w14:paraId="0BC9A4A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4A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4A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(695</w:t>
            </w:r>
          </w:p>
        </w:tc>
        <w:tc>
          <w:tcPr>
            <w:tcW w:w="0" w:type="auto"/>
            <w:shd w:val="clear" w:color="auto" w:fill="E2E2E2"/>
            <w:tcMar>
              <w:top w:w="40" w:type="dxa"/>
              <w:bottom w:w="40" w:type="dxa"/>
              <w:right w:w="40" w:type="dxa"/>
            </w:tcMar>
            <w:vAlign w:val="bottom"/>
          </w:tcPr>
          <w:p w14:paraId="0BC9A4A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4BA" w14:textId="77777777">
        <w:tc>
          <w:tcPr>
            <w:tcW w:w="0" w:type="auto"/>
            <w:shd w:val="clear" w:color="auto" w:fill="auto"/>
            <w:tcMar>
              <w:top w:w="40" w:type="dxa"/>
              <w:left w:w="400" w:type="dxa"/>
              <w:bottom w:w="40" w:type="dxa"/>
              <w:right w:w="40" w:type="dxa"/>
            </w:tcMar>
            <w:vAlign w:val="bottom"/>
          </w:tcPr>
          <w:p w14:paraId="0BC9A4B1" w14:textId="77777777" w:rsidR="009F0928" w:rsidRDefault="002112BD">
            <w:pPr>
              <w:textAlignment w:val="bottom"/>
              <w:rPr>
                <w:rFonts w:ascii="Times New Roman" w:hAnsi="Times New Roman"/>
                <w:sz w:val="18"/>
                <w:szCs w:val="18"/>
              </w:rPr>
            </w:pPr>
            <w:r>
              <w:rPr>
                <w:rFonts w:ascii="Arial" w:eastAsia="宋体" w:hAnsi="Arial" w:cs="Arial"/>
                <w:sz w:val="18"/>
                <w:szCs w:val="18"/>
              </w:rPr>
              <w:t>Impact of tax rate change</w:t>
            </w:r>
          </w:p>
        </w:tc>
        <w:tc>
          <w:tcPr>
            <w:tcW w:w="0" w:type="auto"/>
            <w:gridSpan w:val="2"/>
            <w:shd w:val="clear" w:color="auto" w:fill="auto"/>
            <w:tcMar>
              <w:top w:w="40" w:type="dxa"/>
              <w:left w:w="40" w:type="dxa"/>
              <w:bottom w:w="40" w:type="dxa"/>
            </w:tcMar>
            <w:vAlign w:val="bottom"/>
          </w:tcPr>
          <w:p w14:paraId="0BC9A4B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(19</w:t>
            </w:r>
          </w:p>
        </w:tc>
        <w:tc>
          <w:tcPr>
            <w:tcW w:w="0" w:type="auto"/>
            <w:shd w:val="clear" w:color="auto" w:fill="auto"/>
            <w:tcMar>
              <w:top w:w="40" w:type="dxa"/>
              <w:bottom w:w="40" w:type="dxa"/>
              <w:right w:w="40" w:type="dxa"/>
            </w:tcMar>
            <w:vAlign w:val="bottom"/>
          </w:tcPr>
          <w:p w14:paraId="0BC9A4B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4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4B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108</w:t>
            </w:r>
          </w:p>
        </w:tc>
        <w:tc>
          <w:tcPr>
            <w:tcW w:w="0" w:type="auto"/>
            <w:shd w:val="clear" w:color="auto" w:fill="auto"/>
            <w:vAlign w:val="bottom"/>
          </w:tcPr>
          <w:p w14:paraId="0BC9A4B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4B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4B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A4B9" w14:textId="77777777" w:rsidR="009F0928" w:rsidRDefault="009F0928">
            <w:pPr>
              <w:textAlignment w:val="bottom"/>
              <w:rPr>
                <w:rFonts w:ascii="Times New Roman" w:hAnsi="Times New Roman"/>
                <w:sz w:val="20"/>
                <w:szCs w:val="20"/>
              </w:rPr>
            </w:pPr>
          </w:p>
        </w:tc>
      </w:tr>
      <w:tr w:rsidR="009F0928" w14:paraId="0BC9A4C4" w14:textId="77777777">
        <w:tc>
          <w:tcPr>
            <w:tcW w:w="0" w:type="auto"/>
            <w:shd w:val="clear" w:color="auto" w:fill="E2E2E2"/>
            <w:tcMar>
              <w:top w:w="40" w:type="dxa"/>
              <w:left w:w="400" w:type="dxa"/>
              <w:bottom w:w="40" w:type="dxa"/>
              <w:right w:w="40" w:type="dxa"/>
            </w:tcMar>
            <w:vAlign w:val="bottom"/>
          </w:tcPr>
          <w:p w14:paraId="0BC9A4BB" w14:textId="77777777" w:rsidR="009F0928" w:rsidRDefault="002112BD">
            <w:pPr>
              <w:textAlignment w:val="bottom"/>
              <w:rPr>
                <w:rFonts w:ascii="Times New Roman" w:hAnsi="Times New Roman"/>
                <w:sz w:val="18"/>
                <w:szCs w:val="18"/>
              </w:rPr>
            </w:pPr>
            <w:r>
              <w:rPr>
                <w:rFonts w:ascii="Arial" w:eastAsia="宋体" w:hAnsi="Arial" w:cs="Arial"/>
                <w:sz w:val="18"/>
                <w:szCs w:val="18"/>
              </w:rPr>
              <w:t>U.S. tax reform</w:t>
            </w:r>
          </w:p>
        </w:tc>
        <w:tc>
          <w:tcPr>
            <w:tcW w:w="0" w:type="auto"/>
            <w:gridSpan w:val="2"/>
            <w:shd w:val="clear" w:color="auto" w:fill="E2E2E2"/>
            <w:tcMar>
              <w:top w:w="40" w:type="dxa"/>
              <w:left w:w="40" w:type="dxa"/>
              <w:bottom w:w="40" w:type="dxa"/>
            </w:tcMar>
            <w:vAlign w:val="bottom"/>
          </w:tcPr>
          <w:p w14:paraId="0BC9A4B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4B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4B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4B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(463</w:t>
            </w:r>
          </w:p>
        </w:tc>
        <w:tc>
          <w:tcPr>
            <w:tcW w:w="0" w:type="auto"/>
            <w:shd w:val="clear" w:color="auto" w:fill="E2E2E2"/>
            <w:tcMar>
              <w:top w:w="40" w:type="dxa"/>
              <w:bottom w:w="40" w:type="dxa"/>
              <w:right w:w="40" w:type="dxa"/>
            </w:tcMar>
            <w:vAlign w:val="bottom"/>
          </w:tcPr>
          <w:p w14:paraId="0BC9A4C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4C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4C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3,142</w:t>
            </w:r>
          </w:p>
        </w:tc>
        <w:tc>
          <w:tcPr>
            <w:tcW w:w="0" w:type="auto"/>
            <w:shd w:val="clear" w:color="auto" w:fill="E2E2E2"/>
            <w:vAlign w:val="bottom"/>
          </w:tcPr>
          <w:p w14:paraId="0BC9A4C3" w14:textId="77777777" w:rsidR="009F0928" w:rsidRDefault="009F0928">
            <w:pPr>
              <w:textAlignment w:val="bottom"/>
              <w:rPr>
                <w:rFonts w:ascii="Times New Roman" w:hAnsi="Times New Roman"/>
                <w:sz w:val="20"/>
                <w:szCs w:val="20"/>
              </w:rPr>
            </w:pPr>
          </w:p>
        </w:tc>
      </w:tr>
      <w:tr w:rsidR="009F0928" w14:paraId="0BC9A4CE" w14:textId="77777777">
        <w:tc>
          <w:tcPr>
            <w:tcW w:w="0" w:type="auto"/>
            <w:shd w:val="clear" w:color="auto" w:fill="auto"/>
            <w:tcMar>
              <w:top w:w="40" w:type="dxa"/>
              <w:left w:w="400" w:type="dxa"/>
              <w:bottom w:w="40" w:type="dxa"/>
              <w:right w:w="40" w:type="dxa"/>
            </w:tcMar>
            <w:vAlign w:val="bottom"/>
          </w:tcPr>
          <w:p w14:paraId="0BC9A4C5" w14:textId="77777777" w:rsidR="009F0928" w:rsidRDefault="002112BD">
            <w:pPr>
              <w:textAlignment w:val="bottom"/>
              <w:rPr>
                <w:rFonts w:ascii="Times New Roman" w:hAnsi="Times New Roman"/>
                <w:sz w:val="18"/>
                <w:szCs w:val="18"/>
              </w:rPr>
            </w:pPr>
            <w:r>
              <w:rPr>
                <w:rFonts w:ascii="Arial" w:eastAsia="宋体" w:hAnsi="Arial" w:cs="Arial"/>
                <w:sz w:val="18"/>
                <w:szCs w:val="18"/>
              </w:rPr>
              <w:t>Effective settlement of audits</w:t>
            </w:r>
          </w:p>
        </w:tc>
        <w:tc>
          <w:tcPr>
            <w:tcW w:w="0" w:type="auto"/>
            <w:gridSpan w:val="2"/>
            <w:shd w:val="clear" w:color="auto" w:fill="auto"/>
            <w:tcMar>
              <w:top w:w="40" w:type="dxa"/>
              <w:left w:w="40" w:type="dxa"/>
              <w:bottom w:w="40" w:type="dxa"/>
            </w:tcMar>
            <w:vAlign w:val="bottom"/>
          </w:tcPr>
          <w:p w14:paraId="0BC9A4C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(71</w:t>
            </w:r>
          </w:p>
        </w:tc>
        <w:tc>
          <w:tcPr>
            <w:tcW w:w="0" w:type="auto"/>
            <w:shd w:val="clear" w:color="auto" w:fill="auto"/>
            <w:tcMar>
              <w:top w:w="40" w:type="dxa"/>
              <w:bottom w:w="40" w:type="dxa"/>
              <w:right w:w="40" w:type="dxa"/>
            </w:tcMar>
            <w:vAlign w:val="bottom"/>
          </w:tcPr>
          <w:p w14:paraId="0BC9A4C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4C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4C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A4C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4C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4C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A4CD" w14:textId="77777777" w:rsidR="009F0928" w:rsidRDefault="009F0928">
            <w:pPr>
              <w:textAlignment w:val="bottom"/>
              <w:rPr>
                <w:rFonts w:ascii="Times New Roman" w:hAnsi="Times New Roman"/>
                <w:sz w:val="20"/>
                <w:szCs w:val="20"/>
              </w:rPr>
            </w:pPr>
          </w:p>
        </w:tc>
      </w:tr>
      <w:tr w:rsidR="009F0928" w14:paraId="0BC9A4D8" w14:textId="77777777">
        <w:tc>
          <w:tcPr>
            <w:tcW w:w="0" w:type="auto"/>
            <w:shd w:val="clear" w:color="auto" w:fill="E2E2E2"/>
            <w:tcMar>
              <w:top w:w="40" w:type="dxa"/>
              <w:left w:w="400" w:type="dxa"/>
              <w:bottom w:w="40" w:type="dxa"/>
              <w:right w:w="40" w:type="dxa"/>
            </w:tcMar>
            <w:vAlign w:val="bottom"/>
          </w:tcPr>
          <w:p w14:paraId="0BC9A4CF" w14:textId="77777777" w:rsidR="009F0928" w:rsidRDefault="002112BD">
            <w:pPr>
              <w:textAlignment w:val="bottom"/>
              <w:rPr>
                <w:rFonts w:ascii="Times New Roman" w:hAnsi="Times New Roman"/>
                <w:sz w:val="18"/>
                <w:szCs w:val="18"/>
              </w:rPr>
            </w:pPr>
            <w:r>
              <w:rPr>
                <w:rFonts w:ascii="Arial" w:eastAsia="宋体" w:hAnsi="Arial" w:cs="Arial"/>
                <w:sz w:val="18"/>
                <w:szCs w:val="18"/>
              </w:rPr>
              <w:t>Other</w:t>
            </w:r>
          </w:p>
        </w:tc>
        <w:tc>
          <w:tcPr>
            <w:tcW w:w="0" w:type="auto"/>
            <w:gridSpan w:val="2"/>
            <w:shd w:val="clear" w:color="auto" w:fill="E2E2E2"/>
            <w:tcMar>
              <w:top w:w="40" w:type="dxa"/>
              <w:left w:w="40" w:type="dxa"/>
              <w:bottom w:w="40" w:type="dxa"/>
            </w:tcMar>
            <w:vAlign w:val="bottom"/>
          </w:tcPr>
          <w:p w14:paraId="0BC9A4D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w:t>
            </w:r>
          </w:p>
        </w:tc>
        <w:tc>
          <w:tcPr>
            <w:tcW w:w="0" w:type="auto"/>
            <w:shd w:val="clear" w:color="auto" w:fill="E2E2E2"/>
            <w:vAlign w:val="bottom"/>
          </w:tcPr>
          <w:p w14:paraId="0BC9A4D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4D2"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A4D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w:t>
            </w:r>
          </w:p>
        </w:tc>
        <w:tc>
          <w:tcPr>
            <w:tcW w:w="0" w:type="auto"/>
            <w:shd w:val="clear" w:color="auto" w:fill="E2E2E2"/>
            <w:tcMar>
              <w:top w:w="40" w:type="dxa"/>
              <w:bottom w:w="40" w:type="dxa"/>
              <w:right w:w="40" w:type="dxa"/>
            </w:tcMar>
            <w:vAlign w:val="bottom"/>
          </w:tcPr>
          <w:p w14:paraId="0BC9A4D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4D5"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A4D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12</w:t>
            </w:r>
          </w:p>
        </w:tc>
        <w:tc>
          <w:tcPr>
            <w:tcW w:w="0" w:type="auto"/>
            <w:shd w:val="clear" w:color="auto" w:fill="E2E2E2"/>
            <w:vAlign w:val="bottom"/>
          </w:tcPr>
          <w:p w14:paraId="0BC9A4D7" w14:textId="77777777" w:rsidR="009F0928" w:rsidRDefault="009F0928">
            <w:pPr>
              <w:textAlignment w:val="bottom"/>
              <w:rPr>
                <w:rFonts w:ascii="Times New Roman" w:hAnsi="Times New Roman"/>
                <w:sz w:val="20"/>
                <w:szCs w:val="20"/>
              </w:rPr>
            </w:pPr>
          </w:p>
        </w:tc>
      </w:tr>
      <w:tr w:rsidR="009F0928" w14:paraId="0BC9A4E5" w14:textId="77777777">
        <w:tc>
          <w:tcPr>
            <w:tcW w:w="0" w:type="auto"/>
            <w:shd w:val="clear" w:color="auto" w:fill="auto"/>
            <w:tcMar>
              <w:top w:w="40" w:type="dxa"/>
              <w:left w:w="40" w:type="dxa"/>
              <w:bottom w:w="40" w:type="dxa"/>
              <w:right w:w="40" w:type="dxa"/>
            </w:tcMar>
            <w:vAlign w:val="bottom"/>
          </w:tcPr>
          <w:p w14:paraId="0BC9A4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4D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4D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415</w:t>
            </w:r>
          </w:p>
        </w:tc>
        <w:tc>
          <w:tcPr>
            <w:tcW w:w="0" w:type="auto"/>
            <w:tcBorders>
              <w:top w:val="single" w:sz="8" w:space="0" w:color="000000"/>
              <w:bottom w:val="double" w:sz="6" w:space="0" w:color="000000"/>
            </w:tcBorders>
            <w:shd w:val="clear" w:color="auto" w:fill="auto"/>
            <w:vAlign w:val="bottom"/>
          </w:tcPr>
          <w:p w14:paraId="0BC9A4D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4DD" w14:textId="77777777" w:rsidR="009F0928" w:rsidRDefault="009F0928">
            <w:pPr>
              <w:jc w:val="right"/>
              <w:textAlignment w:val="bottom"/>
              <w:rPr>
                <w:rFonts w:ascii="Times New Roman" w:hAnsi="Times New Roman"/>
                <w:sz w:val="18"/>
                <w:szCs w:val="18"/>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4D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4D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190</w:t>
            </w:r>
          </w:p>
        </w:tc>
        <w:tc>
          <w:tcPr>
            <w:tcW w:w="0" w:type="auto"/>
            <w:tcBorders>
              <w:top w:val="single" w:sz="8" w:space="0" w:color="000000"/>
              <w:bottom w:val="double" w:sz="6" w:space="0" w:color="000000"/>
            </w:tcBorders>
            <w:shd w:val="clear" w:color="auto" w:fill="auto"/>
            <w:vAlign w:val="bottom"/>
          </w:tcPr>
          <w:p w14:paraId="0BC9A4E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4E1" w14:textId="77777777" w:rsidR="009F0928" w:rsidRDefault="009F0928">
            <w:pPr>
              <w:jc w:val="right"/>
              <w:textAlignment w:val="bottom"/>
              <w:rPr>
                <w:rFonts w:ascii="Times New Roman" w:hAnsi="Times New Roman"/>
                <w:sz w:val="18"/>
                <w:szCs w:val="18"/>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4E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4E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3,288</w:t>
            </w:r>
          </w:p>
        </w:tc>
        <w:tc>
          <w:tcPr>
            <w:tcW w:w="0" w:type="auto"/>
            <w:tcBorders>
              <w:top w:val="single" w:sz="8" w:space="0" w:color="000000"/>
              <w:bottom w:val="double" w:sz="6" w:space="0" w:color="000000"/>
            </w:tcBorders>
            <w:shd w:val="clear" w:color="auto" w:fill="auto"/>
            <w:vAlign w:val="bottom"/>
          </w:tcPr>
          <w:p w14:paraId="0BC9A4E4" w14:textId="77777777" w:rsidR="009F0928" w:rsidRDefault="009F0928">
            <w:pPr>
              <w:textAlignment w:val="bottom"/>
              <w:rPr>
                <w:rFonts w:ascii="Times New Roman" w:hAnsi="Times New Roman"/>
                <w:sz w:val="20"/>
                <w:szCs w:val="20"/>
              </w:rPr>
            </w:pPr>
          </w:p>
        </w:tc>
      </w:tr>
    </w:tbl>
    <w:p w14:paraId="0BC9A4E6" w14:textId="77777777" w:rsidR="009F0928" w:rsidRDefault="009F0928">
      <w:pPr>
        <w:spacing w:line="288" w:lineRule="auto"/>
        <w:jc w:val="both"/>
        <w:rPr>
          <w:rFonts w:ascii="Times New Roman" w:hAnsi="Times New Roman"/>
          <w:sz w:val="20"/>
          <w:szCs w:val="20"/>
        </w:rPr>
      </w:pPr>
    </w:p>
    <w:p w14:paraId="0BC9A4E7" w14:textId="77777777" w:rsidR="009F0928" w:rsidRDefault="009F0928">
      <w:pPr>
        <w:spacing w:line="288" w:lineRule="auto"/>
        <w:jc w:val="both"/>
        <w:rPr>
          <w:rFonts w:ascii="Times New Roman" w:hAnsi="Times New Roman"/>
          <w:sz w:val="14"/>
          <w:szCs w:val="14"/>
        </w:rPr>
      </w:pPr>
    </w:p>
    <w:p w14:paraId="0BC9A4E8" w14:textId="77777777" w:rsidR="009F0928" w:rsidRDefault="009F0928">
      <w:pPr>
        <w:spacing w:line="288" w:lineRule="auto"/>
        <w:jc w:val="both"/>
        <w:rPr>
          <w:rFonts w:ascii="Times New Roman" w:hAnsi="Times New Roman"/>
          <w:sz w:val="14"/>
          <w:szCs w:val="14"/>
        </w:rPr>
      </w:pPr>
    </w:p>
    <w:p w14:paraId="0BC9A4E9" w14:textId="77777777" w:rsidR="009F0928" w:rsidRDefault="009F0928">
      <w:pPr>
        <w:rPr>
          <w:rFonts w:ascii="Times New Roman" w:hAnsi="Times New Roman"/>
          <w:sz w:val="20"/>
          <w:szCs w:val="20"/>
        </w:rPr>
      </w:pPr>
    </w:p>
    <w:p w14:paraId="0BC9A4EA"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F-40</w:t>
      </w:r>
    </w:p>
    <w:p w14:paraId="0BC9A4EB" w14:textId="77777777" w:rsidR="009F0928" w:rsidRDefault="002112BD">
      <w:r>
        <w:rPr>
          <w:rFonts w:ascii="Times New Roman" w:hAnsi="Times New Roman"/>
          <w:sz w:val="18"/>
          <w:szCs w:val="18"/>
        </w:rPr>
        <w:pict w14:anchorId="0BC9B522">
          <v:rect id="_x0000_i1126" style="width:415.3pt;height:1.5pt" o:hralign="center" o:hrstd="t" o:hr="t" fillcolor="#a0a0a0" stroked="f"/>
        </w:pict>
      </w:r>
    </w:p>
    <w:p w14:paraId="0BC9A4EC"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A4ED"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A4EE" w14:textId="77777777" w:rsidR="009F0928" w:rsidRDefault="009F0928">
      <w:pPr>
        <w:spacing w:line="288" w:lineRule="auto"/>
        <w:jc w:val="center"/>
        <w:rPr>
          <w:rFonts w:ascii="Times New Roman" w:hAnsi="Times New Roman"/>
          <w:sz w:val="20"/>
          <w:szCs w:val="20"/>
        </w:rPr>
      </w:pPr>
    </w:p>
    <w:p w14:paraId="0BC9A4EF" w14:textId="77777777" w:rsidR="009F0928" w:rsidRDefault="009F0928">
      <w:pPr>
        <w:rPr>
          <w:rFonts w:ascii="Times New Roman" w:hAnsi="Times New Roman"/>
          <w:sz w:val="20"/>
          <w:szCs w:val="20"/>
        </w:rPr>
      </w:pPr>
    </w:p>
    <w:p w14:paraId="0BC9A4F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Deferred tax assets and </w:t>
      </w:r>
      <w:r>
        <w:rPr>
          <w:rFonts w:ascii="Arial" w:eastAsia="宋体" w:hAnsi="Arial" w:cs="Arial"/>
          <w:sz w:val="20"/>
          <w:szCs w:val="20"/>
        </w:rPr>
        <w:t>liabilities are recognized for the future tax consequences of differences between the carrying amounts of assets and liabilities and their respective tax bases using enacted tax rates in effect for the year in which the differences are expected to be rever</w:t>
      </w:r>
      <w:r>
        <w:rPr>
          <w:rFonts w:ascii="Arial" w:eastAsia="宋体" w:hAnsi="Arial" w:cs="Arial"/>
          <w:sz w:val="20"/>
          <w:szCs w:val="20"/>
        </w:rPr>
        <w:t>sed. Significant deferred tax assets and liabilities consist of the following (in millions):</w:t>
      </w:r>
    </w:p>
    <w:tbl>
      <w:tblPr>
        <w:tblW w:w="5000" w:type="pct"/>
        <w:tblCellMar>
          <w:left w:w="0" w:type="dxa"/>
          <w:right w:w="0" w:type="dxa"/>
        </w:tblCellMar>
        <w:tblLook w:val="04A0" w:firstRow="1" w:lastRow="0" w:firstColumn="1" w:lastColumn="0" w:noHBand="0" w:noVBand="1"/>
      </w:tblPr>
      <w:tblGrid>
        <w:gridCol w:w="5997"/>
        <w:gridCol w:w="141"/>
        <w:gridCol w:w="848"/>
        <w:gridCol w:w="100"/>
        <w:gridCol w:w="131"/>
        <w:gridCol w:w="141"/>
        <w:gridCol w:w="848"/>
        <w:gridCol w:w="100"/>
      </w:tblGrid>
      <w:tr w:rsidR="009F0928" w14:paraId="0BC9A4F2" w14:textId="77777777">
        <w:tc>
          <w:tcPr>
            <w:tcW w:w="0" w:type="auto"/>
            <w:gridSpan w:val="8"/>
            <w:shd w:val="clear" w:color="auto" w:fill="auto"/>
            <w:vAlign w:val="center"/>
          </w:tcPr>
          <w:p w14:paraId="0BC9A4F1" w14:textId="77777777" w:rsidR="009F0928" w:rsidRDefault="009F0928">
            <w:pPr>
              <w:rPr>
                <w:rFonts w:ascii="Times New Roman" w:hAnsi="Times New Roman"/>
                <w:sz w:val="20"/>
                <w:szCs w:val="20"/>
              </w:rPr>
            </w:pPr>
          </w:p>
        </w:tc>
      </w:tr>
      <w:tr w:rsidR="009F0928" w14:paraId="0BC9A4FB" w14:textId="77777777">
        <w:tc>
          <w:tcPr>
            <w:tcW w:w="3650" w:type="pct"/>
            <w:shd w:val="clear" w:color="auto" w:fill="auto"/>
            <w:vAlign w:val="center"/>
          </w:tcPr>
          <w:p w14:paraId="0BC9A4F3" w14:textId="77777777" w:rsidR="009F0928" w:rsidRDefault="009F0928">
            <w:pPr>
              <w:rPr>
                <w:rFonts w:ascii="Times New Roman" w:hAnsi="Times New Roman"/>
                <w:sz w:val="20"/>
                <w:szCs w:val="20"/>
              </w:rPr>
            </w:pPr>
          </w:p>
        </w:tc>
        <w:tc>
          <w:tcPr>
            <w:tcW w:w="50" w:type="pct"/>
            <w:shd w:val="clear" w:color="auto" w:fill="auto"/>
            <w:vAlign w:val="center"/>
          </w:tcPr>
          <w:p w14:paraId="0BC9A4F4" w14:textId="77777777" w:rsidR="009F0928" w:rsidRDefault="009F0928">
            <w:pPr>
              <w:rPr>
                <w:rFonts w:ascii="Times New Roman" w:hAnsi="Times New Roman"/>
                <w:sz w:val="20"/>
                <w:szCs w:val="20"/>
              </w:rPr>
            </w:pPr>
          </w:p>
        </w:tc>
        <w:tc>
          <w:tcPr>
            <w:tcW w:w="550" w:type="pct"/>
            <w:shd w:val="clear" w:color="auto" w:fill="auto"/>
            <w:vAlign w:val="center"/>
          </w:tcPr>
          <w:p w14:paraId="0BC9A4F5" w14:textId="77777777" w:rsidR="009F0928" w:rsidRDefault="009F0928">
            <w:pPr>
              <w:rPr>
                <w:rFonts w:ascii="Times New Roman" w:hAnsi="Times New Roman"/>
                <w:sz w:val="20"/>
                <w:szCs w:val="20"/>
              </w:rPr>
            </w:pPr>
          </w:p>
        </w:tc>
        <w:tc>
          <w:tcPr>
            <w:tcW w:w="50" w:type="pct"/>
            <w:shd w:val="clear" w:color="auto" w:fill="auto"/>
            <w:vAlign w:val="center"/>
          </w:tcPr>
          <w:p w14:paraId="0BC9A4F6" w14:textId="77777777" w:rsidR="009F0928" w:rsidRDefault="009F0928">
            <w:pPr>
              <w:rPr>
                <w:rFonts w:ascii="Times New Roman" w:hAnsi="Times New Roman"/>
                <w:sz w:val="20"/>
                <w:szCs w:val="20"/>
              </w:rPr>
            </w:pPr>
          </w:p>
        </w:tc>
        <w:tc>
          <w:tcPr>
            <w:tcW w:w="50" w:type="pct"/>
            <w:shd w:val="clear" w:color="auto" w:fill="auto"/>
            <w:vAlign w:val="center"/>
          </w:tcPr>
          <w:p w14:paraId="0BC9A4F7" w14:textId="77777777" w:rsidR="009F0928" w:rsidRDefault="009F0928">
            <w:pPr>
              <w:rPr>
                <w:rFonts w:ascii="Times New Roman" w:hAnsi="Times New Roman"/>
                <w:sz w:val="20"/>
                <w:szCs w:val="20"/>
              </w:rPr>
            </w:pPr>
          </w:p>
        </w:tc>
        <w:tc>
          <w:tcPr>
            <w:tcW w:w="50" w:type="pct"/>
            <w:shd w:val="clear" w:color="auto" w:fill="auto"/>
            <w:vAlign w:val="center"/>
          </w:tcPr>
          <w:p w14:paraId="0BC9A4F8" w14:textId="77777777" w:rsidR="009F0928" w:rsidRDefault="009F0928">
            <w:pPr>
              <w:rPr>
                <w:rFonts w:ascii="Times New Roman" w:hAnsi="Times New Roman"/>
                <w:sz w:val="20"/>
                <w:szCs w:val="20"/>
              </w:rPr>
            </w:pPr>
          </w:p>
        </w:tc>
        <w:tc>
          <w:tcPr>
            <w:tcW w:w="550" w:type="pct"/>
            <w:shd w:val="clear" w:color="auto" w:fill="auto"/>
            <w:vAlign w:val="center"/>
          </w:tcPr>
          <w:p w14:paraId="0BC9A4F9" w14:textId="77777777" w:rsidR="009F0928" w:rsidRDefault="009F0928">
            <w:pPr>
              <w:rPr>
                <w:rFonts w:ascii="Times New Roman" w:hAnsi="Times New Roman"/>
                <w:sz w:val="20"/>
                <w:szCs w:val="20"/>
              </w:rPr>
            </w:pPr>
          </w:p>
        </w:tc>
        <w:tc>
          <w:tcPr>
            <w:tcW w:w="50" w:type="pct"/>
            <w:shd w:val="clear" w:color="auto" w:fill="auto"/>
            <w:vAlign w:val="center"/>
          </w:tcPr>
          <w:p w14:paraId="0BC9A4FA" w14:textId="77777777" w:rsidR="009F0928" w:rsidRDefault="009F0928">
            <w:pPr>
              <w:rPr>
                <w:rFonts w:ascii="Times New Roman" w:hAnsi="Times New Roman"/>
                <w:sz w:val="20"/>
                <w:szCs w:val="20"/>
              </w:rPr>
            </w:pPr>
          </w:p>
        </w:tc>
      </w:tr>
      <w:tr w:rsidR="009F0928" w14:paraId="0BC9A4FE" w14:textId="77777777">
        <w:tc>
          <w:tcPr>
            <w:tcW w:w="0" w:type="auto"/>
            <w:shd w:val="clear" w:color="auto" w:fill="auto"/>
            <w:tcMar>
              <w:top w:w="40" w:type="dxa"/>
              <w:left w:w="40" w:type="dxa"/>
              <w:bottom w:w="40" w:type="dxa"/>
              <w:right w:w="40" w:type="dxa"/>
            </w:tcMar>
            <w:vAlign w:val="bottom"/>
          </w:tcPr>
          <w:p w14:paraId="0BC9A4FC"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BC9A4F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As of December 31,</w:t>
            </w:r>
          </w:p>
        </w:tc>
      </w:tr>
      <w:tr w:rsidR="009F0928" w14:paraId="0BC9A503" w14:textId="77777777">
        <w:tc>
          <w:tcPr>
            <w:tcW w:w="0" w:type="auto"/>
            <w:shd w:val="clear" w:color="auto" w:fill="auto"/>
            <w:tcMar>
              <w:top w:w="40" w:type="dxa"/>
              <w:left w:w="40" w:type="dxa"/>
              <w:bottom w:w="40" w:type="dxa"/>
              <w:right w:w="40" w:type="dxa"/>
            </w:tcMar>
            <w:vAlign w:val="bottom"/>
          </w:tcPr>
          <w:p w14:paraId="0BC9A4FF"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50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A501"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A502"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r>
      <w:tr w:rsidR="009F0928" w14:paraId="0BC9A508" w14:textId="77777777">
        <w:tc>
          <w:tcPr>
            <w:tcW w:w="0" w:type="auto"/>
            <w:shd w:val="clear" w:color="auto" w:fill="E2E2E2"/>
            <w:tcMar>
              <w:top w:w="40" w:type="dxa"/>
              <w:left w:w="40" w:type="dxa"/>
              <w:bottom w:w="40" w:type="dxa"/>
              <w:right w:w="40" w:type="dxa"/>
            </w:tcMar>
            <w:vAlign w:val="bottom"/>
          </w:tcPr>
          <w:p w14:paraId="0BC9A504" w14:textId="77777777" w:rsidR="009F0928" w:rsidRDefault="002112BD">
            <w:pPr>
              <w:textAlignment w:val="bottom"/>
              <w:rPr>
                <w:rFonts w:ascii="Times New Roman" w:hAnsi="Times New Roman"/>
                <w:sz w:val="18"/>
                <w:szCs w:val="18"/>
              </w:rPr>
            </w:pPr>
            <w:r>
              <w:rPr>
                <w:rFonts w:ascii="Arial" w:eastAsia="宋体" w:hAnsi="Arial" w:cs="Arial"/>
                <w:sz w:val="18"/>
                <w:szCs w:val="18"/>
              </w:rPr>
              <w:t>Deferred tax assets:</w:t>
            </w:r>
          </w:p>
        </w:tc>
        <w:tc>
          <w:tcPr>
            <w:tcW w:w="0" w:type="auto"/>
            <w:gridSpan w:val="3"/>
            <w:shd w:val="clear" w:color="auto" w:fill="E2E2E2"/>
            <w:tcMar>
              <w:top w:w="40" w:type="dxa"/>
              <w:left w:w="40" w:type="dxa"/>
              <w:bottom w:w="40" w:type="dxa"/>
              <w:right w:w="40" w:type="dxa"/>
            </w:tcMar>
            <w:vAlign w:val="bottom"/>
          </w:tcPr>
          <w:p w14:paraId="0BC9A50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506"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shd w:val="clear" w:color="auto" w:fill="E2E2E2"/>
            <w:tcMar>
              <w:top w:w="40" w:type="dxa"/>
              <w:left w:w="40" w:type="dxa"/>
              <w:bottom w:w="40" w:type="dxa"/>
              <w:right w:w="40" w:type="dxa"/>
            </w:tcMar>
            <w:vAlign w:val="bottom"/>
          </w:tcPr>
          <w:p w14:paraId="0BC9A50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511" w14:textId="77777777">
        <w:tc>
          <w:tcPr>
            <w:tcW w:w="0" w:type="auto"/>
            <w:shd w:val="clear" w:color="auto" w:fill="auto"/>
            <w:tcMar>
              <w:top w:w="40" w:type="dxa"/>
              <w:left w:w="400" w:type="dxa"/>
              <w:bottom w:w="40" w:type="dxa"/>
              <w:right w:w="40" w:type="dxa"/>
            </w:tcMar>
            <w:vAlign w:val="bottom"/>
          </w:tcPr>
          <w:p w14:paraId="0BC9A509" w14:textId="77777777" w:rsidR="009F0928" w:rsidRDefault="002112BD">
            <w:pPr>
              <w:textAlignment w:val="bottom"/>
              <w:rPr>
                <w:rFonts w:ascii="Times New Roman" w:hAnsi="Times New Roman"/>
                <w:sz w:val="18"/>
                <w:szCs w:val="18"/>
              </w:rPr>
            </w:pPr>
            <w:r>
              <w:rPr>
                <w:rFonts w:ascii="Arial" w:eastAsia="宋体" w:hAnsi="Arial" w:cs="Arial"/>
                <w:sz w:val="18"/>
                <w:szCs w:val="18"/>
              </w:rPr>
              <w:t>Net operating loss, capital loss and credits</w:t>
            </w:r>
          </w:p>
        </w:tc>
        <w:tc>
          <w:tcPr>
            <w:tcW w:w="0" w:type="auto"/>
            <w:shd w:val="clear" w:color="auto" w:fill="auto"/>
            <w:tcMar>
              <w:top w:w="40" w:type="dxa"/>
              <w:left w:w="40" w:type="dxa"/>
              <w:bottom w:w="40" w:type="dxa"/>
            </w:tcMar>
            <w:vAlign w:val="bottom"/>
          </w:tcPr>
          <w:p w14:paraId="0BC9A50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50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158</w:t>
            </w:r>
          </w:p>
        </w:tc>
        <w:tc>
          <w:tcPr>
            <w:tcW w:w="0" w:type="auto"/>
            <w:shd w:val="clear" w:color="auto" w:fill="auto"/>
            <w:vAlign w:val="bottom"/>
          </w:tcPr>
          <w:p w14:paraId="0BC9A50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50D"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tcMar>
            <w:vAlign w:val="bottom"/>
          </w:tcPr>
          <w:p w14:paraId="0BC9A50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50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136</w:t>
            </w:r>
          </w:p>
        </w:tc>
        <w:tc>
          <w:tcPr>
            <w:tcW w:w="0" w:type="auto"/>
            <w:shd w:val="clear" w:color="auto" w:fill="auto"/>
            <w:vAlign w:val="bottom"/>
          </w:tcPr>
          <w:p w14:paraId="0BC9A510" w14:textId="77777777" w:rsidR="009F0928" w:rsidRDefault="009F0928">
            <w:pPr>
              <w:textAlignment w:val="bottom"/>
              <w:rPr>
                <w:rFonts w:ascii="Times New Roman" w:hAnsi="Times New Roman"/>
                <w:sz w:val="20"/>
                <w:szCs w:val="20"/>
              </w:rPr>
            </w:pPr>
          </w:p>
        </w:tc>
      </w:tr>
      <w:tr w:rsidR="009F0928" w14:paraId="0BC9A518" w14:textId="77777777">
        <w:tc>
          <w:tcPr>
            <w:tcW w:w="0" w:type="auto"/>
            <w:shd w:val="clear" w:color="auto" w:fill="E2E2E2"/>
            <w:tcMar>
              <w:top w:w="40" w:type="dxa"/>
              <w:left w:w="400" w:type="dxa"/>
              <w:bottom w:w="40" w:type="dxa"/>
              <w:right w:w="40" w:type="dxa"/>
            </w:tcMar>
            <w:vAlign w:val="bottom"/>
          </w:tcPr>
          <w:p w14:paraId="0BC9A512"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Accruals and </w:t>
            </w:r>
            <w:r>
              <w:rPr>
                <w:rFonts w:ascii="Arial" w:eastAsia="宋体" w:hAnsi="Arial" w:cs="Arial"/>
                <w:sz w:val="18"/>
                <w:szCs w:val="18"/>
              </w:rPr>
              <w:t>allowances</w:t>
            </w:r>
          </w:p>
        </w:tc>
        <w:tc>
          <w:tcPr>
            <w:tcW w:w="0" w:type="auto"/>
            <w:gridSpan w:val="2"/>
            <w:shd w:val="clear" w:color="auto" w:fill="E2E2E2"/>
            <w:tcMar>
              <w:top w:w="40" w:type="dxa"/>
              <w:left w:w="40" w:type="dxa"/>
              <w:bottom w:w="40" w:type="dxa"/>
            </w:tcMar>
            <w:vAlign w:val="bottom"/>
          </w:tcPr>
          <w:p w14:paraId="0BC9A51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214</w:t>
            </w:r>
          </w:p>
        </w:tc>
        <w:tc>
          <w:tcPr>
            <w:tcW w:w="0" w:type="auto"/>
            <w:shd w:val="clear" w:color="auto" w:fill="E2E2E2"/>
            <w:vAlign w:val="bottom"/>
          </w:tcPr>
          <w:p w14:paraId="0BC9A51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515"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A51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168</w:t>
            </w:r>
          </w:p>
        </w:tc>
        <w:tc>
          <w:tcPr>
            <w:tcW w:w="0" w:type="auto"/>
            <w:shd w:val="clear" w:color="auto" w:fill="E2E2E2"/>
            <w:vAlign w:val="bottom"/>
          </w:tcPr>
          <w:p w14:paraId="0BC9A517" w14:textId="77777777" w:rsidR="009F0928" w:rsidRDefault="009F0928">
            <w:pPr>
              <w:textAlignment w:val="bottom"/>
              <w:rPr>
                <w:rFonts w:ascii="Times New Roman" w:hAnsi="Times New Roman"/>
                <w:sz w:val="20"/>
                <w:szCs w:val="20"/>
              </w:rPr>
            </w:pPr>
          </w:p>
        </w:tc>
      </w:tr>
      <w:tr w:rsidR="009F0928" w14:paraId="0BC9A51F" w14:textId="77777777">
        <w:tc>
          <w:tcPr>
            <w:tcW w:w="0" w:type="auto"/>
            <w:shd w:val="clear" w:color="auto" w:fill="auto"/>
            <w:tcMar>
              <w:top w:w="40" w:type="dxa"/>
              <w:left w:w="400" w:type="dxa"/>
              <w:bottom w:w="40" w:type="dxa"/>
              <w:right w:w="40" w:type="dxa"/>
            </w:tcMar>
            <w:vAlign w:val="bottom"/>
          </w:tcPr>
          <w:p w14:paraId="0BC9A519" w14:textId="77777777" w:rsidR="009F0928" w:rsidRDefault="002112BD">
            <w:pPr>
              <w:textAlignment w:val="bottom"/>
              <w:rPr>
                <w:rFonts w:ascii="Times New Roman" w:hAnsi="Times New Roman"/>
                <w:sz w:val="18"/>
                <w:szCs w:val="18"/>
              </w:rPr>
            </w:pPr>
            <w:r>
              <w:rPr>
                <w:rFonts w:ascii="Arial" w:eastAsia="宋体" w:hAnsi="Arial" w:cs="Arial"/>
                <w:sz w:val="18"/>
                <w:szCs w:val="18"/>
              </w:rPr>
              <w:t>Stock-based compensation</w:t>
            </w:r>
          </w:p>
        </w:tc>
        <w:tc>
          <w:tcPr>
            <w:tcW w:w="0" w:type="auto"/>
            <w:gridSpan w:val="2"/>
            <w:shd w:val="clear" w:color="auto" w:fill="auto"/>
            <w:tcMar>
              <w:top w:w="40" w:type="dxa"/>
              <w:left w:w="40" w:type="dxa"/>
              <w:bottom w:w="40" w:type="dxa"/>
            </w:tcMar>
            <w:vAlign w:val="bottom"/>
          </w:tcPr>
          <w:p w14:paraId="0BC9A51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w:t>
            </w:r>
          </w:p>
        </w:tc>
        <w:tc>
          <w:tcPr>
            <w:tcW w:w="0" w:type="auto"/>
            <w:shd w:val="clear" w:color="auto" w:fill="auto"/>
            <w:vAlign w:val="bottom"/>
          </w:tcPr>
          <w:p w14:paraId="0BC9A51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51C"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51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w:t>
            </w:r>
          </w:p>
        </w:tc>
        <w:tc>
          <w:tcPr>
            <w:tcW w:w="0" w:type="auto"/>
            <w:shd w:val="clear" w:color="auto" w:fill="auto"/>
            <w:vAlign w:val="bottom"/>
          </w:tcPr>
          <w:p w14:paraId="0BC9A51E" w14:textId="77777777" w:rsidR="009F0928" w:rsidRDefault="009F0928">
            <w:pPr>
              <w:textAlignment w:val="bottom"/>
              <w:rPr>
                <w:rFonts w:ascii="Times New Roman" w:hAnsi="Times New Roman"/>
                <w:sz w:val="20"/>
                <w:szCs w:val="20"/>
              </w:rPr>
            </w:pPr>
          </w:p>
        </w:tc>
      </w:tr>
      <w:tr w:rsidR="009F0928" w14:paraId="0BC9A526" w14:textId="77777777">
        <w:tc>
          <w:tcPr>
            <w:tcW w:w="0" w:type="auto"/>
            <w:shd w:val="clear" w:color="auto" w:fill="E2E2E2"/>
            <w:tcMar>
              <w:top w:w="40" w:type="dxa"/>
              <w:left w:w="400" w:type="dxa"/>
              <w:bottom w:w="40" w:type="dxa"/>
              <w:right w:w="40" w:type="dxa"/>
            </w:tcMar>
            <w:vAlign w:val="bottom"/>
          </w:tcPr>
          <w:p w14:paraId="0BC9A520" w14:textId="77777777" w:rsidR="009F0928" w:rsidRDefault="002112BD">
            <w:pPr>
              <w:textAlignment w:val="bottom"/>
              <w:rPr>
                <w:rFonts w:ascii="Times New Roman" w:hAnsi="Times New Roman"/>
                <w:sz w:val="18"/>
                <w:szCs w:val="18"/>
              </w:rPr>
            </w:pPr>
            <w:r>
              <w:rPr>
                <w:rFonts w:ascii="Arial" w:eastAsia="宋体" w:hAnsi="Arial" w:cs="Arial"/>
                <w:sz w:val="18"/>
                <w:szCs w:val="18"/>
              </w:rPr>
              <w:t>Amortizable tax basis in intangibles</w:t>
            </w:r>
          </w:p>
        </w:tc>
        <w:tc>
          <w:tcPr>
            <w:tcW w:w="0" w:type="auto"/>
            <w:gridSpan w:val="2"/>
            <w:shd w:val="clear" w:color="auto" w:fill="E2E2E2"/>
            <w:tcMar>
              <w:top w:w="40" w:type="dxa"/>
              <w:left w:w="40" w:type="dxa"/>
              <w:bottom w:w="40" w:type="dxa"/>
            </w:tcMar>
            <w:vAlign w:val="bottom"/>
          </w:tcPr>
          <w:p w14:paraId="0BC9A52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4,287</w:t>
            </w:r>
          </w:p>
        </w:tc>
        <w:tc>
          <w:tcPr>
            <w:tcW w:w="0" w:type="auto"/>
            <w:shd w:val="clear" w:color="auto" w:fill="E2E2E2"/>
            <w:vAlign w:val="bottom"/>
          </w:tcPr>
          <w:p w14:paraId="0BC9A52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52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52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4,757</w:t>
            </w:r>
          </w:p>
        </w:tc>
        <w:tc>
          <w:tcPr>
            <w:tcW w:w="0" w:type="auto"/>
            <w:shd w:val="clear" w:color="auto" w:fill="E2E2E2"/>
            <w:vAlign w:val="bottom"/>
          </w:tcPr>
          <w:p w14:paraId="0BC9A525" w14:textId="77777777" w:rsidR="009F0928" w:rsidRDefault="009F0928">
            <w:pPr>
              <w:textAlignment w:val="bottom"/>
              <w:rPr>
                <w:rFonts w:ascii="Times New Roman" w:hAnsi="Times New Roman"/>
                <w:sz w:val="20"/>
                <w:szCs w:val="20"/>
              </w:rPr>
            </w:pPr>
          </w:p>
        </w:tc>
      </w:tr>
      <w:tr w:rsidR="009F0928" w14:paraId="0BC9A52D" w14:textId="77777777">
        <w:tc>
          <w:tcPr>
            <w:tcW w:w="0" w:type="auto"/>
            <w:shd w:val="clear" w:color="auto" w:fill="auto"/>
            <w:tcMar>
              <w:top w:w="40" w:type="dxa"/>
              <w:left w:w="400" w:type="dxa"/>
              <w:bottom w:w="40" w:type="dxa"/>
              <w:right w:w="40" w:type="dxa"/>
            </w:tcMar>
            <w:vAlign w:val="bottom"/>
          </w:tcPr>
          <w:p w14:paraId="0BC9A527" w14:textId="77777777" w:rsidR="009F0928" w:rsidRDefault="002112BD">
            <w:pPr>
              <w:textAlignment w:val="bottom"/>
              <w:rPr>
                <w:rFonts w:ascii="Times New Roman" w:hAnsi="Times New Roman"/>
                <w:sz w:val="18"/>
                <w:szCs w:val="18"/>
              </w:rPr>
            </w:pPr>
            <w:r>
              <w:rPr>
                <w:rFonts w:ascii="Arial" w:eastAsia="宋体" w:hAnsi="Arial" w:cs="Arial"/>
                <w:sz w:val="18"/>
                <w:szCs w:val="18"/>
              </w:rPr>
              <w:t>Net deferred tax assets</w:t>
            </w:r>
          </w:p>
        </w:tc>
        <w:tc>
          <w:tcPr>
            <w:tcW w:w="0" w:type="auto"/>
            <w:gridSpan w:val="2"/>
            <w:tcBorders>
              <w:top w:val="single" w:sz="8" w:space="0" w:color="000000"/>
            </w:tcBorders>
            <w:shd w:val="clear" w:color="auto" w:fill="auto"/>
            <w:tcMar>
              <w:top w:w="40" w:type="dxa"/>
              <w:left w:w="40" w:type="dxa"/>
              <w:bottom w:w="40" w:type="dxa"/>
            </w:tcMar>
            <w:vAlign w:val="bottom"/>
          </w:tcPr>
          <w:p w14:paraId="0BC9A52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4,674</w:t>
            </w:r>
          </w:p>
        </w:tc>
        <w:tc>
          <w:tcPr>
            <w:tcW w:w="0" w:type="auto"/>
            <w:tcBorders>
              <w:top w:val="single" w:sz="8" w:space="0" w:color="000000"/>
            </w:tcBorders>
            <w:shd w:val="clear" w:color="auto" w:fill="auto"/>
            <w:vAlign w:val="bottom"/>
          </w:tcPr>
          <w:p w14:paraId="0BC9A52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52A"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tcBorders>
              <w:top w:val="single" w:sz="8" w:space="0" w:color="000000"/>
            </w:tcBorders>
            <w:shd w:val="clear" w:color="auto" w:fill="auto"/>
            <w:tcMar>
              <w:top w:w="40" w:type="dxa"/>
              <w:left w:w="40" w:type="dxa"/>
              <w:bottom w:w="40" w:type="dxa"/>
            </w:tcMar>
            <w:vAlign w:val="bottom"/>
          </w:tcPr>
          <w:p w14:paraId="0BC9A52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5,083</w:t>
            </w:r>
          </w:p>
        </w:tc>
        <w:tc>
          <w:tcPr>
            <w:tcW w:w="0" w:type="auto"/>
            <w:tcBorders>
              <w:top w:val="single" w:sz="8" w:space="0" w:color="000000"/>
            </w:tcBorders>
            <w:shd w:val="clear" w:color="auto" w:fill="auto"/>
            <w:vAlign w:val="bottom"/>
          </w:tcPr>
          <w:p w14:paraId="0BC9A52C" w14:textId="77777777" w:rsidR="009F0928" w:rsidRDefault="009F0928">
            <w:pPr>
              <w:textAlignment w:val="bottom"/>
              <w:rPr>
                <w:rFonts w:ascii="Times New Roman" w:hAnsi="Times New Roman"/>
                <w:sz w:val="20"/>
                <w:szCs w:val="20"/>
              </w:rPr>
            </w:pPr>
          </w:p>
        </w:tc>
      </w:tr>
      <w:tr w:rsidR="009F0928" w14:paraId="0BC9A534" w14:textId="77777777">
        <w:tc>
          <w:tcPr>
            <w:tcW w:w="0" w:type="auto"/>
            <w:shd w:val="clear" w:color="auto" w:fill="E2E2E2"/>
            <w:tcMar>
              <w:top w:w="40" w:type="dxa"/>
              <w:left w:w="400" w:type="dxa"/>
              <w:bottom w:w="40" w:type="dxa"/>
              <w:right w:w="40" w:type="dxa"/>
            </w:tcMar>
            <w:vAlign w:val="bottom"/>
          </w:tcPr>
          <w:p w14:paraId="0BC9A52E" w14:textId="77777777" w:rsidR="009F0928" w:rsidRDefault="002112BD">
            <w:pPr>
              <w:textAlignment w:val="bottom"/>
              <w:rPr>
                <w:rFonts w:ascii="Times New Roman" w:hAnsi="Times New Roman"/>
                <w:sz w:val="18"/>
                <w:szCs w:val="18"/>
              </w:rPr>
            </w:pPr>
            <w:r>
              <w:rPr>
                <w:rFonts w:ascii="Arial" w:eastAsia="宋体" w:hAnsi="Arial" w:cs="Arial"/>
                <w:sz w:val="18"/>
                <w:szCs w:val="18"/>
              </w:rPr>
              <w:t>Valuation allowance</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52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(102</w:t>
            </w:r>
          </w:p>
        </w:tc>
        <w:tc>
          <w:tcPr>
            <w:tcW w:w="0" w:type="auto"/>
            <w:tcBorders>
              <w:bottom w:val="single" w:sz="8" w:space="0" w:color="000000"/>
            </w:tcBorders>
            <w:shd w:val="clear" w:color="auto" w:fill="E2E2E2"/>
            <w:tcMar>
              <w:top w:w="40" w:type="dxa"/>
              <w:bottom w:w="40" w:type="dxa"/>
              <w:right w:w="40" w:type="dxa"/>
            </w:tcMar>
            <w:vAlign w:val="bottom"/>
          </w:tcPr>
          <w:p w14:paraId="0BC9A53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531"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A53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(65</w:t>
            </w:r>
          </w:p>
        </w:tc>
        <w:tc>
          <w:tcPr>
            <w:tcW w:w="0" w:type="auto"/>
            <w:shd w:val="clear" w:color="auto" w:fill="E2E2E2"/>
            <w:tcMar>
              <w:top w:w="40" w:type="dxa"/>
              <w:bottom w:w="40" w:type="dxa"/>
              <w:right w:w="40" w:type="dxa"/>
            </w:tcMar>
            <w:vAlign w:val="bottom"/>
          </w:tcPr>
          <w:p w14:paraId="0BC9A53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53D" w14:textId="77777777">
        <w:tc>
          <w:tcPr>
            <w:tcW w:w="0" w:type="auto"/>
            <w:shd w:val="clear" w:color="auto" w:fill="auto"/>
            <w:tcMar>
              <w:top w:w="40" w:type="dxa"/>
              <w:left w:w="40" w:type="dxa"/>
              <w:bottom w:w="40" w:type="dxa"/>
              <w:right w:w="40" w:type="dxa"/>
            </w:tcMar>
            <w:vAlign w:val="bottom"/>
          </w:tcPr>
          <w:p w14:paraId="0BC9A53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53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53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4,572</w:t>
            </w:r>
          </w:p>
        </w:tc>
        <w:tc>
          <w:tcPr>
            <w:tcW w:w="0" w:type="auto"/>
            <w:tcBorders>
              <w:top w:val="single" w:sz="8" w:space="0" w:color="000000"/>
              <w:bottom w:val="double" w:sz="6" w:space="0" w:color="000000"/>
            </w:tcBorders>
            <w:shd w:val="clear" w:color="auto" w:fill="auto"/>
            <w:vAlign w:val="bottom"/>
          </w:tcPr>
          <w:p w14:paraId="0BC9A53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539"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53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53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5,018</w:t>
            </w:r>
          </w:p>
        </w:tc>
        <w:tc>
          <w:tcPr>
            <w:tcW w:w="0" w:type="auto"/>
            <w:tcBorders>
              <w:top w:val="single" w:sz="8" w:space="0" w:color="000000"/>
              <w:bottom w:val="double" w:sz="6" w:space="0" w:color="000000"/>
            </w:tcBorders>
            <w:shd w:val="clear" w:color="auto" w:fill="auto"/>
            <w:vAlign w:val="bottom"/>
          </w:tcPr>
          <w:p w14:paraId="0BC9A53C" w14:textId="77777777" w:rsidR="009F0928" w:rsidRDefault="009F0928">
            <w:pPr>
              <w:textAlignment w:val="bottom"/>
              <w:rPr>
                <w:rFonts w:ascii="Times New Roman" w:hAnsi="Times New Roman"/>
                <w:sz w:val="20"/>
                <w:szCs w:val="20"/>
              </w:rPr>
            </w:pPr>
          </w:p>
        </w:tc>
      </w:tr>
      <w:tr w:rsidR="009F0928" w14:paraId="0BC9A542" w14:textId="77777777">
        <w:tc>
          <w:tcPr>
            <w:tcW w:w="0" w:type="auto"/>
            <w:shd w:val="clear" w:color="auto" w:fill="E2E2E2"/>
            <w:tcMar>
              <w:top w:w="40" w:type="dxa"/>
              <w:left w:w="40" w:type="dxa"/>
              <w:bottom w:w="40" w:type="dxa"/>
              <w:right w:w="40" w:type="dxa"/>
            </w:tcMar>
            <w:vAlign w:val="bottom"/>
          </w:tcPr>
          <w:p w14:paraId="0BC9A53E" w14:textId="77777777" w:rsidR="009F0928" w:rsidRDefault="002112BD">
            <w:pPr>
              <w:textAlignment w:val="bottom"/>
              <w:rPr>
                <w:rFonts w:ascii="Times New Roman" w:hAnsi="Times New Roman"/>
                <w:sz w:val="18"/>
                <w:szCs w:val="18"/>
              </w:rPr>
            </w:pPr>
            <w:r>
              <w:rPr>
                <w:rFonts w:ascii="Arial" w:eastAsia="宋体" w:hAnsi="Arial" w:cs="Arial"/>
                <w:sz w:val="18"/>
                <w:szCs w:val="18"/>
              </w:rPr>
              <w:t>Deferred tax liabilities:</w:t>
            </w:r>
          </w:p>
        </w:tc>
        <w:tc>
          <w:tcPr>
            <w:tcW w:w="0" w:type="auto"/>
            <w:gridSpan w:val="3"/>
            <w:shd w:val="clear" w:color="auto" w:fill="E2E2E2"/>
            <w:tcMar>
              <w:top w:w="40" w:type="dxa"/>
              <w:left w:w="40" w:type="dxa"/>
              <w:bottom w:w="40" w:type="dxa"/>
              <w:right w:w="40" w:type="dxa"/>
            </w:tcMar>
            <w:vAlign w:val="bottom"/>
          </w:tcPr>
          <w:p w14:paraId="0BC9A53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540"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shd w:val="clear" w:color="auto" w:fill="E2E2E2"/>
            <w:tcMar>
              <w:top w:w="40" w:type="dxa"/>
              <w:left w:w="40" w:type="dxa"/>
              <w:bottom w:w="40" w:type="dxa"/>
              <w:right w:w="40" w:type="dxa"/>
            </w:tcMar>
            <w:vAlign w:val="bottom"/>
          </w:tcPr>
          <w:p w14:paraId="0BC9A54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54B" w14:textId="77777777">
        <w:tc>
          <w:tcPr>
            <w:tcW w:w="0" w:type="auto"/>
            <w:shd w:val="clear" w:color="auto" w:fill="auto"/>
            <w:tcMar>
              <w:top w:w="40" w:type="dxa"/>
              <w:left w:w="400" w:type="dxa"/>
              <w:bottom w:w="40" w:type="dxa"/>
              <w:right w:w="40" w:type="dxa"/>
            </w:tcMar>
            <w:vAlign w:val="bottom"/>
          </w:tcPr>
          <w:p w14:paraId="0BC9A543" w14:textId="77777777" w:rsidR="009F0928" w:rsidRDefault="002112BD">
            <w:pPr>
              <w:textAlignment w:val="bottom"/>
              <w:rPr>
                <w:rFonts w:ascii="Times New Roman" w:hAnsi="Times New Roman"/>
                <w:sz w:val="18"/>
                <w:szCs w:val="18"/>
              </w:rPr>
            </w:pPr>
            <w:r>
              <w:rPr>
                <w:rFonts w:ascii="Arial" w:eastAsia="宋体" w:hAnsi="Arial" w:cs="Arial"/>
                <w:sz w:val="18"/>
                <w:szCs w:val="18"/>
              </w:rPr>
              <w:t>Unremitted foreign earnings</w:t>
            </w:r>
          </w:p>
        </w:tc>
        <w:tc>
          <w:tcPr>
            <w:tcW w:w="0" w:type="auto"/>
            <w:shd w:val="clear" w:color="auto" w:fill="auto"/>
            <w:tcMar>
              <w:top w:w="40" w:type="dxa"/>
              <w:left w:w="40" w:type="dxa"/>
              <w:bottom w:w="40" w:type="dxa"/>
            </w:tcMar>
            <w:vAlign w:val="bottom"/>
          </w:tcPr>
          <w:p w14:paraId="0BC9A54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54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(2,610</w:t>
            </w:r>
          </w:p>
        </w:tc>
        <w:tc>
          <w:tcPr>
            <w:tcW w:w="0" w:type="auto"/>
            <w:shd w:val="clear" w:color="auto" w:fill="auto"/>
            <w:tcMar>
              <w:top w:w="40" w:type="dxa"/>
              <w:bottom w:w="40" w:type="dxa"/>
              <w:right w:w="40" w:type="dxa"/>
            </w:tcMar>
            <w:vAlign w:val="bottom"/>
          </w:tcPr>
          <w:p w14:paraId="0BC9A54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54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54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54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(2,930</w:t>
            </w:r>
          </w:p>
        </w:tc>
        <w:tc>
          <w:tcPr>
            <w:tcW w:w="0" w:type="auto"/>
            <w:shd w:val="clear" w:color="auto" w:fill="auto"/>
            <w:tcMar>
              <w:top w:w="40" w:type="dxa"/>
              <w:bottom w:w="40" w:type="dxa"/>
              <w:right w:w="40" w:type="dxa"/>
            </w:tcMar>
            <w:vAlign w:val="bottom"/>
          </w:tcPr>
          <w:p w14:paraId="0BC9A54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552" w14:textId="77777777">
        <w:tc>
          <w:tcPr>
            <w:tcW w:w="0" w:type="auto"/>
            <w:shd w:val="clear" w:color="auto" w:fill="E2E2E2"/>
            <w:tcMar>
              <w:top w:w="40" w:type="dxa"/>
              <w:left w:w="400" w:type="dxa"/>
              <w:bottom w:w="40" w:type="dxa"/>
              <w:right w:w="40" w:type="dxa"/>
            </w:tcMar>
            <w:vAlign w:val="bottom"/>
          </w:tcPr>
          <w:p w14:paraId="0BC9A54C" w14:textId="77777777" w:rsidR="009F0928" w:rsidRDefault="002112BD">
            <w:pPr>
              <w:textAlignment w:val="bottom"/>
              <w:rPr>
                <w:rFonts w:ascii="Times New Roman" w:hAnsi="Times New Roman"/>
                <w:sz w:val="18"/>
                <w:szCs w:val="18"/>
              </w:rPr>
            </w:pPr>
            <w:r>
              <w:rPr>
                <w:rFonts w:ascii="Arial" w:eastAsia="宋体" w:hAnsi="Arial" w:cs="Arial"/>
                <w:sz w:val="18"/>
                <w:szCs w:val="18"/>
              </w:rPr>
              <w:t>Acquisition-related intangibles</w:t>
            </w:r>
          </w:p>
        </w:tc>
        <w:tc>
          <w:tcPr>
            <w:tcW w:w="0" w:type="auto"/>
            <w:gridSpan w:val="2"/>
            <w:shd w:val="clear" w:color="auto" w:fill="E2E2E2"/>
            <w:tcMar>
              <w:top w:w="40" w:type="dxa"/>
              <w:left w:w="40" w:type="dxa"/>
              <w:bottom w:w="40" w:type="dxa"/>
            </w:tcMar>
            <w:vAlign w:val="bottom"/>
          </w:tcPr>
          <w:p w14:paraId="0BC9A54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(37</w:t>
            </w:r>
          </w:p>
        </w:tc>
        <w:tc>
          <w:tcPr>
            <w:tcW w:w="0" w:type="auto"/>
            <w:shd w:val="clear" w:color="auto" w:fill="E2E2E2"/>
            <w:tcMar>
              <w:top w:w="40" w:type="dxa"/>
              <w:bottom w:w="40" w:type="dxa"/>
              <w:right w:w="40" w:type="dxa"/>
            </w:tcMar>
            <w:vAlign w:val="bottom"/>
          </w:tcPr>
          <w:p w14:paraId="0BC9A54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54F"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E2E2E2"/>
            <w:tcMar>
              <w:top w:w="40" w:type="dxa"/>
              <w:left w:w="40" w:type="dxa"/>
              <w:bottom w:w="40" w:type="dxa"/>
            </w:tcMar>
            <w:vAlign w:val="bottom"/>
          </w:tcPr>
          <w:p w14:paraId="0BC9A55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(46</w:t>
            </w:r>
          </w:p>
        </w:tc>
        <w:tc>
          <w:tcPr>
            <w:tcW w:w="0" w:type="auto"/>
            <w:shd w:val="clear" w:color="auto" w:fill="E2E2E2"/>
            <w:tcMar>
              <w:top w:w="40" w:type="dxa"/>
              <w:bottom w:w="40" w:type="dxa"/>
              <w:right w:w="40" w:type="dxa"/>
            </w:tcMar>
            <w:vAlign w:val="bottom"/>
          </w:tcPr>
          <w:p w14:paraId="0BC9A55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559" w14:textId="77777777">
        <w:tc>
          <w:tcPr>
            <w:tcW w:w="0" w:type="auto"/>
            <w:shd w:val="clear" w:color="auto" w:fill="auto"/>
            <w:tcMar>
              <w:top w:w="40" w:type="dxa"/>
              <w:left w:w="400" w:type="dxa"/>
              <w:bottom w:w="40" w:type="dxa"/>
              <w:right w:w="40" w:type="dxa"/>
            </w:tcMar>
            <w:vAlign w:val="bottom"/>
          </w:tcPr>
          <w:p w14:paraId="0BC9A553" w14:textId="77777777" w:rsidR="009F0928" w:rsidRDefault="002112BD">
            <w:pPr>
              <w:textAlignment w:val="bottom"/>
              <w:rPr>
                <w:rFonts w:ascii="Times New Roman" w:hAnsi="Times New Roman"/>
                <w:sz w:val="18"/>
                <w:szCs w:val="18"/>
              </w:rPr>
            </w:pPr>
            <w:r>
              <w:rPr>
                <w:rFonts w:ascii="Arial" w:eastAsia="宋体" w:hAnsi="Arial" w:cs="Arial"/>
                <w:sz w:val="18"/>
                <w:szCs w:val="18"/>
              </w:rPr>
              <w:t>Depreciation and amortization</w:t>
            </w:r>
          </w:p>
        </w:tc>
        <w:tc>
          <w:tcPr>
            <w:tcW w:w="0" w:type="auto"/>
            <w:gridSpan w:val="2"/>
            <w:shd w:val="clear" w:color="auto" w:fill="auto"/>
            <w:tcMar>
              <w:top w:w="40" w:type="dxa"/>
              <w:left w:w="40" w:type="dxa"/>
              <w:bottom w:w="40" w:type="dxa"/>
            </w:tcMar>
            <w:vAlign w:val="bottom"/>
          </w:tcPr>
          <w:p w14:paraId="0BC9A55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(131</w:t>
            </w:r>
          </w:p>
        </w:tc>
        <w:tc>
          <w:tcPr>
            <w:tcW w:w="0" w:type="auto"/>
            <w:shd w:val="clear" w:color="auto" w:fill="auto"/>
            <w:tcMar>
              <w:top w:w="40" w:type="dxa"/>
              <w:bottom w:w="40" w:type="dxa"/>
              <w:right w:w="40" w:type="dxa"/>
            </w:tcMar>
            <w:vAlign w:val="bottom"/>
          </w:tcPr>
          <w:p w14:paraId="0BC9A55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556"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55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(132</w:t>
            </w:r>
          </w:p>
        </w:tc>
        <w:tc>
          <w:tcPr>
            <w:tcW w:w="0" w:type="auto"/>
            <w:shd w:val="clear" w:color="auto" w:fill="auto"/>
            <w:tcMar>
              <w:top w:w="40" w:type="dxa"/>
              <w:bottom w:w="40" w:type="dxa"/>
              <w:right w:w="40" w:type="dxa"/>
            </w:tcMar>
            <w:vAlign w:val="bottom"/>
          </w:tcPr>
          <w:p w14:paraId="0BC9A55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560" w14:textId="77777777">
        <w:tc>
          <w:tcPr>
            <w:tcW w:w="0" w:type="auto"/>
            <w:shd w:val="clear" w:color="auto" w:fill="E2E2E2"/>
            <w:tcMar>
              <w:top w:w="40" w:type="dxa"/>
              <w:left w:w="400" w:type="dxa"/>
              <w:bottom w:w="40" w:type="dxa"/>
              <w:right w:w="40" w:type="dxa"/>
            </w:tcMar>
            <w:vAlign w:val="bottom"/>
          </w:tcPr>
          <w:p w14:paraId="0BC9A55A" w14:textId="77777777" w:rsidR="009F0928" w:rsidRDefault="002112BD">
            <w:pPr>
              <w:textAlignment w:val="bottom"/>
              <w:rPr>
                <w:rFonts w:ascii="Times New Roman" w:hAnsi="Times New Roman"/>
                <w:sz w:val="18"/>
                <w:szCs w:val="18"/>
              </w:rPr>
            </w:pPr>
            <w:r>
              <w:rPr>
                <w:rFonts w:ascii="Arial" w:eastAsia="宋体" w:hAnsi="Arial" w:cs="Arial"/>
                <w:sz w:val="18"/>
                <w:szCs w:val="18"/>
              </w:rPr>
              <w:t>Net unrealized gain</w:t>
            </w:r>
          </w:p>
        </w:tc>
        <w:tc>
          <w:tcPr>
            <w:tcW w:w="0" w:type="auto"/>
            <w:gridSpan w:val="2"/>
            <w:shd w:val="clear" w:color="auto" w:fill="E2E2E2"/>
            <w:tcMar>
              <w:top w:w="40" w:type="dxa"/>
              <w:left w:w="40" w:type="dxa"/>
              <w:bottom w:w="40" w:type="dxa"/>
            </w:tcMar>
            <w:vAlign w:val="bottom"/>
          </w:tcPr>
          <w:p w14:paraId="0BC9A55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w:t>
            </w:r>
          </w:p>
        </w:tc>
        <w:tc>
          <w:tcPr>
            <w:tcW w:w="0" w:type="auto"/>
            <w:shd w:val="clear" w:color="auto" w:fill="E2E2E2"/>
            <w:tcMar>
              <w:top w:w="40" w:type="dxa"/>
              <w:bottom w:w="40" w:type="dxa"/>
              <w:right w:w="40" w:type="dxa"/>
            </w:tcMar>
            <w:vAlign w:val="bottom"/>
          </w:tcPr>
          <w:p w14:paraId="0BC9A55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55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55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(27</w:t>
            </w:r>
          </w:p>
        </w:tc>
        <w:tc>
          <w:tcPr>
            <w:tcW w:w="0" w:type="auto"/>
            <w:shd w:val="clear" w:color="auto" w:fill="E2E2E2"/>
            <w:tcMar>
              <w:top w:w="40" w:type="dxa"/>
              <w:bottom w:w="40" w:type="dxa"/>
              <w:right w:w="40" w:type="dxa"/>
            </w:tcMar>
            <w:vAlign w:val="bottom"/>
          </w:tcPr>
          <w:p w14:paraId="0BC9A55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567" w14:textId="77777777">
        <w:tc>
          <w:tcPr>
            <w:tcW w:w="0" w:type="auto"/>
            <w:shd w:val="clear" w:color="auto" w:fill="auto"/>
            <w:tcMar>
              <w:top w:w="40" w:type="dxa"/>
              <w:left w:w="400" w:type="dxa"/>
              <w:bottom w:w="40" w:type="dxa"/>
              <w:right w:w="40" w:type="dxa"/>
            </w:tcMar>
            <w:vAlign w:val="bottom"/>
          </w:tcPr>
          <w:p w14:paraId="0BC9A561" w14:textId="77777777" w:rsidR="009F0928" w:rsidRDefault="002112BD">
            <w:pPr>
              <w:textAlignment w:val="bottom"/>
              <w:rPr>
                <w:rFonts w:ascii="Times New Roman" w:hAnsi="Times New Roman"/>
                <w:sz w:val="18"/>
                <w:szCs w:val="18"/>
              </w:rPr>
            </w:pPr>
            <w:r>
              <w:rPr>
                <w:rFonts w:ascii="Arial" w:eastAsia="宋体" w:hAnsi="Arial" w:cs="Arial"/>
                <w:sz w:val="18"/>
                <w:szCs w:val="18"/>
              </w:rPr>
              <w:t>Available-for-sale securities</w:t>
            </w:r>
          </w:p>
        </w:tc>
        <w:tc>
          <w:tcPr>
            <w:tcW w:w="0" w:type="auto"/>
            <w:gridSpan w:val="2"/>
            <w:shd w:val="clear" w:color="auto" w:fill="auto"/>
            <w:tcMar>
              <w:top w:w="40" w:type="dxa"/>
              <w:left w:w="40" w:type="dxa"/>
              <w:bottom w:w="40" w:type="dxa"/>
            </w:tcMar>
            <w:vAlign w:val="bottom"/>
          </w:tcPr>
          <w:p w14:paraId="0BC9A56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(61</w:t>
            </w:r>
          </w:p>
        </w:tc>
        <w:tc>
          <w:tcPr>
            <w:tcW w:w="0" w:type="auto"/>
            <w:shd w:val="clear" w:color="auto" w:fill="auto"/>
            <w:tcMar>
              <w:top w:w="40" w:type="dxa"/>
              <w:bottom w:w="40" w:type="dxa"/>
              <w:right w:w="40" w:type="dxa"/>
            </w:tcMar>
            <w:vAlign w:val="bottom"/>
          </w:tcPr>
          <w:p w14:paraId="0BC9A56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564"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56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w:t>
            </w:r>
          </w:p>
        </w:tc>
        <w:tc>
          <w:tcPr>
            <w:tcW w:w="0" w:type="auto"/>
            <w:shd w:val="clear" w:color="auto" w:fill="auto"/>
            <w:tcMar>
              <w:top w:w="40" w:type="dxa"/>
              <w:bottom w:w="40" w:type="dxa"/>
              <w:right w:w="40" w:type="dxa"/>
            </w:tcMar>
            <w:vAlign w:val="bottom"/>
          </w:tcPr>
          <w:p w14:paraId="0BC9A56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56E" w14:textId="77777777">
        <w:tc>
          <w:tcPr>
            <w:tcW w:w="0" w:type="auto"/>
            <w:shd w:val="clear" w:color="auto" w:fill="E2E2E2"/>
            <w:tcMar>
              <w:top w:w="40" w:type="dxa"/>
              <w:left w:w="40" w:type="dxa"/>
              <w:bottom w:w="40" w:type="dxa"/>
              <w:right w:w="40" w:type="dxa"/>
            </w:tcMar>
            <w:vAlign w:val="bottom"/>
          </w:tcPr>
          <w:p w14:paraId="0BC9A56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A56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(2,841</w:t>
            </w:r>
          </w:p>
        </w:tc>
        <w:tc>
          <w:tcPr>
            <w:tcW w:w="0" w:type="auto"/>
            <w:tcBorders>
              <w:top w:val="single" w:sz="8" w:space="0" w:color="000000"/>
              <w:bottom w:val="single" w:sz="8" w:space="0" w:color="000000"/>
            </w:tcBorders>
            <w:shd w:val="clear" w:color="auto" w:fill="E2E2E2"/>
            <w:tcMar>
              <w:top w:w="40" w:type="dxa"/>
              <w:bottom w:w="40" w:type="dxa"/>
              <w:right w:w="40" w:type="dxa"/>
            </w:tcMar>
            <w:vAlign w:val="bottom"/>
          </w:tcPr>
          <w:p w14:paraId="0BC9A56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56B"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tcBorders>
              <w:top w:val="single" w:sz="8" w:space="0" w:color="000000"/>
              <w:bottom w:val="single" w:sz="8" w:space="0" w:color="000000"/>
            </w:tcBorders>
            <w:shd w:val="clear" w:color="auto" w:fill="E2E2E2"/>
            <w:tcMar>
              <w:top w:w="40" w:type="dxa"/>
              <w:left w:w="40" w:type="dxa"/>
              <w:bottom w:w="40" w:type="dxa"/>
            </w:tcMar>
            <w:vAlign w:val="bottom"/>
          </w:tcPr>
          <w:p w14:paraId="0BC9A56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(3,150</w:t>
            </w:r>
          </w:p>
        </w:tc>
        <w:tc>
          <w:tcPr>
            <w:tcW w:w="0" w:type="auto"/>
            <w:tcBorders>
              <w:top w:val="single" w:sz="8" w:space="0" w:color="000000"/>
              <w:bottom w:val="single" w:sz="8" w:space="0" w:color="000000"/>
            </w:tcBorders>
            <w:shd w:val="clear" w:color="auto" w:fill="E2E2E2"/>
            <w:tcMar>
              <w:top w:w="40" w:type="dxa"/>
              <w:bottom w:w="40" w:type="dxa"/>
              <w:right w:w="40" w:type="dxa"/>
            </w:tcMar>
            <w:vAlign w:val="bottom"/>
          </w:tcPr>
          <w:p w14:paraId="0BC9A56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577" w14:textId="77777777">
        <w:tc>
          <w:tcPr>
            <w:tcW w:w="0" w:type="auto"/>
            <w:shd w:val="clear" w:color="auto" w:fill="auto"/>
            <w:tcMar>
              <w:top w:w="40" w:type="dxa"/>
              <w:left w:w="40" w:type="dxa"/>
              <w:bottom w:w="40" w:type="dxa"/>
              <w:right w:w="40" w:type="dxa"/>
            </w:tcMar>
            <w:vAlign w:val="bottom"/>
          </w:tcPr>
          <w:p w14:paraId="0BC9A56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57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57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1,731</w:t>
            </w:r>
          </w:p>
        </w:tc>
        <w:tc>
          <w:tcPr>
            <w:tcW w:w="0" w:type="auto"/>
            <w:tcBorders>
              <w:top w:val="single" w:sz="8" w:space="0" w:color="000000"/>
              <w:bottom w:val="double" w:sz="6" w:space="0" w:color="000000"/>
            </w:tcBorders>
            <w:shd w:val="clear" w:color="auto" w:fill="auto"/>
            <w:vAlign w:val="bottom"/>
          </w:tcPr>
          <w:p w14:paraId="0BC9A57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573"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57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57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1,868</w:t>
            </w:r>
          </w:p>
        </w:tc>
        <w:tc>
          <w:tcPr>
            <w:tcW w:w="0" w:type="auto"/>
            <w:tcBorders>
              <w:top w:val="single" w:sz="8" w:space="0" w:color="000000"/>
              <w:bottom w:val="double" w:sz="6" w:space="0" w:color="000000"/>
            </w:tcBorders>
            <w:shd w:val="clear" w:color="auto" w:fill="auto"/>
            <w:vAlign w:val="bottom"/>
          </w:tcPr>
          <w:p w14:paraId="0BC9A576" w14:textId="77777777" w:rsidR="009F0928" w:rsidRDefault="009F0928">
            <w:pPr>
              <w:textAlignment w:val="bottom"/>
              <w:rPr>
                <w:rFonts w:ascii="Times New Roman" w:hAnsi="Times New Roman"/>
                <w:sz w:val="20"/>
                <w:szCs w:val="20"/>
              </w:rPr>
            </w:pPr>
          </w:p>
        </w:tc>
      </w:tr>
    </w:tbl>
    <w:p w14:paraId="0BC9A578" w14:textId="77777777" w:rsidR="009F0928" w:rsidRDefault="009F0928">
      <w:pPr>
        <w:spacing w:line="288" w:lineRule="auto"/>
        <w:jc w:val="both"/>
        <w:rPr>
          <w:rFonts w:ascii="Times New Roman" w:hAnsi="Times New Roman"/>
          <w:sz w:val="20"/>
          <w:szCs w:val="20"/>
        </w:rPr>
      </w:pPr>
    </w:p>
    <w:p w14:paraId="0BC9A579" w14:textId="77777777" w:rsidR="009F0928" w:rsidRDefault="009F0928">
      <w:pPr>
        <w:spacing w:line="288" w:lineRule="auto"/>
        <w:ind w:firstLine="640"/>
        <w:jc w:val="both"/>
        <w:rPr>
          <w:rFonts w:ascii="Times New Roman" w:hAnsi="Times New Roman"/>
          <w:sz w:val="20"/>
          <w:szCs w:val="20"/>
        </w:rPr>
      </w:pPr>
    </w:p>
    <w:p w14:paraId="0BC9A57A"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As of December 31, 2019, our federal, state and foreign net operating loss carryforwards for income tax purposes were approximately $11 million, $55 million and $361 million, respectively. The federal and state net operating loss carryforwards are subject </w:t>
      </w:r>
      <w:r>
        <w:rPr>
          <w:rFonts w:ascii="Arial" w:eastAsia="宋体" w:hAnsi="Arial" w:cs="Arial"/>
          <w:sz w:val="20"/>
          <w:szCs w:val="20"/>
        </w:rPr>
        <w:t>to various limitations under Section 382 of the Internal Revenue Code and applicable state tax laws. If not utilized, the federal and state net operating loss carryforwards will begin to expire in 2021 and 2020, respectively. The carryforward periods on ou</w:t>
      </w:r>
      <w:r>
        <w:rPr>
          <w:rFonts w:ascii="Arial" w:eastAsia="宋体" w:hAnsi="Arial" w:cs="Arial"/>
          <w:sz w:val="20"/>
          <w:szCs w:val="20"/>
        </w:rPr>
        <w:t xml:space="preserve">r foreign net operating loss carryforwards are as follows: $12 million do not expire, $246 million are subject to valuation allowance and begin to expire in 2020, and $104 million are not subject to valuation allowance but will begin to expire in 2024. As </w:t>
      </w:r>
      <w:r>
        <w:rPr>
          <w:rFonts w:ascii="Arial" w:eastAsia="宋体" w:hAnsi="Arial" w:cs="Arial"/>
          <w:sz w:val="20"/>
          <w:szCs w:val="20"/>
        </w:rPr>
        <w:t xml:space="preserve">of December 31, 2019, state tax credit carryforwards for income tax purposes were approximately $140 million. Most of the state tax credits carry forward indefinitely. </w:t>
      </w:r>
    </w:p>
    <w:p w14:paraId="0BC9A57B" w14:textId="77777777" w:rsidR="009F0928" w:rsidRDefault="009F0928">
      <w:pPr>
        <w:spacing w:line="288" w:lineRule="auto"/>
        <w:ind w:firstLine="720"/>
        <w:jc w:val="both"/>
        <w:rPr>
          <w:rFonts w:ascii="Times New Roman" w:hAnsi="Times New Roman"/>
          <w:sz w:val="20"/>
          <w:szCs w:val="20"/>
        </w:rPr>
      </w:pPr>
    </w:p>
    <w:p w14:paraId="0BC9A57C"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As of December 31, 2019 and 2018, we maintained a valuation allowance with respect to </w:t>
      </w:r>
      <w:r>
        <w:rPr>
          <w:rFonts w:ascii="Arial" w:eastAsia="宋体" w:hAnsi="Arial" w:cs="Arial"/>
          <w:sz w:val="20"/>
          <w:szCs w:val="20"/>
        </w:rPr>
        <w:t xml:space="preserve">certain of our deferred tax assets relating primarily to operating losses in certain non-U.S. jurisdictions and certain state tax credits that we believe are not likely to be realized. </w:t>
      </w:r>
    </w:p>
    <w:p w14:paraId="0BC9A57D" w14:textId="77777777" w:rsidR="009F0928" w:rsidRDefault="009F0928">
      <w:pPr>
        <w:spacing w:line="288" w:lineRule="auto"/>
        <w:ind w:firstLine="720"/>
        <w:jc w:val="both"/>
        <w:rPr>
          <w:rFonts w:ascii="Times New Roman" w:hAnsi="Times New Roman"/>
          <w:sz w:val="20"/>
          <w:szCs w:val="20"/>
        </w:rPr>
      </w:pPr>
    </w:p>
    <w:p w14:paraId="0BC9A57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During the first half of 2017, we recognized a noncash income tax cha</w:t>
      </w:r>
      <w:r>
        <w:rPr>
          <w:rFonts w:ascii="Arial" w:eastAsia="宋体" w:hAnsi="Arial" w:cs="Arial"/>
          <w:sz w:val="20"/>
          <w:szCs w:val="20"/>
        </w:rPr>
        <w:t>rge of $376 million caused by the foreign exchange remeasurement of a deferred tax asset related to intangible assets in our foreign eBay platforms. In the first quarter of 2017, we achieved a step-up in the tax basis of the intangible assets in our foreig</w:t>
      </w:r>
      <w:r>
        <w:rPr>
          <w:rFonts w:ascii="Arial" w:eastAsia="宋体" w:hAnsi="Arial" w:cs="Arial"/>
          <w:sz w:val="20"/>
          <w:szCs w:val="20"/>
        </w:rPr>
        <w:t>n Classifieds platforms as a result of voluntary domiciling our Classifieds intangible assets into a new jurisdiction and recognized a tax benefit of $695 million.</w:t>
      </w:r>
    </w:p>
    <w:p w14:paraId="0BC9A57F" w14:textId="77777777" w:rsidR="009F0928" w:rsidRDefault="009F0928">
      <w:pPr>
        <w:spacing w:line="288" w:lineRule="auto"/>
        <w:ind w:firstLine="720"/>
        <w:jc w:val="both"/>
        <w:rPr>
          <w:rFonts w:ascii="Times New Roman" w:hAnsi="Times New Roman"/>
          <w:sz w:val="20"/>
          <w:szCs w:val="20"/>
        </w:rPr>
      </w:pPr>
    </w:p>
    <w:p w14:paraId="0BC9A58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On December 22, 2017, the Tax Cuts and Jobs Act was enacted. U.S. tax reform, among </w:t>
      </w:r>
      <w:r>
        <w:rPr>
          <w:rFonts w:ascii="Arial" w:eastAsia="宋体" w:hAnsi="Arial" w:cs="Arial"/>
          <w:sz w:val="20"/>
          <w:szCs w:val="20"/>
        </w:rPr>
        <w:t>other things, reduced the U.S. federal income tax rate from 35% to 21% beginning in 2018, instituted a dividends received deduction for foreign earnings with a related tax for the deemed repatriation of unremitted foreign earnings in 2017 and created a new</w:t>
      </w:r>
      <w:r>
        <w:rPr>
          <w:rFonts w:ascii="Arial" w:eastAsia="宋体" w:hAnsi="Arial" w:cs="Arial"/>
          <w:sz w:val="20"/>
          <w:szCs w:val="20"/>
        </w:rPr>
        <w:t xml:space="preserve"> U.S. minimum tax on earnings of foreign subsidiaries. We recognized a provisional income tax charge of $3.1 billion in the fourth quarter of 2017, which was included as a component of the income tax provision on our consolidated statement of income. We co</w:t>
      </w:r>
      <w:r>
        <w:rPr>
          <w:rFonts w:ascii="Arial" w:eastAsia="宋体" w:hAnsi="Arial" w:cs="Arial"/>
          <w:sz w:val="20"/>
          <w:szCs w:val="20"/>
        </w:rPr>
        <w:t xml:space="preserve">mpleted our analysis of the impacts of U.S. tax reform in the fourth quarter of 2018 and recognized a $463 million reduction to the provisional tax amounts recorded in the fourth quarter of 2017, which is included as a component of income tax expense from </w:t>
      </w:r>
      <w:r>
        <w:rPr>
          <w:rFonts w:ascii="Arial" w:eastAsia="宋体" w:hAnsi="Arial" w:cs="Arial"/>
          <w:sz w:val="20"/>
          <w:szCs w:val="20"/>
        </w:rPr>
        <w:t>continuing operations in 2018.</w:t>
      </w:r>
    </w:p>
    <w:p w14:paraId="0BC9A581" w14:textId="77777777" w:rsidR="009F0928" w:rsidRDefault="009F0928">
      <w:pPr>
        <w:spacing w:line="288" w:lineRule="auto"/>
        <w:ind w:firstLine="720"/>
        <w:jc w:val="both"/>
        <w:rPr>
          <w:rFonts w:ascii="Times New Roman" w:hAnsi="Times New Roman"/>
          <w:sz w:val="20"/>
          <w:szCs w:val="20"/>
        </w:rPr>
      </w:pPr>
    </w:p>
    <w:p w14:paraId="0BC9A58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Included in the 2017 provisional amount was $1.4 billion for the income tax on the deemed repatriation of unremitted foreign earnings. We completed the computation of this amount as part of the 2017 income tax return filing </w:t>
      </w:r>
      <w:r>
        <w:rPr>
          <w:rFonts w:ascii="Arial" w:eastAsia="宋体" w:hAnsi="Arial" w:cs="Arial"/>
          <w:sz w:val="20"/>
          <w:szCs w:val="20"/>
        </w:rPr>
        <w:t xml:space="preserve">and reduced the provisional amount by $18 million and we utilized $213 million of foreign tax credits to reduce the net </w:t>
      </w:r>
    </w:p>
    <w:p w14:paraId="0BC9A583" w14:textId="77777777" w:rsidR="009F0928" w:rsidRDefault="009F0928">
      <w:pPr>
        <w:rPr>
          <w:rFonts w:ascii="Times New Roman" w:hAnsi="Times New Roman"/>
          <w:sz w:val="20"/>
          <w:szCs w:val="20"/>
        </w:rPr>
      </w:pPr>
    </w:p>
    <w:p w14:paraId="0BC9A584"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F-41</w:t>
      </w:r>
    </w:p>
    <w:p w14:paraId="0BC9A585" w14:textId="77777777" w:rsidR="009F0928" w:rsidRDefault="002112BD">
      <w:r>
        <w:rPr>
          <w:rFonts w:ascii="Times New Roman" w:hAnsi="Times New Roman"/>
          <w:sz w:val="18"/>
          <w:szCs w:val="18"/>
        </w:rPr>
        <w:pict w14:anchorId="0BC9B523">
          <v:rect id="_x0000_i1127" style="width:415.3pt;height:1.5pt" o:hralign="center" o:hrstd="t" o:hr="t" fillcolor="#a0a0a0" stroked="f"/>
        </w:pict>
      </w:r>
    </w:p>
    <w:p w14:paraId="0BC9A586"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A587"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A588" w14:textId="77777777" w:rsidR="009F0928" w:rsidRDefault="009F0928">
      <w:pPr>
        <w:spacing w:line="288" w:lineRule="auto"/>
        <w:jc w:val="center"/>
        <w:rPr>
          <w:rFonts w:ascii="Times New Roman" w:hAnsi="Times New Roman"/>
          <w:sz w:val="20"/>
          <w:szCs w:val="20"/>
        </w:rPr>
      </w:pPr>
    </w:p>
    <w:p w14:paraId="0BC9A589" w14:textId="77777777" w:rsidR="009F0928" w:rsidRDefault="009F0928">
      <w:pPr>
        <w:rPr>
          <w:rFonts w:ascii="Times New Roman" w:hAnsi="Times New Roman"/>
          <w:sz w:val="20"/>
          <w:szCs w:val="20"/>
        </w:rPr>
      </w:pPr>
    </w:p>
    <w:p w14:paraId="0BC9A58A"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liability, both in 2018. We elected to pay the liability for</w:t>
      </w:r>
      <w:r>
        <w:rPr>
          <w:rFonts w:ascii="Arial" w:eastAsia="宋体" w:hAnsi="Arial" w:cs="Arial"/>
          <w:sz w:val="20"/>
          <w:szCs w:val="20"/>
        </w:rPr>
        <w:t xml:space="preserve"> the deemed repatriation of foreign earnings in installments, as specified by the Act. Accordingly, as of December 31, 2019 and 2018, $884 million and $968 million of our liability for deemed repatriation of foreign earnings was included in other liabiliti</w:t>
      </w:r>
      <w:r>
        <w:rPr>
          <w:rFonts w:ascii="Arial" w:eastAsia="宋体" w:hAnsi="Arial" w:cs="Arial"/>
          <w:sz w:val="20"/>
          <w:szCs w:val="20"/>
        </w:rPr>
        <w:t xml:space="preserve">es on our consolidated balance sheet. </w:t>
      </w:r>
    </w:p>
    <w:p w14:paraId="0BC9A58B" w14:textId="77777777" w:rsidR="009F0928" w:rsidRDefault="009F0928">
      <w:pPr>
        <w:spacing w:line="288" w:lineRule="auto"/>
        <w:ind w:firstLine="720"/>
        <w:jc w:val="both"/>
        <w:rPr>
          <w:rFonts w:ascii="Times New Roman" w:hAnsi="Times New Roman"/>
          <w:sz w:val="20"/>
          <w:szCs w:val="20"/>
        </w:rPr>
      </w:pPr>
    </w:p>
    <w:p w14:paraId="0BC9A58C"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remaining provisional amount of $1.7 billion was for the deferred income tax effects of the Act, primarily the impact of the new U.S. minimum tax on foreign earnings, partially offset by the reversal of our exist</w:t>
      </w:r>
      <w:r>
        <w:rPr>
          <w:rFonts w:ascii="Arial" w:eastAsia="宋体" w:hAnsi="Arial" w:cs="Arial"/>
          <w:sz w:val="20"/>
          <w:szCs w:val="20"/>
        </w:rPr>
        <w:t>ing deferred tax liability associated with repatriation of unremitted foreign earnings. We completed our analysis of the components of the deferred tax computation in the fourth quarter of 2018 and recognized a tax benefit of $445 million as a reduction to</w:t>
      </w:r>
      <w:r>
        <w:rPr>
          <w:rFonts w:ascii="Arial" w:eastAsia="宋体" w:hAnsi="Arial" w:cs="Arial"/>
          <w:sz w:val="20"/>
          <w:szCs w:val="20"/>
        </w:rPr>
        <w:t xml:space="preserve"> the provisional amounts recorded in the fourth quarter of 2017 for the deferred income tax effects of the Act. This amount includes a $389 million tax benefit as a result of clarification by Swiss tax authorities regarding the applicability of withholding</w:t>
      </w:r>
      <w:r>
        <w:rPr>
          <w:rFonts w:ascii="Arial" w:eastAsia="宋体" w:hAnsi="Arial" w:cs="Arial"/>
          <w:sz w:val="20"/>
          <w:szCs w:val="20"/>
        </w:rPr>
        <w:t xml:space="preserve"> tax to repatriated earnings in October 2018.</w:t>
      </w:r>
    </w:p>
    <w:p w14:paraId="0BC9A58D" w14:textId="77777777" w:rsidR="009F0928" w:rsidRDefault="009F0928">
      <w:pPr>
        <w:spacing w:line="288" w:lineRule="auto"/>
        <w:ind w:firstLine="720"/>
        <w:jc w:val="both"/>
        <w:rPr>
          <w:rFonts w:ascii="Times New Roman" w:hAnsi="Times New Roman"/>
          <w:sz w:val="20"/>
          <w:szCs w:val="20"/>
        </w:rPr>
      </w:pPr>
    </w:p>
    <w:p w14:paraId="0BC9A58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We have recognized the tax consequences of all foreign unremitted earnings and management has no specific plans to indefinitely reinvest the unremitted earnings of our foreign subsidiaries as of the </w:t>
      </w:r>
      <w:r>
        <w:rPr>
          <w:rFonts w:ascii="Arial" w:eastAsia="宋体" w:hAnsi="Arial" w:cs="Arial"/>
          <w:sz w:val="20"/>
          <w:szCs w:val="20"/>
        </w:rPr>
        <w:t>balance sheet date. We have not provided for deferred taxes on outside basis differences in our investments in our foreign subsidiaries that are unrelated to unremitted earnings. These basis differences will be indefinitely reinvested. A determination of t</w:t>
      </w:r>
      <w:r>
        <w:rPr>
          <w:rFonts w:ascii="Arial" w:eastAsia="宋体" w:hAnsi="Arial" w:cs="Arial"/>
          <w:sz w:val="20"/>
          <w:szCs w:val="20"/>
        </w:rPr>
        <w:t>he unrecognized deferred taxes related to these other components of our outside basis difference is not practicable.</w:t>
      </w:r>
    </w:p>
    <w:p w14:paraId="0BC9A58F" w14:textId="77777777" w:rsidR="009F0928" w:rsidRDefault="009F0928">
      <w:pPr>
        <w:spacing w:line="288" w:lineRule="auto"/>
        <w:ind w:firstLine="720"/>
        <w:jc w:val="both"/>
        <w:rPr>
          <w:rFonts w:ascii="Times New Roman" w:hAnsi="Times New Roman"/>
          <w:sz w:val="20"/>
          <w:szCs w:val="20"/>
        </w:rPr>
      </w:pPr>
    </w:p>
    <w:p w14:paraId="0BC9A59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table reflects changes in unrecognized tax benefits for the years ended December 31, 2019, 2018 and 2017 (in millions):</w:t>
      </w:r>
    </w:p>
    <w:tbl>
      <w:tblPr>
        <w:tblW w:w="5000" w:type="pct"/>
        <w:tblCellMar>
          <w:left w:w="0" w:type="dxa"/>
          <w:right w:w="0" w:type="dxa"/>
        </w:tblCellMar>
        <w:tblLook w:val="04A0" w:firstRow="1" w:lastRow="0" w:firstColumn="1" w:lastColumn="0" w:noHBand="0" w:noVBand="1"/>
      </w:tblPr>
      <w:tblGrid>
        <w:gridCol w:w="4821"/>
        <w:gridCol w:w="141"/>
        <w:gridCol w:w="834"/>
        <w:gridCol w:w="100"/>
        <w:gridCol w:w="130"/>
        <w:gridCol w:w="141"/>
        <w:gridCol w:w="834"/>
        <w:gridCol w:w="100"/>
        <w:gridCol w:w="130"/>
        <w:gridCol w:w="141"/>
        <w:gridCol w:w="834"/>
        <w:gridCol w:w="100"/>
      </w:tblGrid>
      <w:tr w:rsidR="009F0928" w14:paraId="0BC9A592" w14:textId="77777777">
        <w:tc>
          <w:tcPr>
            <w:tcW w:w="0" w:type="auto"/>
            <w:gridSpan w:val="12"/>
            <w:shd w:val="clear" w:color="auto" w:fill="auto"/>
            <w:vAlign w:val="center"/>
          </w:tcPr>
          <w:p w14:paraId="0BC9A591" w14:textId="77777777" w:rsidR="009F0928" w:rsidRDefault="009F0928">
            <w:pPr>
              <w:rPr>
                <w:rFonts w:ascii="Times New Roman" w:hAnsi="Times New Roman"/>
                <w:sz w:val="20"/>
                <w:szCs w:val="20"/>
              </w:rPr>
            </w:pPr>
          </w:p>
        </w:tc>
      </w:tr>
      <w:tr w:rsidR="009F0928" w14:paraId="0BC9A59F" w14:textId="77777777">
        <w:tc>
          <w:tcPr>
            <w:tcW w:w="2950" w:type="pct"/>
            <w:shd w:val="clear" w:color="auto" w:fill="auto"/>
            <w:vAlign w:val="center"/>
          </w:tcPr>
          <w:p w14:paraId="0BC9A593" w14:textId="77777777" w:rsidR="009F0928" w:rsidRDefault="009F0928">
            <w:pPr>
              <w:rPr>
                <w:rFonts w:ascii="Times New Roman" w:hAnsi="Times New Roman"/>
                <w:sz w:val="20"/>
                <w:szCs w:val="20"/>
              </w:rPr>
            </w:pPr>
          </w:p>
        </w:tc>
        <w:tc>
          <w:tcPr>
            <w:tcW w:w="50" w:type="pct"/>
            <w:shd w:val="clear" w:color="auto" w:fill="auto"/>
            <w:vAlign w:val="center"/>
          </w:tcPr>
          <w:p w14:paraId="0BC9A594" w14:textId="77777777" w:rsidR="009F0928" w:rsidRDefault="009F0928">
            <w:pPr>
              <w:rPr>
                <w:rFonts w:ascii="Times New Roman" w:hAnsi="Times New Roman"/>
                <w:sz w:val="20"/>
                <w:szCs w:val="20"/>
              </w:rPr>
            </w:pPr>
          </w:p>
        </w:tc>
        <w:tc>
          <w:tcPr>
            <w:tcW w:w="550" w:type="pct"/>
            <w:shd w:val="clear" w:color="auto" w:fill="auto"/>
            <w:vAlign w:val="center"/>
          </w:tcPr>
          <w:p w14:paraId="0BC9A595" w14:textId="77777777" w:rsidR="009F0928" w:rsidRDefault="009F0928">
            <w:pPr>
              <w:rPr>
                <w:rFonts w:ascii="Times New Roman" w:hAnsi="Times New Roman"/>
                <w:sz w:val="20"/>
                <w:szCs w:val="20"/>
              </w:rPr>
            </w:pPr>
          </w:p>
        </w:tc>
        <w:tc>
          <w:tcPr>
            <w:tcW w:w="50" w:type="pct"/>
            <w:shd w:val="clear" w:color="auto" w:fill="auto"/>
            <w:vAlign w:val="center"/>
          </w:tcPr>
          <w:p w14:paraId="0BC9A596" w14:textId="77777777" w:rsidR="009F0928" w:rsidRDefault="009F0928">
            <w:pPr>
              <w:rPr>
                <w:rFonts w:ascii="Times New Roman" w:hAnsi="Times New Roman"/>
                <w:sz w:val="20"/>
                <w:szCs w:val="20"/>
              </w:rPr>
            </w:pPr>
          </w:p>
        </w:tc>
        <w:tc>
          <w:tcPr>
            <w:tcW w:w="50" w:type="pct"/>
            <w:shd w:val="clear" w:color="auto" w:fill="auto"/>
            <w:vAlign w:val="center"/>
          </w:tcPr>
          <w:p w14:paraId="0BC9A597" w14:textId="77777777" w:rsidR="009F0928" w:rsidRDefault="009F0928">
            <w:pPr>
              <w:rPr>
                <w:rFonts w:ascii="Times New Roman" w:hAnsi="Times New Roman"/>
                <w:sz w:val="20"/>
                <w:szCs w:val="20"/>
              </w:rPr>
            </w:pPr>
          </w:p>
        </w:tc>
        <w:tc>
          <w:tcPr>
            <w:tcW w:w="50" w:type="pct"/>
            <w:shd w:val="clear" w:color="auto" w:fill="auto"/>
            <w:vAlign w:val="center"/>
          </w:tcPr>
          <w:p w14:paraId="0BC9A598" w14:textId="77777777" w:rsidR="009F0928" w:rsidRDefault="009F0928">
            <w:pPr>
              <w:rPr>
                <w:rFonts w:ascii="Times New Roman" w:hAnsi="Times New Roman"/>
                <w:sz w:val="20"/>
                <w:szCs w:val="20"/>
              </w:rPr>
            </w:pPr>
          </w:p>
        </w:tc>
        <w:tc>
          <w:tcPr>
            <w:tcW w:w="550" w:type="pct"/>
            <w:shd w:val="clear" w:color="auto" w:fill="auto"/>
            <w:vAlign w:val="center"/>
          </w:tcPr>
          <w:p w14:paraId="0BC9A599" w14:textId="77777777" w:rsidR="009F0928" w:rsidRDefault="009F0928">
            <w:pPr>
              <w:rPr>
                <w:rFonts w:ascii="Times New Roman" w:hAnsi="Times New Roman"/>
                <w:sz w:val="20"/>
                <w:szCs w:val="20"/>
              </w:rPr>
            </w:pPr>
          </w:p>
        </w:tc>
        <w:tc>
          <w:tcPr>
            <w:tcW w:w="50" w:type="pct"/>
            <w:shd w:val="clear" w:color="auto" w:fill="auto"/>
            <w:vAlign w:val="center"/>
          </w:tcPr>
          <w:p w14:paraId="0BC9A59A" w14:textId="77777777" w:rsidR="009F0928" w:rsidRDefault="009F0928">
            <w:pPr>
              <w:rPr>
                <w:rFonts w:ascii="Times New Roman" w:hAnsi="Times New Roman"/>
                <w:sz w:val="20"/>
                <w:szCs w:val="20"/>
              </w:rPr>
            </w:pPr>
          </w:p>
        </w:tc>
        <w:tc>
          <w:tcPr>
            <w:tcW w:w="50" w:type="pct"/>
            <w:shd w:val="clear" w:color="auto" w:fill="auto"/>
            <w:vAlign w:val="center"/>
          </w:tcPr>
          <w:p w14:paraId="0BC9A59B" w14:textId="77777777" w:rsidR="009F0928" w:rsidRDefault="009F0928">
            <w:pPr>
              <w:rPr>
                <w:rFonts w:ascii="Times New Roman" w:hAnsi="Times New Roman"/>
                <w:sz w:val="20"/>
                <w:szCs w:val="20"/>
              </w:rPr>
            </w:pPr>
          </w:p>
        </w:tc>
        <w:tc>
          <w:tcPr>
            <w:tcW w:w="50" w:type="pct"/>
            <w:shd w:val="clear" w:color="auto" w:fill="auto"/>
            <w:vAlign w:val="center"/>
          </w:tcPr>
          <w:p w14:paraId="0BC9A59C" w14:textId="77777777" w:rsidR="009F0928" w:rsidRDefault="009F0928">
            <w:pPr>
              <w:rPr>
                <w:rFonts w:ascii="Times New Roman" w:hAnsi="Times New Roman"/>
                <w:sz w:val="20"/>
                <w:szCs w:val="20"/>
              </w:rPr>
            </w:pPr>
          </w:p>
        </w:tc>
        <w:tc>
          <w:tcPr>
            <w:tcW w:w="550" w:type="pct"/>
            <w:shd w:val="clear" w:color="auto" w:fill="auto"/>
            <w:vAlign w:val="center"/>
          </w:tcPr>
          <w:p w14:paraId="0BC9A59D" w14:textId="77777777" w:rsidR="009F0928" w:rsidRDefault="009F0928">
            <w:pPr>
              <w:rPr>
                <w:rFonts w:ascii="Times New Roman" w:hAnsi="Times New Roman"/>
                <w:sz w:val="20"/>
                <w:szCs w:val="20"/>
              </w:rPr>
            </w:pPr>
          </w:p>
        </w:tc>
        <w:tc>
          <w:tcPr>
            <w:tcW w:w="50" w:type="pct"/>
            <w:shd w:val="clear" w:color="auto" w:fill="auto"/>
            <w:vAlign w:val="center"/>
          </w:tcPr>
          <w:p w14:paraId="0BC9A59E" w14:textId="77777777" w:rsidR="009F0928" w:rsidRDefault="009F0928">
            <w:pPr>
              <w:rPr>
                <w:rFonts w:ascii="Times New Roman" w:hAnsi="Times New Roman"/>
                <w:sz w:val="20"/>
                <w:szCs w:val="20"/>
              </w:rPr>
            </w:pPr>
          </w:p>
        </w:tc>
      </w:tr>
      <w:tr w:rsidR="009F0928" w14:paraId="0BC9A5A6" w14:textId="77777777">
        <w:tc>
          <w:tcPr>
            <w:tcW w:w="0" w:type="auto"/>
            <w:shd w:val="clear" w:color="auto" w:fill="auto"/>
            <w:tcMar>
              <w:top w:w="40" w:type="dxa"/>
              <w:left w:w="40" w:type="dxa"/>
              <w:bottom w:w="40" w:type="dxa"/>
              <w:right w:w="40" w:type="dxa"/>
            </w:tcMar>
            <w:vAlign w:val="bottom"/>
          </w:tcPr>
          <w:p w14:paraId="0BC9A5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5A1"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A5A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5A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0BC9A5A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5A5"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2017</w:t>
            </w:r>
          </w:p>
        </w:tc>
      </w:tr>
      <w:tr w:rsidR="009F0928" w14:paraId="0BC9A5B3" w14:textId="77777777">
        <w:tc>
          <w:tcPr>
            <w:tcW w:w="0" w:type="auto"/>
            <w:shd w:val="clear" w:color="auto" w:fill="E2E2E2"/>
            <w:tcMar>
              <w:top w:w="40" w:type="dxa"/>
              <w:left w:w="40" w:type="dxa"/>
              <w:bottom w:w="40" w:type="dxa"/>
              <w:right w:w="40" w:type="dxa"/>
            </w:tcMar>
            <w:vAlign w:val="bottom"/>
          </w:tcPr>
          <w:p w14:paraId="0BC9A5A7" w14:textId="77777777" w:rsidR="009F0928" w:rsidRDefault="002112BD">
            <w:pPr>
              <w:textAlignment w:val="bottom"/>
              <w:rPr>
                <w:rFonts w:ascii="Times New Roman" w:hAnsi="Times New Roman"/>
                <w:sz w:val="18"/>
                <w:szCs w:val="18"/>
              </w:rPr>
            </w:pPr>
            <w:r>
              <w:rPr>
                <w:rFonts w:ascii="Arial" w:eastAsia="宋体" w:hAnsi="Arial" w:cs="Arial"/>
                <w:sz w:val="18"/>
                <w:szCs w:val="18"/>
              </w:rPr>
              <w:t>Gross amounts of unrecognized tax benefits as of the beginning of the period</w:t>
            </w:r>
          </w:p>
        </w:tc>
        <w:tc>
          <w:tcPr>
            <w:tcW w:w="0" w:type="auto"/>
            <w:shd w:val="clear" w:color="auto" w:fill="E2E2E2"/>
            <w:tcMar>
              <w:top w:w="40" w:type="dxa"/>
              <w:left w:w="40" w:type="dxa"/>
              <w:bottom w:w="40" w:type="dxa"/>
            </w:tcMar>
            <w:vAlign w:val="bottom"/>
          </w:tcPr>
          <w:p w14:paraId="0BC9A5A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5A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551</w:t>
            </w:r>
          </w:p>
        </w:tc>
        <w:tc>
          <w:tcPr>
            <w:tcW w:w="0" w:type="auto"/>
            <w:shd w:val="clear" w:color="auto" w:fill="E2E2E2"/>
            <w:vAlign w:val="bottom"/>
          </w:tcPr>
          <w:p w14:paraId="0BC9A5A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5A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A5A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tcMar>
              <w:top w:w="40" w:type="dxa"/>
              <w:bottom w:w="40" w:type="dxa"/>
            </w:tcMar>
            <w:vAlign w:val="bottom"/>
          </w:tcPr>
          <w:p w14:paraId="0BC9A5A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487</w:t>
            </w:r>
          </w:p>
        </w:tc>
        <w:tc>
          <w:tcPr>
            <w:tcW w:w="0" w:type="auto"/>
            <w:tcBorders>
              <w:top w:val="single" w:sz="8" w:space="0" w:color="000000"/>
            </w:tcBorders>
            <w:shd w:val="clear" w:color="auto" w:fill="E2E2E2"/>
            <w:vAlign w:val="bottom"/>
          </w:tcPr>
          <w:p w14:paraId="0BC9A5A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5A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A5B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tcMar>
              <w:top w:w="40" w:type="dxa"/>
              <w:bottom w:w="40" w:type="dxa"/>
            </w:tcMar>
            <w:vAlign w:val="bottom"/>
          </w:tcPr>
          <w:p w14:paraId="0BC9A5B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458</w:t>
            </w:r>
          </w:p>
        </w:tc>
        <w:tc>
          <w:tcPr>
            <w:tcW w:w="0" w:type="auto"/>
            <w:tcBorders>
              <w:top w:val="single" w:sz="8" w:space="0" w:color="000000"/>
            </w:tcBorders>
            <w:shd w:val="clear" w:color="auto" w:fill="E2E2E2"/>
            <w:vAlign w:val="bottom"/>
          </w:tcPr>
          <w:p w14:paraId="0BC9A5B2" w14:textId="77777777" w:rsidR="009F0928" w:rsidRDefault="009F0928">
            <w:pPr>
              <w:textAlignment w:val="bottom"/>
              <w:rPr>
                <w:rFonts w:ascii="Times New Roman" w:hAnsi="Times New Roman"/>
                <w:sz w:val="20"/>
                <w:szCs w:val="20"/>
              </w:rPr>
            </w:pPr>
          </w:p>
        </w:tc>
      </w:tr>
      <w:tr w:rsidR="009F0928" w14:paraId="0BC9A5BD" w14:textId="77777777">
        <w:tc>
          <w:tcPr>
            <w:tcW w:w="0" w:type="auto"/>
            <w:shd w:val="clear" w:color="auto" w:fill="auto"/>
            <w:tcMar>
              <w:top w:w="40" w:type="dxa"/>
              <w:left w:w="40" w:type="dxa"/>
              <w:bottom w:w="40" w:type="dxa"/>
              <w:right w:w="40" w:type="dxa"/>
            </w:tcMar>
            <w:vAlign w:val="bottom"/>
          </w:tcPr>
          <w:p w14:paraId="0BC9A5B4" w14:textId="77777777" w:rsidR="009F0928" w:rsidRDefault="002112BD">
            <w:pPr>
              <w:textAlignment w:val="bottom"/>
              <w:rPr>
                <w:rFonts w:ascii="Times New Roman" w:hAnsi="Times New Roman"/>
                <w:sz w:val="18"/>
                <w:szCs w:val="18"/>
              </w:rPr>
            </w:pPr>
            <w:r>
              <w:rPr>
                <w:rFonts w:ascii="Arial" w:eastAsia="宋体" w:hAnsi="Arial" w:cs="Arial"/>
                <w:sz w:val="18"/>
                <w:szCs w:val="18"/>
              </w:rPr>
              <w:t>Increases related to prior period tax positions</w:t>
            </w:r>
          </w:p>
        </w:tc>
        <w:tc>
          <w:tcPr>
            <w:tcW w:w="0" w:type="auto"/>
            <w:gridSpan w:val="2"/>
            <w:shd w:val="clear" w:color="auto" w:fill="auto"/>
            <w:tcMar>
              <w:top w:w="40" w:type="dxa"/>
              <w:left w:w="40" w:type="dxa"/>
              <w:bottom w:w="40" w:type="dxa"/>
            </w:tcMar>
            <w:vAlign w:val="bottom"/>
          </w:tcPr>
          <w:p w14:paraId="0BC9A5B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44</w:t>
            </w:r>
          </w:p>
        </w:tc>
        <w:tc>
          <w:tcPr>
            <w:tcW w:w="0" w:type="auto"/>
            <w:shd w:val="clear" w:color="auto" w:fill="auto"/>
            <w:vAlign w:val="bottom"/>
          </w:tcPr>
          <w:p w14:paraId="0BC9A5B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5B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5B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64</w:t>
            </w:r>
          </w:p>
        </w:tc>
        <w:tc>
          <w:tcPr>
            <w:tcW w:w="0" w:type="auto"/>
            <w:shd w:val="clear" w:color="auto" w:fill="auto"/>
            <w:vAlign w:val="bottom"/>
          </w:tcPr>
          <w:p w14:paraId="0BC9A5B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5B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5B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37</w:t>
            </w:r>
          </w:p>
        </w:tc>
        <w:tc>
          <w:tcPr>
            <w:tcW w:w="0" w:type="auto"/>
            <w:shd w:val="clear" w:color="auto" w:fill="auto"/>
            <w:vAlign w:val="bottom"/>
          </w:tcPr>
          <w:p w14:paraId="0BC9A5BC" w14:textId="77777777" w:rsidR="009F0928" w:rsidRDefault="009F0928">
            <w:pPr>
              <w:textAlignment w:val="bottom"/>
              <w:rPr>
                <w:rFonts w:ascii="Times New Roman" w:hAnsi="Times New Roman"/>
                <w:sz w:val="20"/>
                <w:szCs w:val="20"/>
              </w:rPr>
            </w:pPr>
          </w:p>
        </w:tc>
      </w:tr>
      <w:tr w:rsidR="009F0928" w14:paraId="0BC9A5C7" w14:textId="77777777">
        <w:tc>
          <w:tcPr>
            <w:tcW w:w="0" w:type="auto"/>
            <w:shd w:val="clear" w:color="auto" w:fill="E2E2E2"/>
            <w:tcMar>
              <w:top w:w="40" w:type="dxa"/>
              <w:left w:w="40" w:type="dxa"/>
              <w:bottom w:w="40" w:type="dxa"/>
              <w:right w:w="40" w:type="dxa"/>
            </w:tcMar>
            <w:vAlign w:val="bottom"/>
          </w:tcPr>
          <w:p w14:paraId="0BC9A5BE"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Decreases related to prior period tax </w:t>
            </w:r>
            <w:r>
              <w:rPr>
                <w:rFonts w:ascii="Arial" w:eastAsia="宋体" w:hAnsi="Arial" w:cs="Arial"/>
                <w:sz w:val="18"/>
                <w:szCs w:val="18"/>
              </w:rPr>
              <w:t>positions</w:t>
            </w:r>
          </w:p>
        </w:tc>
        <w:tc>
          <w:tcPr>
            <w:tcW w:w="0" w:type="auto"/>
            <w:gridSpan w:val="2"/>
            <w:shd w:val="clear" w:color="auto" w:fill="E2E2E2"/>
            <w:tcMar>
              <w:top w:w="40" w:type="dxa"/>
              <w:left w:w="40" w:type="dxa"/>
              <w:bottom w:w="40" w:type="dxa"/>
            </w:tcMar>
            <w:vAlign w:val="bottom"/>
          </w:tcPr>
          <w:p w14:paraId="0BC9A5B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(114</w:t>
            </w:r>
          </w:p>
        </w:tc>
        <w:tc>
          <w:tcPr>
            <w:tcW w:w="0" w:type="auto"/>
            <w:shd w:val="clear" w:color="auto" w:fill="E2E2E2"/>
            <w:tcMar>
              <w:top w:w="40" w:type="dxa"/>
              <w:bottom w:w="40" w:type="dxa"/>
              <w:right w:w="40" w:type="dxa"/>
            </w:tcMar>
            <w:vAlign w:val="bottom"/>
          </w:tcPr>
          <w:p w14:paraId="0BC9A5C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5C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5C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w:t>
            </w:r>
          </w:p>
        </w:tc>
        <w:tc>
          <w:tcPr>
            <w:tcW w:w="0" w:type="auto"/>
            <w:shd w:val="clear" w:color="auto" w:fill="E2E2E2"/>
            <w:tcMar>
              <w:top w:w="40" w:type="dxa"/>
              <w:bottom w:w="40" w:type="dxa"/>
              <w:right w:w="40" w:type="dxa"/>
            </w:tcMar>
            <w:vAlign w:val="bottom"/>
          </w:tcPr>
          <w:p w14:paraId="0BC9A5C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5C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5C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w:t>
            </w:r>
          </w:p>
        </w:tc>
        <w:tc>
          <w:tcPr>
            <w:tcW w:w="0" w:type="auto"/>
            <w:shd w:val="clear" w:color="auto" w:fill="E2E2E2"/>
            <w:tcMar>
              <w:top w:w="40" w:type="dxa"/>
              <w:bottom w:w="40" w:type="dxa"/>
              <w:right w:w="40" w:type="dxa"/>
            </w:tcMar>
            <w:vAlign w:val="bottom"/>
          </w:tcPr>
          <w:p w14:paraId="0BC9A5C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5D1" w14:textId="77777777">
        <w:tc>
          <w:tcPr>
            <w:tcW w:w="0" w:type="auto"/>
            <w:shd w:val="clear" w:color="auto" w:fill="auto"/>
            <w:tcMar>
              <w:top w:w="40" w:type="dxa"/>
              <w:left w:w="40" w:type="dxa"/>
              <w:bottom w:w="40" w:type="dxa"/>
              <w:right w:w="40" w:type="dxa"/>
            </w:tcMar>
            <w:vAlign w:val="bottom"/>
          </w:tcPr>
          <w:p w14:paraId="0BC9A5C8" w14:textId="77777777" w:rsidR="009F0928" w:rsidRDefault="002112BD">
            <w:pPr>
              <w:textAlignment w:val="bottom"/>
              <w:rPr>
                <w:rFonts w:ascii="Times New Roman" w:hAnsi="Times New Roman"/>
                <w:sz w:val="18"/>
                <w:szCs w:val="18"/>
              </w:rPr>
            </w:pPr>
            <w:r>
              <w:rPr>
                <w:rFonts w:ascii="Arial" w:eastAsia="宋体" w:hAnsi="Arial" w:cs="Arial"/>
                <w:sz w:val="18"/>
                <w:szCs w:val="18"/>
              </w:rPr>
              <w:t>Increases related to current period tax positions</w:t>
            </w:r>
          </w:p>
        </w:tc>
        <w:tc>
          <w:tcPr>
            <w:tcW w:w="0" w:type="auto"/>
            <w:gridSpan w:val="2"/>
            <w:shd w:val="clear" w:color="auto" w:fill="auto"/>
            <w:tcMar>
              <w:top w:w="40" w:type="dxa"/>
              <w:left w:w="40" w:type="dxa"/>
              <w:bottom w:w="40" w:type="dxa"/>
            </w:tcMar>
            <w:vAlign w:val="bottom"/>
          </w:tcPr>
          <w:p w14:paraId="0BC9A5C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w:t>
            </w:r>
          </w:p>
        </w:tc>
        <w:tc>
          <w:tcPr>
            <w:tcW w:w="0" w:type="auto"/>
            <w:shd w:val="clear" w:color="auto" w:fill="auto"/>
            <w:vAlign w:val="bottom"/>
          </w:tcPr>
          <w:p w14:paraId="0BC9A5C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5C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5C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w:t>
            </w:r>
          </w:p>
        </w:tc>
        <w:tc>
          <w:tcPr>
            <w:tcW w:w="0" w:type="auto"/>
            <w:shd w:val="clear" w:color="auto" w:fill="auto"/>
            <w:vAlign w:val="bottom"/>
          </w:tcPr>
          <w:p w14:paraId="0BC9A5C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5C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5C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58</w:t>
            </w:r>
          </w:p>
        </w:tc>
        <w:tc>
          <w:tcPr>
            <w:tcW w:w="0" w:type="auto"/>
            <w:shd w:val="clear" w:color="auto" w:fill="auto"/>
            <w:vAlign w:val="bottom"/>
          </w:tcPr>
          <w:p w14:paraId="0BC9A5D0" w14:textId="77777777" w:rsidR="009F0928" w:rsidRDefault="009F0928">
            <w:pPr>
              <w:textAlignment w:val="bottom"/>
              <w:rPr>
                <w:rFonts w:ascii="Times New Roman" w:hAnsi="Times New Roman"/>
                <w:sz w:val="20"/>
                <w:szCs w:val="20"/>
              </w:rPr>
            </w:pPr>
          </w:p>
        </w:tc>
      </w:tr>
      <w:tr w:rsidR="009F0928" w14:paraId="0BC9A5DB" w14:textId="77777777">
        <w:tc>
          <w:tcPr>
            <w:tcW w:w="0" w:type="auto"/>
            <w:shd w:val="clear" w:color="auto" w:fill="E2E2E2"/>
            <w:tcMar>
              <w:top w:w="40" w:type="dxa"/>
              <w:left w:w="40" w:type="dxa"/>
              <w:bottom w:w="40" w:type="dxa"/>
              <w:right w:w="40" w:type="dxa"/>
            </w:tcMar>
            <w:vAlign w:val="bottom"/>
          </w:tcPr>
          <w:p w14:paraId="0BC9A5D2" w14:textId="77777777" w:rsidR="009F0928" w:rsidRDefault="002112BD">
            <w:pPr>
              <w:textAlignment w:val="bottom"/>
              <w:rPr>
                <w:rFonts w:ascii="Times New Roman" w:hAnsi="Times New Roman"/>
                <w:sz w:val="18"/>
                <w:szCs w:val="18"/>
              </w:rPr>
            </w:pPr>
            <w:r>
              <w:rPr>
                <w:rFonts w:ascii="Arial" w:eastAsia="宋体" w:hAnsi="Arial" w:cs="Arial"/>
                <w:sz w:val="18"/>
                <w:szCs w:val="18"/>
              </w:rPr>
              <w:t>Settlements</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5D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(122</w:t>
            </w:r>
          </w:p>
        </w:tc>
        <w:tc>
          <w:tcPr>
            <w:tcW w:w="0" w:type="auto"/>
            <w:tcBorders>
              <w:bottom w:val="single" w:sz="8" w:space="0" w:color="000000"/>
            </w:tcBorders>
            <w:shd w:val="clear" w:color="auto" w:fill="E2E2E2"/>
            <w:tcMar>
              <w:top w:w="40" w:type="dxa"/>
              <w:bottom w:w="40" w:type="dxa"/>
              <w:right w:w="40" w:type="dxa"/>
            </w:tcMar>
            <w:vAlign w:val="bottom"/>
          </w:tcPr>
          <w:p w14:paraId="0BC9A5D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5D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5D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w:t>
            </w:r>
          </w:p>
        </w:tc>
        <w:tc>
          <w:tcPr>
            <w:tcW w:w="0" w:type="auto"/>
            <w:shd w:val="clear" w:color="auto" w:fill="E2E2E2"/>
            <w:tcMar>
              <w:top w:w="40" w:type="dxa"/>
              <w:bottom w:w="40" w:type="dxa"/>
              <w:right w:w="40" w:type="dxa"/>
            </w:tcMar>
            <w:vAlign w:val="bottom"/>
          </w:tcPr>
          <w:p w14:paraId="0BC9A5D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5D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5D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(38</w:t>
            </w:r>
          </w:p>
        </w:tc>
        <w:tc>
          <w:tcPr>
            <w:tcW w:w="0" w:type="auto"/>
            <w:tcBorders>
              <w:bottom w:val="single" w:sz="8" w:space="0" w:color="000000"/>
            </w:tcBorders>
            <w:shd w:val="clear" w:color="auto" w:fill="E2E2E2"/>
            <w:tcMar>
              <w:top w:w="40" w:type="dxa"/>
              <w:bottom w:w="40" w:type="dxa"/>
              <w:right w:w="40" w:type="dxa"/>
            </w:tcMar>
            <w:vAlign w:val="bottom"/>
          </w:tcPr>
          <w:p w14:paraId="0BC9A5D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5E8" w14:textId="77777777">
        <w:tc>
          <w:tcPr>
            <w:tcW w:w="0" w:type="auto"/>
            <w:shd w:val="clear" w:color="auto" w:fill="auto"/>
            <w:tcMar>
              <w:top w:w="40" w:type="dxa"/>
              <w:left w:w="40" w:type="dxa"/>
              <w:bottom w:w="40" w:type="dxa"/>
              <w:right w:w="40" w:type="dxa"/>
            </w:tcMar>
            <w:vAlign w:val="bottom"/>
          </w:tcPr>
          <w:p w14:paraId="0BC9A5DC" w14:textId="77777777" w:rsidR="009F0928" w:rsidRDefault="002112BD">
            <w:pPr>
              <w:textAlignment w:val="bottom"/>
              <w:rPr>
                <w:rFonts w:ascii="Times New Roman" w:hAnsi="Times New Roman"/>
                <w:sz w:val="18"/>
                <w:szCs w:val="18"/>
              </w:rPr>
            </w:pPr>
            <w:r>
              <w:rPr>
                <w:rFonts w:ascii="Arial" w:eastAsia="宋体" w:hAnsi="Arial" w:cs="Arial"/>
                <w:sz w:val="18"/>
                <w:szCs w:val="18"/>
              </w:rPr>
              <w:t>Gross amounts of unrecognized tax benefits as of the end of the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5D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5D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387</w:t>
            </w:r>
          </w:p>
        </w:tc>
        <w:tc>
          <w:tcPr>
            <w:tcW w:w="0" w:type="auto"/>
            <w:tcBorders>
              <w:top w:val="single" w:sz="8" w:space="0" w:color="000000"/>
              <w:bottom w:val="double" w:sz="6" w:space="0" w:color="000000"/>
            </w:tcBorders>
            <w:shd w:val="clear" w:color="auto" w:fill="auto"/>
            <w:vAlign w:val="bottom"/>
          </w:tcPr>
          <w:p w14:paraId="0BC9A5D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5E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5E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5E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551</w:t>
            </w:r>
          </w:p>
        </w:tc>
        <w:tc>
          <w:tcPr>
            <w:tcW w:w="0" w:type="auto"/>
            <w:tcBorders>
              <w:top w:val="single" w:sz="8" w:space="0" w:color="000000"/>
              <w:bottom w:val="double" w:sz="6" w:space="0" w:color="000000"/>
            </w:tcBorders>
            <w:shd w:val="clear" w:color="auto" w:fill="auto"/>
            <w:vAlign w:val="bottom"/>
          </w:tcPr>
          <w:p w14:paraId="0BC9A5E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5E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5E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5E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487</w:t>
            </w:r>
          </w:p>
        </w:tc>
        <w:tc>
          <w:tcPr>
            <w:tcW w:w="0" w:type="auto"/>
            <w:tcBorders>
              <w:top w:val="single" w:sz="8" w:space="0" w:color="000000"/>
              <w:bottom w:val="double" w:sz="6" w:space="0" w:color="000000"/>
            </w:tcBorders>
            <w:shd w:val="clear" w:color="auto" w:fill="auto"/>
            <w:vAlign w:val="bottom"/>
          </w:tcPr>
          <w:p w14:paraId="0BC9A5E7" w14:textId="77777777" w:rsidR="009F0928" w:rsidRDefault="009F0928">
            <w:pPr>
              <w:textAlignment w:val="bottom"/>
              <w:rPr>
                <w:rFonts w:ascii="Times New Roman" w:hAnsi="Times New Roman"/>
                <w:sz w:val="20"/>
                <w:szCs w:val="20"/>
              </w:rPr>
            </w:pPr>
          </w:p>
        </w:tc>
      </w:tr>
    </w:tbl>
    <w:p w14:paraId="0BC9A5E9" w14:textId="77777777" w:rsidR="009F0928" w:rsidRDefault="009F0928">
      <w:pPr>
        <w:spacing w:line="288" w:lineRule="auto"/>
        <w:jc w:val="both"/>
        <w:rPr>
          <w:rFonts w:ascii="Times New Roman" w:hAnsi="Times New Roman"/>
          <w:sz w:val="20"/>
          <w:szCs w:val="20"/>
        </w:rPr>
      </w:pPr>
    </w:p>
    <w:p w14:paraId="0BC9A5EA" w14:textId="77777777" w:rsidR="009F0928" w:rsidRDefault="009F0928">
      <w:pPr>
        <w:spacing w:line="288" w:lineRule="auto"/>
        <w:jc w:val="both"/>
        <w:rPr>
          <w:rFonts w:ascii="Times New Roman" w:hAnsi="Times New Roman"/>
          <w:sz w:val="20"/>
          <w:szCs w:val="20"/>
        </w:rPr>
      </w:pPr>
    </w:p>
    <w:p w14:paraId="0BC9A5E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Included </w:t>
      </w:r>
      <w:r>
        <w:rPr>
          <w:rFonts w:ascii="Arial" w:eastAsia="宋体" w:hAnsi="Arial" w:cs="Arial"/>
          <w:sz w:val="20"/>
          <w:szCs w:val="20"/>
        </w:rPr>
        <w:t>within our gross amounts of unrecognized tax benefits of $387 million as of December 31, 2019 is $55 million of unrecognized tax benefits indemnified by PayPal. If total unrecognized tax benefits were realized in a future period, it would result in a tax b</w:t>
      </w:r>
      <w:r>
        <w:rPr>
          <w:rFonts w:ascii="Arial" w:eastAsia="宋体" w:hAnsi="Arial" w:cs="Arial"/>
          <w:sz w:val="20"/>
          <w:szCs w:val="20"/>
        </w:rPr>
        <w:t xml:space="preserve">enefit of $285 million. Of this amount, approximately $51 million of unrecognized tax benefit is indemnified by PayPal and a corresponding receivable would be reduced upon a future realization. As of December 31, 2019, our liabilities for unrecognized tax </w:t>
      </w:r>
      <w:r>
        <w:rPr>
          <w:rFonts w:ascii="Arial" w:eastAsia="宋体" w:hAnsi="Arial" w:cs="Arial"/>
          <w:sz w:val="20"/>
          <w:szCs w:val="20"/>
        </w:rPr>
        <w:t>benefits were included in other liabilities on our consolidated balance sheet.</w:t>
      </w:r>
    </w:p>
    <w:p w14:paraId="0BC9A5EC" w14:textId="77777777" w:rsidR="009F0928" w:rsidRDefault="009F0928">
      <w:pPr>
        <w:spacing w:line="288" w:lineRule="auto"/>
        <w:ind w:firstLine="720"/>
        <w:jc w:val="both"/>
        <w:rPr>
          <w:rFonts w:ascii="Times New Roman" w:hAnsi="Times New Roman"/>
          <w:sz w:val="20"/>
          <w:szCs w:val="20"/>
        </w:rPr>
      </w:pPr>
    </w:p>
    <w:p w14:paraId="0BC9A5ED"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recognize interest and/or penalties related to uncertain tax positions in income tax expense. In 2019, $8 million was included in tax expense for interest and penalties. The</w:t>
      </w:r>
      <w:r>
        <w:rPr>
          <w:rFonts w:ascii="Arial" w:eastAsia="宋体" w:hAnsi="Arial" w:cs="Arial"/>
          <w:sz w:val="20"/>
          <w:szCs w:val="20"/>
        </w:rPr>
        <w:t xml:space="preserve"> amount of interest and penalties accrued as of December 31, 2019 and 2018 was approximately $46 million</w:t>
      </w:r>
      <w:r>
        <w:rPr>
          <w:rFonts w:ascii="Arial" w:eastAsia="宋体" w:hAnsi="Arial" w:cs="Arial"/>
          <w:color w:val="FF0000"/>
          <w:sz w:val="20"/>
          <w:szCs w:val="20"/>
        </w:rPr>
        <w:t xml:space="preserve"> </w:t>
      </w:r>
      <w:r>
        <w:rPr>
          <w:rFonts w:ascii="Arial" w:eastAsia="宋体" w:hAnsi="Arial" w:cs="Arial"/>
          <w:sz w:val="20"/>
          <w:szCs w:val="20"/>
        </w:rPr>
        <w:t>and $61 million, respectively.</w:t>
      </w:r>
    </w:p>
    <w:p w14:paraId="0BC9A5EE"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w:t>
      </w:r>
    </w:p>
    <w:p w14:paraId="0BC9A5EF"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We are subject to both direct and indirect taxation in the U.S. and various states and foreign jurisdictions. We are u</w:t>
      </w:r>
      <w:r>
        <w:rPr>
          <w:rFonts w:ascii="Arial" w:eastAsia="宋体" w:hAnsi="Arial" w:cs="Arial"/>
          <w:sz w:val="20"/>
          <w:szCs w:val="20"/>
        </w:rPr>
        <w:t>nder examination by certain tax authorities for the 2008 to 2018 tax years. We believe that adequate amounts have been reserved for any adjustments that may ultimately result from these or other examinations. The material jurisdictions where we are subject</w:t>
      </w:r>
      <w:r>
        <w:rPr>
          <w:rFonts w:ascii="Arial" w:eastAsia="宋体" w:hAnsi="Arial" w:cs="Arial"/>
          <w:sz w:val="20"/>
          <w:szCs w:val="20"/>
        </w:rPr>
        <w:t xml:space="preserve"> to potential examination by tax authorities for tax years after 2007 include, among others, the U.S. (Federal and California), Germany, Korea, Israel, Switzerland and the United Kingdom. </w:t>
      </w:r>
    </w:p>
    <w:p w14:paraId="0BC9A5F0"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w:t>
      </w:r>
    </w:p>
    <w:p w14:paraId="0BC9A5F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Although the timing of the resolution and/or closure of audits is</w:t>
      </w:r>
      <w:r>
        <w:rPr>
          <w:rFonts w:ascii="Arial" w:eastAsia="宋体" w:hAnsi="Arial" w:cs="Arial"/>
          <w:sz w:val="20"/>
          <w:szCs w:val="20"/>
        </w:rPr>
        <w:t xml:space="preserve"> highly uncertain, it is reasonably possible that the balance of gross unrecognized tax benefits could significantly change in the next 12 months. Given the number of years remaining subject to examination and the number of matters being examined, we are u</w:t>
      </w:r>
      <w:r>
        <w:rPr>
          <w:rFonts w:ascii="Arial" w:eastAsia="宋体" w:hAnsi="Arial" w:cs="Arial"/>
          <w:sz w:val="20"/>
          <w:szCs w:val="20"/>
        </w:rPr>
        <w:t>nable to estimate the full range of possible adjustments to the balance of gross unrecognized tax benefits. We expect the gross amount of unrecognized tax benefits to be reduced within the next twelve months by at least $19 million.</w:t>
      </w:r>
    </w:p>
    <w:p w14:paraId="0BC9A5F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w:t>
      </w:r>
    </w:p>
    <w:p w14:paraId="0BC9A5F3"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On July 27, 2015, in </w:t>
      </w:r>
      <w:r>
        <w:rPr>
          <w:rFonts w:ascii="Arial" w:eastAsia="宋体" w:hAnsi="Arial" w:cs="Arial"/>
          <w:i/>
          <w:iCs/>
          <w:sz w:val="20"/>
          <w:szCs w:val="20"/>
        </w:rPr>
        <w:t>Altera Corp. v. Commissioner</w:t>
      </w:r>
      <w:r>
        <w:rPr>
          <w:rFonts w:ascii="Arial" w:eastAsia="宋体" w:hAnsi="Arial" w:cs="Arial"/>
          <w:sz w:val="20"/>
          <w:szCs w:val="20"/>
        </w:rPr>
        <w:t>, the U.S. Tax Court issued an opinion invalidating the regulations relating to the treatment of stock-based compensation expense in an intercompany cost-sharing arrangement. A final decision was issued by the Tax Court in Decem</w:t>
      </w:r>
      <w:r>
        <w:rPr>
          <w:rFonts w:ascii="Arial" w:eastAsia="宋体" w:hAnsi="Arial" w:cs="Arial"/>
          <w:sz w:val="20"/>
          <w:szCs w:val="20"/>
        </w:rPr>
        <w:t xml:space="preserve">ber 2015. The IRS appealed the decision in June 2016. On July 24, 2018, the Ninth Circuit Federal Court issued a decision that was subsequently withdrawn and a </w:t>
      </w:r>
    </w:p>
    <w:p w14:paraId="0BC9A5F4" w14:textId="77777777" w:rsidR="009F0928" w:rsidRDefault="009F0928">
      <w:pPr>
        <w:rPr>
          <w:rFonts w:ascii="Times New Roman" w:hAnsi="Times New Roman"/>
          <w:sz w:val="20"/>
          <w:szCs w:val="20"/>
        </w:rPr>
      </w:pPr>
    </w:p>
    <w:p w14:paraId="0BC9A5F5"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F-42</w:t>
      </w:r>
    </w:p>
    <w:p w14:paraId="0BC9A5F6" w14:textId="77777777" w:rsidR="009F0928" w:rsidRDefault="002112BD">
      <w:r>
        <w:rPr>
          <w:rFonts w:ascii="Times New Roman" w:hAnsi="Times New Roman"/>
          <w:sz w:val="18"/>
          <w:szCs w:val="18"/>
        </w:rPr>
        <w:pict w14:anchorId="0BC9B524">
          <v:rect id="_x0000_i1128" style="width:415.3pt;height:1.5pt" o:hralign="center" o:hrstd="t" o:hr="t" fillcolor="#a0a0a0" stroked="f"/>
        </w:pict>
      </w:r>
    </w:p>
    <w:p w14:paraId="0BC9A5F7"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eBay Inc.</w:t>
      </w:r>
    </w:p>
    <w:p w14:paraId="0BC9A5F8"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NOTES TO CONSOLIDATED FINANCIAL STATEMENTS—(Continued)</w:t>
      </w:r>
    </w:p>
    <w:p w14:paraId="0BC9A5F9" w14:textId="77777777" w:rsidR="009F0928" w:rsidRDefault="009F0928">
      <w:pPr>
        <w:spacing w:line="288" w:lineRule="auto"/>
        <w:jc w:val="center"/>
        <w:rPr>
          <w:rFonts w:ascii="Times New Roman" w:hAnsi="Times New Roman"/>
          <w:sz w:val="20"/>
          <w:szCs w:val="20"/>
        </w:rPr>
      </w:pPr>
    </w:p>
    <w:p w14:paraId="0BC9A5FA" w14:textId="77777777" w:rsidR="009F0928" w:rsidRDefault="009F0928">
      <w:pPr>
        <w:rPr>
          <w:rFonts w:ascii="Times New Roman" w:hAnsi="Times New Roman"/>
          <w:sz w:val="20"/>
          <w:szCs w:val="20"/>
        </w:rPr>
      </w:pPr>
    </w:p>
    <w:p w14:paraId="0BC9A5FB"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xml:space="preserve">reconstituted panel </w:t>
      </w:r>
      <w:r>
        <w:rPr>
          <w:rFonts w:ascii="Arial" w:eastAsia="宋体" w:hAnsi="Arial" w:cs="Arial"/>
          <w:sz w:val="20"/>
          <w:szCs w:val="20"/>
        </w:rPr>
        <w:t xml:space="preserve">has conferred on the appeal. On June 7, 2019, the Ninth Circuit Federal Court upheld the cost-sharing regulations and on November 11, 2019 the U.S. Tax Court of Appeals for the Ninth Circuit released a court order denying an </w:t>
      </w:r>
      <w:r>
        <w:rPr>
          <w:rFonts w:ascii="Arial" w:eastAsia="宋体" w:hAnsi="Arial" w:cs="Arial"/>
          <w:i/>
          <w:iCs/>
          <w:sz w:val="20"/>
          <w:szCs w:val="20"/>
        </w:rPr>
        <w:t>en banc</w:t>
      </w:r>
      <w:r>
        <w:rPr>
          <w:rFonts w:ascii="Arial" w:eastAsia="宋体" w:hAnsi="Arial" w:cs="Arial"/>
          <w:sz w:val="20"/>
          <w:szCs w:val="20"/>
        </w:rPr>
        <w:t xml:space="preserve"> rehearing of the case</w:t>
      </w:r>
      <w:r>
        <w:rPr>
          <w:rFonts w:ascii="Arial" w:eastAsia="宋体" w:hAnsi="Arial" w:cs="Arial"/>
          <w:i/>
          <w:iCs/>
          <w:sz w:val="20"/>
          <w:szCs w:val="20"/>
        </w:rPr>
        <w:t xml:space="preserve"> A</w:t>
      </w:r>
      <w:r>
        <w:rPr>
          <w:rFonts w:ascii="Arial" w:eastAsia="宋体" w:hAnsi="Arial" w:cs="Arial"/>
          <w:i/>
          <w:iCs/>
          <w:sz w:val="20"/>
          <w:szCs w:val="20"/>
        </w:rPr>
        <w:t>ltera Corp. v Commissioner</w:t>
      </w:r>
      <w:r>
        <w:rPr>
          <w:rFonts w:ascii="Arial" w:eastAsia="宋体" w:hAnsi="Arial" w:cs="Arial"/>
          <w:sz w:val="20"/>
          <w:szCs w:val="20"/>
        </w:rPr>
        <w:t xml:space="preserve"> following Altera’s petition filed on July 22, 2019. It has not been determined if this ruling will be further appealed as of the date of our filing. Due to the uncertainty surrounding the status of the current regulations, questi</w:t>
      </w:r>
      <w:r>
        <w:rPr>
          <w:rFonts w:ascii="Arial" w:eastAsia="宋体" w:hAnsi="Arial" w:cs="Arial"/>
          <w:sz w:val="20"/>
          <w:szCs w:val="20"/>
        </w:rPr>
        <w:t xml:space="preserve">ons related to the scope of potential benefits or obligations, and the risk of the Tax Court’s decision being overturned upon appeal, we have not recorded any benefit or expense as of December 31, 2019. We will continue to monitor ongoing developments and </w:t>
      </w:r>
      <w:r>
        <w:rPr>
          <w:rFonts w:ascii="Arial" w:eastAsia="宋体" w:hAnsi="Arial" w:cs="Arial"/>
          <w:sz w:val="20"/>
          <w:szCs w:val="20"/>
        </w:rPr>
        <w:t>potential impacts to our consolidated financial statements.</w:t>
      </w:r>
    </w:p>
    <w:p w14:paraId="0BC9A5FC" w14:textId="77777777" w:rsidR="009F0928" w:rsidRDefault="009F0928">
      <w:pPr>
        <w:spacing w:line="288" w:lineRule="auto"/>
        <w:ind w:firstLine="720"/>
        <w:jc w:val="both"/>
        <w:rPr>
          <w:rFonts w:ascii="Times New Roman" w:hAnsi="Times New Roman"/>
          <w:sz w:val="20"/>
          <w:szCs w:val="20"/>
        </w:rPr>
      </w:pPr>
    </w:p>
    <w:p w14:paraId="0BC9A5FD"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Note 16 – Interest and Other, Net</w:t>
      </w:r>
    </w:p>
    <w:p w14:paraId="0BC9A5FE" w14:textId="77777777" w:rsidR="009F0928" w:rsidRDefault="009F0928">
      <w:pPr>
        <w:spacing w:line="288" w:lineRule="auto"/>
        <w:jc w:val="both"/>
        <w:rPr>
          <w:rFonts w:ascii="Times New Roman" w:hAnsi="Times New Roman"/>
          <w:sz w:val="20"/>
          <w:szCs w:val="20"/>
        </w:rPr>
      </w:pPr>
    </w:p>
    <w:p w14:paraId="0BC9A5FF" w14:textId="77777777" w:rsidR="009F0928" w:rsidRDefault="002112BD">
      <w:pPr>
        <w:spacing w:line="288" w:lineRule="auto"/>
        <w:ind w:firstLine="720"/>
        <w:rPr>
          <w:rFonts w:ascii="Times New Roman" w:hAnsi="Times New Roman"/>
          <w:sz w:val="20"/>
          <w:szCs w:val="20"/>
        </w:rPr>
      </w:pPr>
      <w:r>
        <w:rPr>
          <w:rFonts w:ascii="Arial" w:eastAsia="宋体" w:hAnsi="Arial" w:cs="Arial"/>
          <w:sz w:val="20"/>
          <w:szCs w:val="20"/>
        </w:rPr>
        <w:t xml:space="preserve">The components of interest and other, net for the years ended December 31, 2019, 2018 and 2017 are as follows (in millions): </w:t>
      </w:r>
    </w:p>
    <w:tbl>
      <w:tblPr>
        <w:tblW w:w="5000" w:type="pct"/>
        <w:tblCellMar>
          <w:left w:w="0" w:type="dxa"/>
          <w:right w:w="0" w:type="dxa"/>
        </w:tblCellMar>
        <w:tblLook w:val="04A0" w:firstRow="1" w:lastRow="0" w:firstColumn="1" w:lastColumn="0" w:noHBand="0" w:noVBand="1"/>
      </w:tblPr>
      <w:tblGrid>
        <w:gridCol w:w="4795"/>
        <w:gridCol w:w="141"/>
        <w:gridCol w:w="808"/>
        <w:gridCol w:w="100"/>
        <w:gridCol w:w="181"/>
        <w:gridCol w:w="141"/>
        <w:gridCol w:w="809"/>
        <w:gridCol w:w="100"/>
        <w:gridCol w:w="181"/>
        <w:gridCol w:w="141"/>
        <w:gridCol w:w="809"/>
        <w:gridCol w:w="100"/>
      </w:tblGrid>
      <w:tr w:rsidR="009F0928" w14:paraId="0BC9A601" w14:textId="77777777">
        <w:tc>
          <w:tcPr>
            <w:tcW w:w="0" w:type="auto"/>
            <w:gridSpan w:val="12"/>
            <w:shd w:val="clear" w:color="auto" w:fill="auto"/>
            <w:vAlign w:val="center"/>
          </w:tcPr>
          <w:p w14:paraId="0BC9A600" w14:textId="77777777" w:rsidR="009F0928" w:rsidRDefault="009F0928">
            <w:pPr>
              <w:rPr>
                <w:rFonts w:ascii="Times New Roman" w:hAnsi="Times New Roman"/>
                <w:sz w:val="20"/>
                <w:szCs w:val="20"/>
              </w:rPr>
            </w:pPr>
          </w:p>
        </w:tc>
      </w:tr>
      <w:tr w:rsidR="009F0928" w14:paraId="0BC9A60E" w14:textId="77777777">
        <w:tc>
          <w:tcPr>
            <w:tcW w:w="2950" w:type="pct"/>
            <w:shd w:val="clear" w:color="auto" w:fill="auto"/>
            <w:vAlign w:val="center"/>
          </w:tcPr>
          <w:p w14:paraId="0BC9A602" w14:textId="77777777" w:rsidR="009F0928" w:rsidRDefault="009F0928">
            <w:pPr>
              <w:rPr>
                <w:rFonts w:ascii="Times New Roman" w:hAnsi="Times New Roman"/>
                <w:sz w:val="20"/>
                <w:szCs w:val="20"/>
              </w:rPr>
            </w:pPr>
          </w:p>
        </w:tc>
        <w:tc>
          <w:tcPr>
            <w:tcW w:w="50" w:type="pct"/>
            <w:shd w:val="clear" w:color="auto" w:fill="auto"/>
            <w:vAlign w:val="center"/>
          </w:tcPr>
          <w:p w14:paraId="0BC9A603" w14:textId="77777777" w:rsidR="009F0928" w:rsidRDefault="009F0928">
            <w:pPr>
              <w:rPr>
                <w:rFonts w:ascii="Times New Roman" w:hAnsi="Times New Roman"/>
                <w:sz w:val="20"/>
                <w:szCs w:val="20"/>
              </w:rPr>
            </w:pPr>
          </w:p>
        </w:tc>
        <w:tc>
          <w:tcPr>
            <w:tcW w:w="550" w:type="pct"/>
            <w:shd w:val="clear" w:color="auto" w:fill="auto"/>
            <w:vAlign w:val="center"/>
          </w:tcPr>
          <w:p w14:paraId="0BC9A604" w14:textId="77777777" w:rsidR="009F0928" w:rsidRDefault="009F0928">
            <w:pPr>
              <w:rPr>
                <w:rFonts w:ascii="Times New Roman" w:hAnsi="Times New Roman"/>
                <w:sz w:val="20"/>
                <w:szCs w:val="20"/>
              </w:rPr>
            </w:pPr>
          </w:p>
        </w:tc>
        <w:tc>
          <w:tcPr>
            <w:tcW w:w="50" w:type="pct"/>
            <w:shd w:val="clear" w:color="auto" w:fill="auto"/>
            <w:vAlign w:val="center"/>
          </w:tcPr>
          <w:p w14:paraId="0BC9A605" w14:textId="77777777" w:rsidR="009F0928" w:rsidRDefault="009F0928">
            <w:pPr>
              <w:rPr>
                <w:rFonts w:ascii="Times New Roman" w:hAnsi="Times New Roman"/>
                <w:sz w:val="20"/>
                <w:szCs w:val="20"/>
              </w:rPr>
            </w:pPr>
          </w:p>
        </w:tc>
        <w:tc>
          <w:tcPr>
            <w:tcW w:w="50" w:type="pct"/>
            <w:shd w:val="clear" w:color="auto" w:fill="auto"/>
            <w:vAlign w:val="center"/>
          </w:tcPr>
          <w:p w14:paraId="0BC9A606" w14:textId="77777777" w:rsidR="009F0928" w:rsidRDefault="009F0928">
            <w:pPr>
              <w:rPr>
                <w:rFonts w:ascii="Times New Roman" w:hAnsi="Times New Roman"/>
                <w:sz w:val="20"/>
                <w:szCs w:val="20"/>
              </w:rPr>
            </w:pPr>
          </w:p>
        </w:tc>
        <w:tc>
          <w:tcPr>
            <w:tcW w:w="50" w:type="pct"/>
            <w:shd w:val="clear" w:color="auto" w:fill="auto"/>
            <w:vAlign w:val="center"/>
          </w:tcPr>
          <w:p w14:paraId="0BC9A607" w14:textId="77777777" w:rsidR="009F0928" w:rsidRDefault="009F0928">
            <w:pPr>
              <w:rPr>
                <w:rFonts w:ascii="Times New Roman" w:hAnsi="Times New Roman"/>
                <w:sz w:val="20"/>
                <w:szCs w:val="20"/>
              </w:rPr>
            </w:pPr>
          </w:p>
        </w:tc>
        <w:tc>
          <w:tcPr>
            <w:tcW w:w="550" w:type="pct"/>
            <w:shd w:val="clear" w:color="auto" w:fill="auto"/>
            <w:vAlign w:val="center"/>
          </w:tcPr>
          <w:p w14:paraId="0BC9A608" w14:textId="77777777" w:rsidR="009F0928" w:rsidRDefault="009F0928">
            <w:pPr>
              <w:rPr>
                <w:rFonts w:ascii="Times New Roman" w:hAnsi="Times New Roman"/>
                <w:sz w:val="20"/>
                <w:szCs w:val="20"/>
              </w:rPr>
            </w:pPr>
          </w:p>
        </w:tc>
        <w:tc>
          <w:tcPr>
            <w:tcW w:w="50" w:type="pct"/>
            <w:shd w:val="clear" w:color="auto" w:fill="auto"/>
            <w:vAlign w:val="center"/>
          </w:tcPr>
          <w:p w14:paraId="0BC9A609" w14:textId="77777777" w:rsidR="009F0928" w:rsidRDefault="009F0928">
            <w:pPr>
              <w:rPr>
                <w:rFonts w:ascii="Times New Roman" w:hAnsi="Times New Roman"/>
                <w:sz w:val="20"/>
                <w:szCs w:val="20"/>
              </w:rPr>
            </w:pPr>
          </w:p>
        </w:tc>
        <w:tc>
          <w:tcPr>
            <w:tcW w:w="50" w:type="pct"/>
            <w:shd w:val="clear" w:color="auto" w:fill="auto"/>
            <w:vAlign w:val="center"/>
          </w:tcPr>
          <w:p w14:paraId="0BC9A60A" w14:textId="77777777" w:rsidR="009F0928" w:rsidRDefault="009F0928">
            <w:pPr>
              <w:rPr>
                <w:rFonts w:ascii="Times New Roman" w:hAnsi="Times New Roman"/>
                <w:sz w:val="20"/>
                <w:szCs w:val="20"/>
              </w:rPr>
            </w:pPr>
          </w:p>
        </w:tc>
        <w:tc>
          <w:tcPr>
            <w:tcW w:w="50" w:type="pct"/>
            <w:shd w:val="clear" w:color="auto" w:fill="auto"/>
            <w:vAlign w:val="center"/>
          </w:tcPr>
          <w:p w14:paraId="0BC9A60B" w14:textId="77777777" w:rsidR="009F0928" w:rsidRDefault="009F0928">
            <w:pPr>
              <w:rPr>
                <w:rFonts w:ascii="Times New Roman" w:hAnsi="Times New Roman"/>
                <w:sz w:val="20"/>
                <w:szCs w:val="20"/>
              </w:rPr>
            </w:pPr>
          </w:p>
        </w:tc>
        <w:tc>
          <w:tcPr>
            <w:tcW w:w="550" w:type="pct"/>
            <w:shd w:val="clear" w:color="auto" w:fill="auto"/>
            <w:vAlign w:val="center"/>
          </w:tcPr>
          <w:p w14:paraId="0BC9A60C" w14:textId="77777777" w:rsidR="009F0928" w:rsidRDefault="009F0928">
            <w:pPr>
              <w:rPr>
                <w:rFonts w:ascii="Times New Roman" w:hAnsi="Times New Roman"/>
                <w:sz w:val="20"/>
                <w:szCs w:val="20"/>
              </w:rPr>
            </w:pPr>
          </w:p>
        </w:tc>
        <w:tc>
          <w:tcPr>
            <w:tcW w:w="50" w:type="pct"/>
            <w:shd w:val="clear" w:color="auto" w:fill="auto"/>
            <w:vAlign w:val="center"/>
          </w:tcPr>
          <w:p w14:paraId="0BC9A60D" w14:textId="77777777" w:rsidR="009F0928" w:rsidRDefault="009F0928">
            <w:pPr>
              <w:rPr>
                <w:rFonts w:ascii="Times New Roman" w:hAnsi="Times New Roman"/>
                <w:sz w:val="20"/>
                <w:szCs w:val="20"/>
              </w:rPr>
            </w:pPr>
          </w:p>
        </w:tc>
      </w:tr>
      <w:tr w:rsidR="009F0928" w14:paraId="0BC9A611" w14:textId="77777777">
        <w:tc>
          <w:tcPr>
            <w:tcW w:w="0" w:type="auto"/>
            <w:shd w:val="clear" w:color="auto" w:fill="auto"/>
            <w:tcMar>
              <w:top w:w="40" w:type="dxa"/>
              <w:left w:w="40" w:type="dxa"/>
              <w:bottom w:w="40" w:type="dxa"/>
              <w:right w:w="40" w:type="dxa"/>
            </w:tcMar>
            <w:vAlign w:val="bottom"/>
          </w:tcPr>
          <w:p w14:paraId="0BC9A60F"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0BC9A610"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 xml:space="preserve">Year Ended </w:t>
            </w:r>
            <w:r>
              <w:rPr>
                <w:rFonts w:ascii="Arial" w:eastAsia="宋体" w:hAnsi="Arial" w:cs="Arial"/>
                <w:b/>
                <w:bCs/>
                <w:sz w:val="18"/>
                <w:szCs w:val="18"/>
              </w:rPr>
              <w:t>December 31,</w:t>
            </w:r>
          </w:p>
        </w:tc>
      </w:tr>
      <w:tr w:rsidR="009F0928" w14:paraId="0BC9A618" w14:textId="77777777">
        <w:tc>
          <w:tcPr>
            <w:tcW w:w="0" w:type="auto"/>
            <w:shd w:val="clear" w:color="auto" w:fill="auto"/>
            <w:tcMar>
              <w:top w:w="40" w:type="dxa"/>
              <w:left w:w="40" w:type="dxa"/>
              <w:bottom w:w="40" w:type="dxa"/>
              <w:right w:w="40" w:type="dxa"/>
            </w:tcMar>
            <w:vAlign w:val="bottom"/>
          </w:tcPr>
          <w:p w14:paraId="0BC9A612"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A613"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2019</w:t>
            </w:r>
          </w:p>
        </w:tc>
        <w:tc>
          <w:tcPr>
            <w:tcW w:w="0" w:type="auto"/>
            <w:shd w:val="clear" w:color="auto" w:fill="auto"/>
            <w:tcMar>
              <w:top w:w="40" w:type="dxa"/>
              <w:left w:w="40" w:type="dxa"/>
              <w:bottom w:w="40" w:type="dxa"/>
              <w:right w:w="40" w:type="dxa"/>
            </w:tcMar>
            <w:vAlign w:val="bottom"/>
          </w:tcPr>
          <w:p w14:paraId="0BC9A614"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A615"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2018</w:t>
            </w:r>
          </w:p>
        </w:tc>
        <w:tc>
          <w:tcPr>
            <w:tcW w:w="0" w:type="auto"/>
            <w:shd w:val="clear" w:color="auto" w:fill="auto"/>
            <w:tcMar>
              <w:top w:w="40" w:type="dxa"/>
              <w:left w:w="40" w:type="dxa"/>
              <w:bottom w:w="40" w:type="dxa"/>
              <w:right w:w="40" w:type="dxa"/>
            </w:tcMar>
            <w:vAlign w:val="bottom"/>
          </w:tcPr>
          <w:p w14:paraId="0BC9A616"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0BC9A617"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2017</w:t>
            </w:r>
          </w:p>
        </w:tc>
      </w:tr>
      <w:tr w:rsidR="009F0928" w14:paraId="0BC9A625" w14:textId="77777777">
        <w:tc>
          <w:tcPr>
            <w:tcW w:w="0" w:type="auto"/>
            <w:shd w:val="clear" w:color="auto" w:fill="E2E2E2"/>
            <w:tcMar>
              <w:top w:w="40" w:type="dxa"/>
              <w:left w:w="40" w:type="dxa"/>
              <w:bottom w:w="40" w:type="dxa"/>
              <w:right w:w="40" w:type="dxa"/>
            </w:tcMar>
            <w:vAlign w:val="bottom"/>
          </w:tcPr>
          <w:p w14:paraId="0BC9A619" w14:textId="77777777" w:rsidR="009F0928" w:rsidRDefault="002112BD">
            <w:pPr>
              <w:textAlignment w:val="bottom"/>
              <w:rPr>
                <w:rFonts w:ascii="Times New Roman" w:hAnsi="Times New Roman"/>
                <w:sz w:val="18"/>
                <w:szCs w:val="18"/>
              </w:rPr>
            </w:pPr>
            <w:r>
              <w:rPr>
                <w:rFonts w:ascii="Arial" w:eastAsia="宋体" w:hAnsi="Arial" w:cs="Arial"/>
                <w:sz w:val="18"/>
                <w:szCs w:val="18"/>
              </w:rPr>
              <w:t>Interest income</w:t>
            </w:r>
          </w:p>
        </w:tc>
        <w:tc>
          <w:tcPr>
            <w:tcW w:w="0" w:type="auto"/>
            <w:shd w:val="clear" w:color="auto" w:fill="E2E2E2"/>
            <w:tcMar>
              <w:top w:w="40" w:type="dxa"/>
              <w:left w:w="40" w:type="dxa"/>
              <w:bottom w:w="40" w:type="dxa"/>
            </w:tcMar>
            <w:vAlign w:val="bottom"/>
          </w:tcPr>
          <w:p w14:paraId="0BC9A61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61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120</w:t>
            </w:r>
          </w:p>
        </w:tc>
        <w:tc>
          <w:tcPr>
            <w:tcW w:w="0" w:type="auto"/>
            <w:shd w:val="clear" w:color="auto" w:fill="E2E2E2"/>
            <w:vAlign w:val="bottom"/>
          </w:tcPr>
          <w:p w14:paraId="0BC9A61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61D"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tcMar>
            <w:vAlign w:val="bottom"/>
          </w:tcPr>
          <w:p w14:paraId="0BC9A61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61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176</w:t>
            </w:r>
          </w:p>
        </w:tc>
        <w:tc>
          <w:tcPr>
            <w:tcW w:w="0" w:type="auto"/>
            <w:shd w:val="clear" w:color="auto" w:fill="E2E2E2"/>
            <w:vAlign w:val="bottom"/>
          </w:tcPr>
          <w:p w14:paraId="0BC9A62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621"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E2E2E2"/>
            <w:tcMar>
              <w:top w:w="40" w:type="dxa"/>
              <w:left w:w="40" w:type="dxa"/>
              <w:bottom w:w="40" w:type="dxa"/>
            </w:tcMar>
            <w:vAlign w:val="bottom"/>
          </w:tcPr>
          <w:p w14:paraId="0BC9A62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62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177</w:t>
            </w:r>
          </w:p>
        </w:tc>
        <w:tc>
          <w:tcPr>
            <w:tcW w:w="0" w:type="auto"/>
            <w:shd w:val="clear" w:color="auto" w:fill="E2E2E2"/>
            <w:vAlign w:val="bottom"/>
          </w:tcPr>
          <w:p w14:paraId="0BC9A624" w14:textId="77777777" w:rsidR="009F0928" w:rsidRDefault="009F0928">
            <w:pPr>
              <w:textAlignment w:val="bottom"/>
              <w:rPr>
                <w:rFonts w:ascii="Times New Roman" w:hAnsi="Times New Roman"/>
                <w:sz w:val="20"/>
                <w:szCs w:val="20"/>
              </w:rPr>
            </w:pPr>
          </w:p>
        </w:tc>
      </w:tr>
      <w:tr w:rsidR="009F0928" w14:paraId="0BC9A62F" w14:textId="77777777">
        <w:tc>
          <w:tcPr>
            <w:tcW w:w="0" w:type="auto"/>
            <w:shd w:val="clear" w:color="auto" w:fill="auto"/>
            <w:tcMar>
              <w:top w:w="40" w:type="dxa"/>
              <w:left w:w="40" w:type="dxa"/>
              <w:bottom w:w="40" w:type="dxa"/>
              <w:right w:w="40" w:type="dxa"/>
            </w:tcMar>
            <w:vAlign w:val="bottom"/>
          </w:tcPr>
          <w:p w14:paraId="0BC9A626" w14:textId="77777777" w:rsidR="009F0928" w:rsidRDefault="002112BD">
            <w:pPr>
              <w:textAlignment w:val="bottom"/>
              <w:rPr>
                <w:rFonts w:ascii="Times New Roman" w:hAnsi="Times New Roman"/>
                <w:sz w:val="18"/>
                <w:szCs w:val="18"/>
              </w:rPr>
            </w:pPr>
            <w:r>
              <w:rPr>
                <w:rFonts w:ascii="Arial" w:eastAsia="宋体" w:hAnsi="Arial" w:cs="Arial"/>
                <w:sz w:val="18"/>
                <w:szCs w:val="18"/>
              </w:rPr>
              <w:t>Interest expense</w:t>
            </w:r>
          </w:p>
        </w:tc>
        <w:tc>
          <w:tcPr>
            <w:tcW w:w="0" w:type="auto"/>
            <w:gridSpan w:val="2"/>
            <w:shd w:val="clear" w:color="auto" w:fill="auto"/>
            <w:tcMar>
              <w:top w:w="40" w:type="dxa"/>
              <w:left w:w="40" w:type="dxa"/>
              <w:bottom w:w="40" w:type="dxa"/>
            </w:tcMar>
            <w:vAlign w:val="bottom"/>
          </w:tcPr>
          <w:p w14:paraId="0BC9A62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(311</w:t>
            </w:r>
          </w:p>
        </w:tc>
        <w:tc>
          <w:tcPr>
            <w:tcW w:w="0" w:type="auto"/>
            <w:shd w:val="clear" w:color="auto" w:fill="auto"/>
            <w:tcMar>
              <w:top w:w="40" w:type="dxa"/>
              <w:bottom w:w="40" w:type="dxa"/>
              <w:right w:w="40" w:type="dxa"/>
            </w:tcMar>
            <w:vAlign w:val="bottom"/>
          </w:tcPr>
          <w:p w14:paraId="0BC9A62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62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62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(326</w:t>
            </w:r>
          </w:p>
        </w:tc>
        <w:tc>
          <w:tcPr>
            <w:tcW w:w="0" w:type="auto"/>
            <w:shd w:val="clear" w:color="auto" w:fill="auto"/>
            <w:tcMar>
              <w:top w:w="40" w:type="dxa"/>
              <w:bottom w:w="40" w:type="dxa"/>
              <w:right w:w="40" w:type="dxa"/>
            </w:tcMar>
            <w:vAlign w:val="bottom"/>
          </w:tcPr>
          <w:p w14:paraId="0BC9A62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62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62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(292</w:t>
            </w:r>
          </w:p>
        </w:tc>
        <w:tc>
          <w:tcPr>
            <w:tcW w:w="0" w:type="auto"/>
            <w:shd w:val="clear" w:color="auto" w:fill="auto"/>
            <w:tcMar>
              <w:top w:w="40" w:type="dxa"/>
              <w:bottom w:w="40" w:type="dxa"/>
              <w:right w:w="40" w:type="dxa"/>
            </w:tcMar>
            <w:vAlign w:val="bottom"/>
          </w:tcPr>
          <w:p w14:paraId="0BC9A62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639" w14:textId="77777777">
        <w:tc>
          <w:tcPr>
            <w:tcW w:w="0" w:type="auto"/>
            <w:shd w:val="clear" w:color="auto" w:fill="E2E2E2"/>
            <w:tcMar>
              <w:top w:w="40" w:type="dxa"/>
              <w:left w:w="40" w:type="dxa"/>
              <w:bottom w:w="40" w:type="dxa"/>
              <w:right w:w="40" w:type="dxa"/>
            </w:tcMar>
            <w:vAlign w:val="bottom"/>
          </w:tcPr>
          <w:p w14:paraId="0BC9A630"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Gains on investments and sale of business </w:t>
            </w:r>
            <w:r>
              <w:rPr>
                <w:rFonts w:ascii="Arial" w:eastAsia="宋体" w:hAnsi="Arial" w:cs="Arial"/>
                <w:sz w:val="12"/>
                <w:szCs w:val="12"/>
              </w:rPr>
              <w:t>(1)</w:t>
            </w:r>
          </w:p>
        </w:tc>
        <w:tc>
          <w:tcPr>
            <w:tcW w:w="0" w:type="auto"/>
            <w:gridSpan w:val="2"/>
            <w:shd w:val="clear" w:color="auto" w:fill="E2E2E2"/>
            <w:tcMar>
              <w:top w:w="40" w:type="dxa"/>
              <w:left w:w="40" w:type="dxa"/>
              <w:bottom w:w="40" w:type="dxa"/>
            </w:tcMar>
            <w:vAlign w:val="bottom"/>
          </w:tcPr>
          <w:p w14:paraId="0BC9A63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80</w:t>
            </w:r>
          </w:p>
        </w:tc>
        <w:tc>
          <w:tcPr>
            <w:tcW w:w="0" w:type="auto"/>
            <w:shd w:val="clear" w:color="auto" w:fill="E2E2E2"/>
            <w:vAlign w:val="bottom"/>
          </w:tcPr>
          <w:p w14:paraId="0BC9A63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63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63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663</w:t>
            </w:r>
          </w:p>
        </w:tc>
        <w:tc>
          <w:tcPr>
            <w:tcW w:w="0" w:type="auto"/>
            <w:shd w:val="clear" w:color="auto" w:fill="E2E2E2"/>
            <w:vAlign w:val="bottom"/>
          </w:tcPr>
          <w:p w14:paraId="0BC9A63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6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63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115</w:t>
            </w:r>
          </w:p>
        </w:tc>
        <w:tc>
          <w:tcPr>
            <w:tcW w:w="0" w:type="auto"/>
            <w:shd w:val="clear" w:color="auto" w:fill="E2E2E2"/>
            <w:vAlign w:val="bottom"/>
          </w:tcPr>
          <w:p w14:paraId="0BC9A638" w14:textId="77777777" w:rsidR="009F0928" w:rsidRDefault="009F0928">
            <w:pPr>
              <w:textAlignment w:val="bottom"/>
              <w:rPr>
                <w:rFonts w:ascii="Times New Roman" w:hAnsi="Times New Roman"/>
                <w:sz w:val="20"/>
                <w:szCs w:val="20"/>
              </w:rPr>
            </w:pPr>
          </w:p>
        </w:tc>
      </w:tr>
      <w:tr w:rsidR="009F0928" w14:paraId="0BC9A643" w14:textId="77777777">
        <w:tc>
          <w:tcPr>
            <w:tcW w:w="0" w:type="auto"/>
            <w:shd w:val="clear" w:color="auto" w:fill="auto"/>
            <w:tcMar>
              <w:top w:w="40" w:type="dxa"/>
              <w:left w:w="40" w:type="dxa"/>
              <w:bottom w:w="40" w:type="dxa"/>
              <w:right w:w="40" w:type="dxa"/>
            </w:tcMar>
            <w:vAlign w:val="bottom"/>
          </w:tcPr>
          <w:p w14:paraId="0BC9A63A" w14:textId="77777777" w:rsidR="009F0928" w:rsidRDefault="002112BD">
            <w:pPr>
              <w:textAlignment w:val="bottom"/>
              <w:rPr>
                <w:rFonts w:ascii="Times New Roman" w:hAnsi="Times New Roman"/>
                <w:sz w:val="18"/>
                <w:szCs w:val="18"/>
              </w:rPr>
            </w:pPr>
            <w:r>
              <w:rPr>
                <w:rFonts w:ascii="Arial" w:eastAsia="宋体" w:hAnsi="Arial" w:cs="Arial"/>
                <w:sz w:val="18"/>
                <w:szCs w:val="18"/>
              </w:rPr>
              <w:t>Other</w:t>
            </w:r>
          </w:p>
        </w:tc>
        <w:tc>
          <w:tcPr>
            <w:tcW w:w="0" w:type="auto"/>
            <w:gridSpan w:val="2"/>
            <w:shd w:val="clear" w:color="auto" w:fill="auto"/>
            <w:tcMar>
              <w:top w:w="40" w:type="dxa"/>
              <w:left w:w="40" w:type="dxa"/>
              <w:bottom w:w="40" w:type="dxa"/>
            </w:tcMar>
            <w:vAlign w:val="bottom"/>
          </w:tcPr>
          <w:p w14:paraId="0BC9A63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w:t>
            </w:r>
          </w:p>
        </w:tc>
        <w:tc>
          <w:tcPr>
            <w:tcW w:w="0" w:type="auto"/>
            <w:shd w:val="clear" w:color="auto" w:fill="auto"/>
            <w:tcMar>
              <w:top w:w="40" w:type="dxa"/>
              <w:bottom w:w="40" w:type="dxa"/>
              <w:right w:w="40" w:type="dxa"/>
            </w:tcMar>
            <w:vAlign w:val="bottom"/>
          </w:tcPr>
          <w:p w14:paraId="0BC9A63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63D"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63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w:t>
            </w:r>
          </w:p>
        </w:tc>
        <w:tc>
          <w:tcPr>
            <w:tcW w:w="0" w:type="auto"/>
            <w:shd w:val="clear" w:color="auto" w:fill="auto"/>
            <w:tcMar>
              <w:top w:w="40" w:type="dxa"/>
              <w:bottom w:w="40" w:type="dxa"/>
              <w:right w:w="40" w:type="dxa"/>
            </w:tcMar>
            <w:vAlign w:val="bottom"/>
          </w:tcPr>
          <w:p w14:paraId="0BC9A63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640"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gridSpan w:val="2"/>
            <w:shd w:val="clear" w:color="auto" w:fill="auto"/>
            <w:tcMar>
              <w:top w:w="40" w:type="dxa"/>
              <w:left w:w="40" w:type="dxa"/>
              <w:bottom w:w="40" w:type="dxa"/>
            </w:tcMar>
            <w:vAlign w:val="bottom"/>
          </w:tcPr>
          <w:p w14:paraId="0BC9A64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w:t>
            </w:r>
          </w:p>
        </w:tc>
        <w:tc>
          <w:tcPr>
            <w:tcW w:w="0" w:type="auto"/>
            <w:shd w:val="clear" w:color="auto" w:fill="auto"/>
            <w:vAlign w:val="bottom"/>
          </w:tcPr>
          <w:p w14:paraId="0BC9A642" w14:textId="77777777" w:rsidR="009F0928" w:rsidRDefault="009F0928">
            <w:pPr>
              <w:textAlignment w:val="bottom"/>
              <w:rPr>
                <w:rFonts w:ascii="Times New Roman" w:hAnsi="Times New Roman"/>
                <w:sz w:val="20"/>
                <w:szCs w:val="20"/>
              </w:rPr>
            </w:pPr>
          </w:p>
        </w:tc>
      </w:tr>
      <w:tr w:rsidR="009F0928" w14:paraId="0BC9A650" w14:textId="77777777">
        <w:tc>
          <w:tcPr>
            <w:tcW w:w="0" w:type="auto"/>
            <w:shd w:val="clear" w:color="auto" w:fill="E2E2E2"/>
            <w:tcMar>
              <w:top w:w="40" w:type="dxa"/>
              <w:left w:w="400" w:type="dxa"/>
              <w:bottom w:w="40" w:type="dxa"/>
              <w:right w:w="40" w:type="dxa"/>
            </w:tcMar>
            <w:vAlign w:val="bottom"/>
          </w:tcPr>
          <w:p w14:paraId="0BC9A644"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interest and other, net</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64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64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(114</w:t>
            </w:r>
          </w:p>
        </w:tc>
        <w:tc>
          <w:tcPr>
            <w:tcW w:w="0" w:type="auto"/>
            <w:tcBorders>
              <w:top w:val="single" w:sz="8" w:space="0" w:color="000000"/>
              <w:bottom w:val="double" w:sz="6" w:space="0" w:color="000000"/>
            </w:tcBorders>
            <w:shd w:val="clear" w:color="auto" w:fill="E2E2E2"/>
            <w:tcMar>
              <w:top w:w="40" w:type="dxa"/>
              <w:bottom w:w="40" w:type="dxa"/>
              <w:right w:w="40" w:type="dxa"/>
            </w:tcMar>
            <w:vAlign w:val="bottom"/>
          </w:tcPr>
          <w:p w14:paraId="0BC9A64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648"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64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64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496</w:t>
            </w:r>
          </w:p>
        </w:tc>
        <w:tc>
          <w:tcPr>
            <w:tcW w:w="0" w:type="auto"/>
            <w:tcBorders>
              <w:top w:val="single" w:sz="8" w:space="0" w:color="000000"/>
              <w:bottom w:val="double" w:sz="6" w:space="0" w:color="000000"/>
            </w:tcBorders>
            <w:shd w:val="clear" w:color="auto" w:fill="E2E2E2"/>
            <w:vAlign w:val="bottom"/>
          </w:tcPr>
          <w:p w14:paraId="0BC9A64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64C"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64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64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w:t>
            </w:r>
          </w:p>
        </w:tc>
        <w:tc>
          <w:tcPr>
            <w:tcW w:w="0" w:type="auto"/>
            <w:tcBorders>
              <w:top w:val="single" w:sz="8" w:space="0" w:color="000000"/>
              <w:bottom w:val="double" w:sz="6" w:space="0" w:color="000000"/>
            </w:tcBorders>
            <w:shd w:val="clear" w:color="auto" w:fill="E2E2E2"/>
            <w:vAlign w:val="bottom"/>
          </w:tcPr>
          <w:p w14:paraId="0BC9A64F" w14:textId="77777777" w:rsidR="009F0928" w:rsidRDefault="009F0928">
            <w:pPr>
              <w:textAlignment w:val="bottom"/>
              <w:rPr>
                <w:rFonts w:ascii="Times New Roman" w:hAnsi="Times New Roman"/>
                <w:sz w:val="20"/>
                <w:szCs w:val="20"/>
              </w:rPr>
            </w:pPr>
          </w:p>
        </w:tc>
      </w:tr>
    </w:tbl>
    <w:p w14:paraId="0BC9A651" w14:textId="77777777" w:rsidR="009F0928" w:rsidRDefault="009F0928">
      <w:pPr>
        <w:spacing w:line="288" w:lineRule="auto"/>
        <w:jc w:val="both"/>
        <w:rPr>
          <w:rFonts w:ascii="Times New Roman" w:hAnsi="Times New Roman"/>
          <w:sz w:val="20"/>
          <w:szCs w:val="20"/>
        </w:rPr>
      </w:pPr>
    </w:p>
    <w:tbl>
      <w:tblPr>
        <w:tblW w:w="0" w:type="auto"/>
        <w:tblCellSpacing w:w="0" w:type="dxa"/>
        <w:tblCellMar>
          <w:top w:w="80" w:type="dxa"/>
          <w:left w:w="0" w:type="dxa"/>
          <w:right w:w="0" w:type="dxa"/>
        </w:tblCellMar>
        <w:tblLook w:val="04A0" w:firstRow="1" w:lastRow="0" w:firstColumn="1" w:lastColumn="0" w:noHBand="0" w:noVBand="1"/>
      </w:tblPr>
      <w:tblGrid>
        <w:gridCol w:w="480"/>
        <w:gridCol w:w="7826"/>
      </w:tblGrid>
      <w:tr w:rsidR="009F0928" w14:paraId="0BC9A654" w14:textId="77777777">
        <w:trPr>
          <w:tblCellSpacing w:w="0" w:type="dxa"/>
        </w:trPr>
        <w:tc>
          <w:tcPr>
            <w:tcW w:w="480" w:type="dxa"/>
            <w:shd w:val="clear" w:color="auto" w:fill="auto"/>
            <w:vAlign w:val="center"/>
          </w:tcPr>
          <w:p w14:paraId="0BC9A652" w14:textId="77777777" w:rsidR="009F0928" w:rsidRDefault="009F0928">
            <w:pPr>
              <w:rPr>
                <w:rFonts w:ascii="Times New Roman" w:hAnsi="Times New Roman"/>
                <w:sz w:val="20"/>
                <w:szCs w:val="20"/>
              </w:rPr>
            </w:pPr>
          </w:p>
        </w:tc>
        <w:tc>
          <w:tcPr>
            <w:tcW w:w="0" w:type="auto"/>
            <w:shd w:val="clear" w:color="auto" w:fill="auto"/>
            <w:vAlign w:val="center"/>
          </w:tcPr>
          <w:p w14:paraId="0BC9A653" w14:textId="77777777" w:rsidR="009F0928" w:rsidRDefault="009F0928">
            <w:pPr>
              <w:rPr>
                <w:rFonts w:ascii="Times New Roman" w:hAnsi="Times New Roman"/>
                <w:sz w:val="20"/>
                <w:szCs w:val="20"/>
              </w:rPr>
            </w:pPr>
          </w:p>
        </w:tc>
      </w:tr>
      <w:tr w:rsidR="009F0928" w14:paraId="0BC9A657" w14:textId="77777777">
        <w:trPr>
          <w:tblCellSpacing w:w="0" w:type="dxa"/>
        </w:trPr>
        <w:tc>
          <w:tcPr>
            <w:tcW w:w="0" w:type="auto"/>
            <w:shd w:val="clear" w:color="auto" w:fill="auto"/>
          </w:tcPr>
          <w:p w14:paraId="0BC9A655"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(1)</w:t>
            </w:r>
          </w:p>
        </w:tc>
        <w:tc>
          <w:tcPr>
            <w:tcW w:w="0" w:type="auto"/>
            <w:shd w:val="clear" w:color="auto" w:fill="auto"/>
          </w:tcPr>
          <w:p w14:paraId="0BC9A656"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 xml:space="preserve">Gains on investments and sale of business includes: (i) 2019 included a $52 million loss recorded on the divestiture of brands4friends and a $133 million gain recognized due to the change in fair value of the Adyen </w:t>
            </w:r>
            <w:r>
              <w:rPr>
                <w:rFonts w:ascii="Arial" w:eastAsia="宋体" w:hAnsi="Arial" w:cs="Arial"/>
                <w:sz w:val="16"/>
                <w:szCs w:val="16"/>
              </w:rPr>
              <w:t>warrant; (ii) 2018 included a $313 million gain on the sale of our equity investment in Flipkart, a $266 million gain recognized upon the relinquishment of our equity investment in Giosis and a $104 million gain recognized due to the change in fair value o</w:t>
            </w:r>
            <w:r>
              <w:rPr>
                <w:rFonts w:ascii="Arial" w:eastAsia="宋体" w:hAnsi="Arial" w:cs="Arial"/>
                <w:sz w:val="16"/>
                <w:szCs w:val="16"/>
              </w:rPr>
              <w:t>f the Adyen warrant; and (iii) 2017 included a $167 million gain on disposal of our eBay India business.</w:t>
            </w:r>
          </w:p>
        </w:tc>
      </w:tr>
    </w:tbl>
    <w:p w14:paraId="0BC9A658" w14:textId="77777777" w:rsidR="009F0928" w:rsidRDefault="009F0928">
      <w:pPr>
        <w:spacing w:line="288" w:lineRule="auto"/>
        <w:jc w:val="both"/>
        <w:rPr>
          <w:rFonts w:ascii="Times New Roman" w:hAnsi="Times New Roman"/>
          <w:sz w:val="16"/>
          <w:szCs w:val="16"/>
        </w:rPr>
      </w:pPr>
    </w:p>
    <w:p w14:paraId="0BC9A659"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Note 17 – Accumulated Other Comprehensive Income</w:t>
      </w:r>
    </w:p>
    <w:p w14:paraId="0BC9A65A" w14:textId="77777777" w:rsidR="009F0928" w:rsidRDefault="009F0928">
      <w:pPr>
        <w:spacing w:line="288" w:lineRule="auto"/>
        <w:ind w:firstLine="720"/>
        <w:jc w:val="both"/>
        <w:rPr>
          <w:rFonts w:ascii="Times New Roman" w:hAnsi="Times New Roman"/>
          <w:sz w:val="20"/>
          <w:szCs w:val="20"/>
        </w:rPr>
      </w:pPr>
    </w:p>
    <w:p w14:paraId="0BC9A65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following tables summarize the changes in AOCI for the years ended December 31, 2019 and </w:t>
      </w:r>
      <w:r>
        <w:rPr>
          <w:rFonts w:ascii="Arial" w:eastAsia="宋体" w:hAnsi="Arial" w:cs="Arial"/>
          <w:sz w:val="20"/>
          <w:szCs w:val="20"/>
        </w:rPr>
        <w:t>2018 (in millions):</w:t>
      </w:r>
    </w:p>
    <w:tbl>
      <w:tblPr>
        <w:tblW w:w="5000" w:type="pct"/>
        <w:tblCellMar>
          <w:left w:w="0" w:type="dxa"/>
          <w:right w:w="0" w:type="dxa"/>
        </w:tblCellMar>
        <w:tblLook w:val="04A0" w:firstRow="1" w:lastRow="0" w:firstColumn="1" w:lastColumn="0" w:noHBand="0" w:noVBand="1"/>
      </w:tblPr>
      <w:tblGrid>
        <w:gridCol w:w="2788"/>
        <w:gridCol w:w="142"/>
        <w:gridCol w:w="843"/>
        <w:gridCol w:w="100"/>
        <w:gridCol w:w="130"/>
        <w:gridCol w:w="142"/>
        <w:gridCol w:w="869"/>
        <w:gridCol w:w="100"/>
        <w:gridCol w:w="130"/>
        <w:gridCol w:w="142"/>
        <w:gridCol w:w="772"/>
        <w:gridCol w:w="100"/>
        <w:gridCol w:w="130"/>
        <w:gridCol w:w="142"/>
        <w:gridCol w:w="704"/>
        <w:gridCol w:w="100"/>
        <w:gridCol w:w="130"/>
        <w:gridCol w:w="141"/>
        <w:gridCol w:w="601"/>
        <w:gridCol w:w="100"/>
      </w:tblGrid>
      <w:tr w:rsidR="009F0928" w14:paraId="0BC9A65D" w14:textId="77777777">
        <w:tc>
          <w:tcPr>
            <w:tcW w:w="0" w:type="auto"/>
            <w:gridSpan w:val="20"/>
            <w:shd w:val="clear" w:color="auto" w:fill="auto"/>
            <w:vAlign w:val="center"/>
          </w:tcPr>
          <w:p w14:paraId="0BC9A65C" w14:textId="77777777" w:rsidR="009F0928" w:rsidRDefault="009F0928">
            <w:pPr>
              <w:rPr>
                <w:rFonts w:ascii="Times New Roman" w:hAnsi="Times New Roman"/>
                <w:sz w:val="20"/>
                <w:szCs w:val="20"/>
              </w:rPr>
            </w:pPr>
          </w:p>
        </w:tc>
      </w:tr>
      <w:tr w:rsidR="009F0928" w14:paraId="0BC9A672" w14:textId="77777777">
        <w:tc>
          <w:tcPr>
            <w:tcW w:w="1750" w:type="pct"/>
            <w:shd w:val="clear" w:color="auto" w:fill="auto"/>
            <w:vAlign w:val="center"/>
          </w:tcPr>
          <w:p w14:paraId="0BC9A65E" w14:textId="77777777" w:rsidR="009F0928" w:rsidRDefault="009F0928">
            <w:pPr>
              <w:rPr>
                <w:rFonts w:ascii="Times New Roman" w:hAnsi="Times New Roman"/>
                <w:sz w:val="20"/>
                <w:szCs w:val="20"/>
              </w:rPr>
            </w:pPr>
          </w:p>
        </w:tc>
        <w:tc>
          <w:tcPr>
            <w:tcW w:w="50" w:type="pct"/>
            <w:shd w:val="clear" w:color="auto" w:fill="auto"/>
            <w:vAlign w:val="center"/>
          </w:tcPr>
          <w:p w14:paraId="0BC9A65F" w14:textId="77777777" w:rsidR="009F0928" w:rsidRDefault="009F0928">
            <w:pPr>
              <w:rPr>
                <w:rFonts w:ascii="Times New Roman" w:hAnsi="Times New Roman"/>
                <w:sz w:val="20"/>
                <w:szCs w:val="20"/>
              </w:rPr>
            </w:pPr>
          </w:p>
        </w:tc>
        <w:tc>
          <w:tcPr>
            <w:tcW w:w="550" w:type="pct"/>
            <w:shd w:val="clear" w:color="auto" w:fill="auto"/>
            <w:vAlign w:val="center"/>
          </w:tcPr>
          <w:p w14:paraId="0BC9A660" w14:textId="77777777" w:rsidR="009F0928" w:rsidRDefault="009F0928">
            <w:pPr>
              <w:rPr>
                <w:rFonts w:ascii="Times New Roman" w:hAnsi="Times New Roman"/>
                <w:sz w:val="20"/>
                <w:szCs w:val="20"/>
              </w:rPr>
            </w:pPr>
          </w:p>
        </w:tc>
        <w:tc>
          <w:tcPr>
            <w:tcW w:w="50" w:type="pct"/>
            <w:shd w:val="clear" w:color="auto" w:fill="auto"/>
            <w:vAlign w:val="center"/>
          </w:tcPr>
          <w:p w14:paraId="0BC9A661" w14:textId="77777777" w:rsidR="009F0928" w:rsidRDefault="009F0928">
            <w:pPr>
              <w:rPr>
                <w:rFonts w:ascii="Times New Roman" w:hAnsi="Times New Roman"/>
                <w:sz w:val="20"/>
                <w:szCs w:val="20"/>
              </w:rPr>
            </w:pPr>
          </w:p>
        </w:tc>
        <w:tc>
          <w:tcPr>
            <w:tcW w:w="50" w:type="pct"/>
            <w:shd w:val="clear" w:color="auto" w:fill="auto"/>
            <w:vAlign w:val="center"/>
          </w:tcPr>
          <w:p w14:paraId="0BC9A662" w14:textId="77777777" w:rsidR="009F0928" w:rsidRDefault="009F0928">
            <w:pPr>
              <w:rPr>
                <w:rFonts w:ascii="Times New Roman" w:hAnsi="Times New Roman"/>
                <w:sz w:val="20"/>
                <w:szCs w:val="20"/>
              </w:rPr>
            </w:pPr>
          </w:p>
        </w:tc>
        <w:tc>
          <w:tcPr>
            <w:tcW w:w="50" w:type="pct"/>
            <w:shd w:val="clear" w:color="auto" w:fill="auto"/>
            <w:vAlign w:val="center"/>
          </w:tcPr>
          <w:p w14:paraId="0BC9A663" w14:textId="77777777" w:rsidR="009F0928" w:rsidRDefault="009F0928">
            <w:pPr>
              <w:rPr>
                <w:rFonts w:ascii="Times New Roman" w:hAnsi="Times New Roman"/>
                <w:sz w:val="20"/>
                <w:szCs w:val="20"/>
              </w:rPr>
            </w:pPr>
          </w:p>
        </w:tc>
        <w:tc>
          <w:tcPr>
            <w:tcW w:w="600" w:type="pct"/>
            <w:shd w:val="clear" w:color="auto" w:fill="auto"/>
            <w:vAlign w:val="center"/>
          </w:tcPr>
          <w:p w14:paraId="0BC9A664" w14:textId="77777777" w:rsidR="009F0928" w:rsidRDefault="009F0928">
            <w:pPr>
              <w:rPr>
                <w:rFonts w:ascii="Times New Roman" w:hAnsi="Times New Roman"/>
                <w:sz w:val="20"/>
                <w:szCs w:val="20"/>
              </w:rPr>
            </w:pPr>
          </w:p>
        </w:tc>
        <w:tc>
          <w:tcPr>
            <w:tcW w:w="50" w:type="pct"/>
            <w:shd w:val="clear" w:color="auto" w:fill="auto"/>
            <w:vAlign w:val="center"/>
          </w:tcPr>
          <w:p w14:paraId="0BC9A665" w14:textId="77777777" w:rsidR="009F0928" w:rsidRDefault="009F0928">
            <w:pPr>
              <w:rPr>
                <w:rFonts w:ascii="Times New Roman" w:hAnsi="Times New Roman"/>
                <w:sz w:val="20"/>
                <w:szCs w:val="20"/>
              </w:rPr>
            </w:pPr>
          </w:p>
        </w:tc>
        <w:tc>
          <w:tcPr>
            <w:tcW w:w="50" w:type="pct"/>
            <w:shd w:val="clear" w:color="auto" w:fill="auto"/>
            <w:vAlign w:val="center"/>
          </w:tcPr>
          <w:p w14:paraId="0BC9A666" w14:textId="77777777" w:rsidR="009F0928" w:rsidRDefault="009F0928">
            <w:pPr>
              <w:rPr>
                <w:rFonts w:ascii="Times New Roman" w:hAnsi="Times New Roman"/>
                <w:sz w:val="20"/>
                <w:szCs w:val="20"/>
              </w:rPr>
            </w:pPr>
          </w:p>
        </w:tc>
        <w:tc>
          <w:tcPr>
            <w:tcW w:w="50" w:type="pct"/>
            <w:shd w:val="clear" w:color="auto" w:fill="auto"/>
            <w:vAlign w:val="center"/>
          </w:tcPr>
          <w:p w14:paraId="0BC9A667" w14:textId="77777777" w:rsidR="009F0928" w:rsidRDefault="009F0928">
            <w:pPr>
              <w:rPr>
                <w:rFonts w:ascii="Times New Roman" w:hAnsi="Times New Roman"/>
                <w:sz w:val="20"/>
                <w:szCs w:val="20"/>
              </w:rPr>
            </w:pPr>
          </w:p>
        </w:tc>
        <w:tc>
          <w:tcPr>
            <w:tcW w:w="450" w:type="pct"/>
            <w:shd w:val="clear" w:color="auto" w:fill="auto"/>
            <w:vAlign w:val="center"/>
          </w:tcPr>
          <w:p w14:paraId="0BC9A668" w14:textId="77777777" w:rsidR="009F0928" w:rsidRDefault="009F0928">
            <w:pPr>
              <w:rPr>
                <w:rFonts w:ascii="Times New Roman" w:hAnsi="Times New Roman"/>
                <w:sz w:val="20"/>
                <w:szCs w:val="20"/>
              </w:rPr>
            </w:pPr>
          </w:p>
        </w:tc>
        <w:tc>
          <w:tcPr>
            <w:tcW w:w="50" w:type="pct"/>
            <w:shd w:val="clear" w:color="auto" w:fill="auto"/>
            <w:vAlign w:val="center"/>
          </w:tcPr>
          <w:p w14:paraId="0BC9A669" w14:textId="77777777" w:rsidR="009F0928" w:rsidRDefault="009F0928">
            <w:pPr>
              <w:rPr>
                <w:rFonts w:ascii="Times New Roman" w:hAnsi="Times New Roman"/>
                <w:sz w:val="20"/>
                <w:szCs w:val="20"/>
              </w:rPr>
            </w:pPr>
          </w:p>
        </w:tc>
        <w:tc>
          <w:tcPr>
            <w:tcW w:w="50" w:type="pct"/>
            <w:shd w:val="clear" w:color="auto" w:fill="auto"/>
            <w:vAlign w:val="center"/>
          </w:tcPr>
          <w:p w14:paraId="0BC9A66A" w14:textId="77777777" w:rsidR="009F0928" w:rsidRDefault="009F0928">
            <w:pPr>
              <w:rPr>
                <w:rFonts w:ascii="Times New Roman" w:hAnsi="Times New Roman"/>
                <w:sz w:val="20"/>
                <w:szCs w:val="20"/>
              </w:rPr>
            </w:pPr>
          </w:p>
        </w:tc>
        <w:tc>
          <w:tcPr>
            <w:tcW w:w="50" w:type="pct"/>
            <w:shd w:val="clear" w:color="auto" w:fill="auto"/>
            <w:vAlign w:val="center"/>
          </w:tcPr>
          <w:p w14:paraId="0BC9A66B" w14:textId="77777777" w:rsidR="009F0928" w:rsidRDefault="009F0928">
            <w:pPr>
              <w:rPr>
                <w:rFonts w:ascii="Times New Roman" w:hAnsi="Times New Roman"/>
                <w:sz w:val="20"/>
                <w:szCs w:val="20"/>
              </w:rPr>
            </w:pPr>
          </w:p>
        </w:tc>
        <w:tc>
          <w:tcPr>
            <w:tcW w:w="500" w:type="pct"/>
            <w:shd w:val="clear" w:color="auto" w:fill="auto"/>
            <w:vAlign w:val="center"/>
          </w:tcPr>
          <w:p w14:paraId="0BC9A66C" w14:textId="77777777" w:rsidR="009F0928" w:rsidRDefault="009F0928">
            <w:pPr>
              <w:rPr>
                <w:rFonts w:ascii="Times New Roman" w:hAnsi="Times New Roman"/>
                <w:sz w:val="20"/>
                <w:szCs w:val="20"/>
              </w:rPr>
            </w:pPr>
          </w:p>
        </w:tc>
        <w:tc>
          <w:tcPr>
            <w:tcW w:w="50" w:type="pct"/>
            <w:shd w:val="clear" w:color="auto" w:fill="auto"/>
            <w:vAlign w:val="center"/>
          </w:tcPr>
          <w:p w14:paraId="0BC9A66D" w14:textId="77777777" w:rsidR="009F0928" w:rsidRDefault="009F0928">
            <w:pPr>
              <w:rPr>
                <w:rFonts w:ascii="Times New Roman" w:hAnsi="Times New Roman"/>
                <w:sz w:val="20"/>
                <w:szCs w:val="20"/>
              </w:rPr>
            </w:pPr>
          </w:p>
        </w:tc>
        <w:tc>
          <w:tcPr>
            <w:tcW w:w="50" w:type="pct"/>
            <w:shd w:val="clear" w:color="auto" w:fill="auto"/>
            <w:vAlign w:val="center"/>
          </w:tcPr>
          <w:p w14:paraId="0BC9A66E" w14:textId="77777777" w:rsidR="009F0928" w:rsidRDefault="009F0928">
            <w:pPr>
              <w:rPr>
                <w:rFonts w:ascii="Times New Roman" w:hAnsi="Times New Roman"/>
                <w:sz w:val="20"/>
                <w:szCs w:val="20"/>
              </w:rPr>
            </w:pPr>
          </w:p>
        </w:tc>
        <w:tc>
          <w:tcPr>
            <w:tcW w:w="50" w:type="pct"/>
            <w:shd w:val="clear" w:color="auto" w:fill="auto"/>
            <w:vAlign w:val="center"/>
          </w:tcPr>
          <w:p w14:paraId="0BC9A66F" w14:textId="77777777" w:rsidR="009F0928" w:rsidRDefault="009F0928">
            <w:pPr>
              <w:rPr>
                <w:rFonts w:ascii="Times New Roman" w:hAnsi="Times New Roman"/>
                <w:sz w:val="20"/>
                <w:szCs w:val="20"/>
              </w:rPr>
            </w:pPr>
          </w:p>
        </w:tc>
        <w:tc>
          <w:tcPr>
            <w:tcW w:w="450" w:type="pct"/>
            <w:shd w:val="clear" w:color="auto" w:fill="auto"/>
            <w:vAlign w:val="center"/>
          </w:tcPr>
          <w:p w14:paraId="0BC9A670" w14:textId="77777777" w:rsidR="009F0928" w:rsidRDefault="009F0928">
            <w:pPr>
              <w:rPr>
                <w:rFonts w:ascii="Times New Roman" w:hAnsi="Times New Roman"/>
                <w:sz w:val="20"/>
                <w:szCs w:val="20"/>
              </w:rPr>
            </w:pPr>
          </w:p>
        </w:tc>
        <w:tc>
          <w:tcPr>
            <w:tcW w:w="50" w:type="pct"/>
            <w:shd w:val="clear" w:color="auto" w:fill="auto"/>
            <w:vAlign w:val="center"/>
          </w:tcPr>
          <w:p w14:paraId="0BC9A671" w14:textId="77777777" w:rsidR="009F0928" w:rsidRDefault="009F0928">
            <w:pPr>
              <w:rPr>
                <w:rFonts w:ascii="Times New Roman" w:hAnsi="Times New Roman"/>
                <w:sz w:val="20"/>
                <w:szCs w:val="20"/>
              </w:rPr>
            </w:pPr>
          </w:p>
        </w:tc>
      </w:tr>
      <w:tr w:rsidR="009F0928" w14:paraId="0BC9A681" w14:textId="77777777">
        <w:tc>
          <w:tcPr>
            <w:tcW w:w="0" w:type="auto"/>
            <w:shd w:val="clear" w:color="auto" w:fill="auto"/>
            <w:tcMar>
              <w:top w:w="40" w:type="dxa"/>
              <w:left w:w="40" w:type="dxa"/>
              <w:bottom w:w="40" w:type="dxa"/>
              <w:right w:w="40" w:type="dxa"/>
            </w:tcMar>
            <w:vAlign w:val="bottom"/>
          </w:tcPr>
          <w:p w14:paraId="0BC9A67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674"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Unrealized Gains (Losses) on Derivative Instruments</w:t>
            </w:r>
          </w:p>
        </w:tc>
        <w:tc>
          <w:tcPr>
            <w:tcW w:w="0" w:type="auto"/>
            <w:shd w:val="clear" w:color="auto" w:fill="auto"/>
            <w:tcMar>
              <w:top w:w="40" w:type="dxa"/>
              <w:left w:w="40" w:type="dxa"/>
              <w:bottom w:w="40" w:type="dxa"/>
              <w:right w:w="40" w:type="dxa"/>
            </w:tcMar>
            <w:vAlign w:val="bottom"/>
          </w:tcPr>
          <w:p w14:paraId="0BC9A67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67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Unrealized</w:t>
            </w:r>
          </w:p>
          <w:p w14:paraId="0BC9A67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Gains (Losses) </w:t>
            </w:r>
          </w:p>
          <w:p w14:paraId="0BC9A678"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on Investments</w:t>
            </w:r>
          </w:p>
        </w:tc>
        <w:tc>
          <w:tcPr>
            <w:tcW w:w="0" w:type="auto"/>
            <w:shd w:val="clear" w:color="auto" w:fill="auto"/>
            <w:tcMar>
              <w:top w:w="40" w:type="dxa"/>
              <w:left w:w="40" w:type="dxa"/>
              <w:bottom w:w="40" w:type="dxa"/>
              <w:right w:w="40" w:type="dxa"/>
            </w:tcMar>
            <w:vAlign w:val="bottom"/>
          </w:tcPr>
          <w:p w14:paraId="0BC9A6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67A"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Foreign</w:t>
            </w:r>
          </w:p>
          <w:p w14:paraId="0BC9A67B"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Currency</w:t>
            </w:r>
          </w:p>
          <w:p w14:paraId="0BC9A67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Translation</w:t>
            </w:r>
          </w:p>
        </w:tc>
        <w:tc>
          <w:tcPr>
            <w:tcW w:w="0" w:type="auto"/>
            <w:shd w:val="clear" w:color="auto" w:fill="auto"/>
            <w:tcMar>
              <w:top w:w="40" w:type="dxa"/>
              <w:left w:w="40" w:type="dxa"/>
              <w:bottom w:w="40" w:type="dxa"/>
              <w:right w:w="40" w:type="dxa"/>
            </w:tcMar>
            <w:vAlign w:val="bottom"/>
          </w:tcPr>
          <w:p w14:paraId="0BC9A67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67E"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Estimated Tax (Expense) Benefit</w:t>
            </w:r>
          </w:p>
        </w:tc>
        <w:tc>
          <w:tcPr>
            <w:tcW w:w="0" w:type="auto"/>
            <w:shd w:val="clear" w:color="auto" w:fill="auto"/>
            <w:tcMar>
              <w:top w:w="40" w:type="dxa"/>
              <w:left w:w="40" w:type="dxa"/>
              <w:bottom w:w="40" w:type="dxa"/>
              <w:right w:w="40" w:type="dxa"/>
            </w:tcMar>
            <w:vAlign w:val="bottom"/>
          </w:tcPr>
          <w:p w14:paraId="0BC9A67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68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Total</w:t>
            </w:r>
          </w:p>
        </w:tc>
      </w:tr>
      <w:tr w:rsidR="009F0928" w14:paraId="0BC9A696" w14:textId="77777777">
        <w:tc>
          <w:tcPr>
            <w:tcW w:w="0" w:type="auto"/>
            <w:shd w:val="clear" w:color="auto" w:fill="E2E2E2"/>
            <w:tcMar>
              <w:top w:w="40" w:type="dxa"/>
              <w:left w:w="40" w:type="dxa"/>
              <w:bottom w:w="40" w:type="dxa"/>
              <w:right w:w="40" w:type="dxa"/>
            </w:tcMar>
            <w:vAlign w:val="bottom"/>
          </w:tcPr>
          <w:p w14:paraId="0BC9A682" w14:textId="77777777" w:rsidR="009F0928" w:rsidRDefault="002112BD">
            <w:pPr>
              <w:textAlignment w:val="bottom"/>
              <w:rPr>
                <w:rFonts w:ascii="Times New Roman" w:hAnsi="Times New Roman"/>
                <w:sz w:val="18"/>
                <w:szCs w:val="18"/>
              </w:rPr>
            </w:pPr>
            <w:r>
              <w:rPr>
                <w:rFonts w:ascii="Arial" w:eastAsia="宋体" w:hAnsi="Arial" w:cs="Arial"/>
                <w:sz w:val="18"/>
                <w:szCs w:val="18"/>
              </w:rPr>
              <w:t>Balance as of December 31, 2018</w:t>
            </w:r>
          </w:p>
        </w:tc>
        <w:tc>
          <w:tcPr>
            <w:tcW w:w="0" w:type="auto"/>
            <w:tcBorders>
              <w:top w:val="single" w:sz="8" w:space="0" w:color="000000"/>
            </w:tcBorders>
            <w:shd w:val="clear" w:color="auto" w:fill="E2E2E2"/>
            <w:tcMar>
              <w:top w:w="40" w:type="dxa"/>
              <w:left w:w="40" w:type="dxa"/>
              <w:bottom w:w="40" w:type="dxa"/>
            </w:tcMar>
            <w:vAlign w:val="bottom"/>
          </w:tcPr>
          <w:p w14:paraId="0BC9A68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tcMar>
              <w:top w:w="40" w:type="dxa"/>
              <w:bottom w:w="40" w:type="dxa"/>
            </w:tcMar>
            <w:vAlign w:val="bottom"/>
          </w:tcPr>
          <w:p w14:paraId="0BC9A68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68</w:t>
            </w:r>
          </w:p>
        </w:tc>
        <w:tc>
          <w:tcPr>
            <w:tcW w:w="0" w:type="auto"/>
            <w:tcBorders>
              <w:top w:val="single" w:sz="8" w:space="0" w:color="000000"/>
            </w:tcBorders>
            <w:shd w:val="clear" w:color="auto" w:fill="E2E2E2"/>
            <w:vAlign w:val="bottom"/>
          </w:tcPr>
          <w:p w14:paraId="0BC9A68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68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A68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tcMar>
              <w:top w:w="40" w:type="dxa"/>
              <w:bottom w:w="40" w:type="dxa"/>
            </w:tcMar>
            <w:vAlign w:val="bottom"/>
          </w:tcPr>
          <w:p w14:paraId="0BC9A68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(56</w:t>
            </w:r>
          </w:p>
        </w:tc>
        <w:tc>
          <w:tcPr>
            <w:tcW w:w="0" w:type="auto"/>
            <w:tcBorders>
              <w:top w:val="single" w:sz="8" w:space="0" w:color="000000"/>
            </w:tcBorders>
            <w:shd w:val="clear" w:color="auto" w:fill="E2E2E2"/>
            <w:tcMar>
              <w:top w:w="40" w:type="dxa"/>
              <w:bottom w:w="40" w:type="dxa"/>
              <w:right w:w="40" w:type="dxa"/>
            </w:tcMar>
            <w:vAlign w:val="bottom"/>
          </w:tcPr>
          <w:p w14:paraId="0BC9A68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68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A68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tcMar>
              <w:top w:w="40" w:type="dxa"/>
              <w:bottom w:w="40" w:type="dxa"/>
            </w:tcMar>
            <w:vAlign w:val="bottom"/>
          </w:tcPr>
          <w:p w14:paraId="0BC9A68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462</w:t>
            </w:r>
          </w:p>
        </w:tc>
        <w:tc>
          <w:tcPr>
            <w:tcW w:w="0" w:type="auto"/>
            <w:tcBorders>
              <w:top w:val="single" w:sz="8" w:space="0" w:color="000000"/>
            </w:tcBorders>
            <w:shd w:val="clear" w:color="auto" w:fill="E2E2E2"/>
            <w:vAlign w:val="bottom"/>
          </w:tcPr>
          <w:p w14:paraId="0BC9A68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68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A68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tcMar>
              <w:top w:w="40" w:type="dxa"/>
              <w:bottom w:w="40" w:type="dxa"/>
            </w:tcMar>
            <w:vAlign w:val="bottom"/>
          </w:tcPr>
          <w:p w14:paraId="0BC9A69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24</w:t>
            </w:r>
          </w:p>
        </w:tc>
        <w:tc>
          <w:tcPr>
            <w:tcW w:w="0" w:type="auto"/>
            <w:tcBorders>
              <w:top w:val="single" w:sz="8" w:space="0" w:color="000000"/>
            </w:tcBorders>
            <w:shd w:val="clear" w:color="auto" w:fill="E2E2E2"/>
            <w:vAlign w:val="bottom"/>
          </w:tcPr>
          <w:p w14:paraId="0BC9A69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69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2E2"/>
            <w:tcMar>
              <w:top w:w="40" w:type="dxa"/>
              <w:left w:w="40" w:type="dxa"/>
              <w:bottom w:w="40" w:type="dxa"/>
            </w:tcMar>
            <w:vAlign w:val="bottom"/>
          </w:tcPr>
          <w:p w14:paraId="0BC9A69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E2E2E2"/>
            <w:tcMar>
              <w:top w:w="40" w:type="dxa"/>
              <w:bottom w:w="40" w:type="dxa"/>
            </w:tcMar>
            <w:vAlign w:val="bottom"/>
          </w:tcPr>
          <w:p w14:paraId="0BC9A69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498</w:t>
            </w:r>
          </w:p>
        </w:tc>
        <w:tc>
          <w:tcPr>
            <w:tcW w:w="0" w:type="auto"/>
            <w:tcBorders>
              <w:top w:val="single" w:sz="8" w:space="0" w:color="000000"/>
            </w:tcBorders>
            <w:shd w:val="clear" w:color="auto" w:fill="E2E2E2"/>
            <w:vAlign w:val="bottom"/>
          </w:tcPr>
          <w:p w14:paraId="0BC9A695" w14:textId="77777777" w:rsidR="009F0928" w:rsidRDefault="009F0928">
            <w:pPr>
              <w:textAlignment w:val="bottom"/>
              <w:rPr>
                <w:rFonts w:ascii="Times New Roman" w:hAnsi="Times New Roman"/>
                <w:sz w:val="20"/>
                <w:szCs w:val="20"/>
              </w:rPr>
            </w:pPr>
          </w:p>
        </w:tc>
      </w:tr>
      <w:tr w:rsidR="009F0928" w14:paraId="0BC9A6A6" w14:textId="77777777">
        <w:tc>
          <w:tcPr>
            <w:tcW w:w="0" w:type="auto"/>
            <w:shd w:val="clear" w:color="auto" w:fill="auto"/>
            <w:tcMar>
              <w:top w:w="40" w:type="dxa"/>
              <w:left w:w="400" w:type="dxa"/>
              <w:bottom w:w="40" w:type="dxa"/>
              <w:right w:w="40" w:type="dxa"/>
            </w:tcMar>
            <w:vAlign w:val="bottom"/>
          </w:tcPr>
          <w:p w14:paraId="0BC9A697" w14:textId="77777777" w:rsidR="009F0928" w:rsidRDefault="002112BD">
            <w:pPr>
              <w:textAlignment w:val="bottom"/>
              <w:rPr>
                <w:rFonts w:ascii="Times New Roman" w:hAnsi="Times New Roman"/>
                <w:sz w:val="18"/>
                <w:szCs w:val="18"/>
              </w:rPr>
            </w:pPr>
            <w:r>
              <w:rPr>
                <w:rFonts w:ascii="Arial" w:eastAsia="宋体" w:hAnsi="Arial" w:cs="Arial"/>
                <w:sz w:val="18"/>
                <w:szCs w:val="18"/>
              </w:rPr>
              <w:t>Other comprehensive income (loss) before reclassifications</w:t>
            </w:r>
          </w:p>
        </w:tc>
        <w:tc>
          <w:tcPr>
            <w:tcW w:w="0" w:type="auto"/>
            <w:gridSpan w:val="2"/>
            <w:shd w:val="clear" w:color="auto" w:fill="auto"/>
            <w:tcMar>
              <w:top w:w="40" w:type="dxa"/>
              <w:left w:w="40" w:type="dxa"/>
              <w:bottom w:w="40" w:type="dxa"/>
            </w:tcMar>
            <w:vAlign w:val="bottom"/>
          </w:tcPr>
          <w:p w14:paraId="0BC9A69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w:t>
            </w:r>
          </w:p>
        </w:tc>
        <w:tc>
          <w:tcPr>
            <w:tcW w:w="0" w:type="auto"/>
            <w:shd w:val="clear" w:color="auto" w:fill="auto"/>
            <w:vAlign w:val="bottom"/>
          </w:tcPr>
          <w:p w14:paraId="0BC9A69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69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69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61</w:t>
            </w:r>
          </w:p>
        </w:tc>
        <w:tc>
          <w:tcPr>
            <w:tcW w:w="0" w:type="auto"/>
            <w:shd w:val="clear" w:color="auto" w:fill="auto"/>
            <w:vAlign w:val="bottom"/>
          </w:tcPr>
          <w:p w14:paraId="0BC9A69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69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69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(99</w:t>
            </w:r>
          </w:p>
        </w:tc>
        <w:tc>
          <w:tcPr>
            <w:tcW w:w="0" w:type="auto"/>
            <w:shd w:val="clear" w:color="auto" w:fill="auto"/>
            <w:tcMar>
              <w:top w:w="40" w:type="dxa"/>
              <w:bottom w:w="40" w:type="dxa"/>
              <w:right w:w="40" w:type="dxa"/>
            </w:tcMar>
            <w:vAlign w:val="bottom"/>
          </w:tcPr>
          <w:p w14:paraId="0BC9A69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6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6A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(16</w:t>
            </w:r>
          </w:p>
        </w:tc>
        <w:tc>
          <w:tcPr>
            <w:tcW w:w="0" w:type="auto"/>
            <w:shd w:val="clear" w:color="auto" w:fill="auto"/>
            <w:tcMar>
              <w:top w:w="40" w:type="dxa"/>
              <w:bottom w:w="40" w:type="dxa"/>
              <w:right w:w="40" w:type="dxa"/>
            </w:tcMar>
            <w:vAlign w:val="bottom"/>
          </w:tcPr>
          <w:p w14:paraId="0BC9A6A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6A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6A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(50</w:t>
            </w:r>
          </w:p>
        </w:tc>
        <w:tc>
          <w:tcPr>
            <w:tcW w:w="0" w:type="auto"/>
            <w:shd w:val="clear" w:color="auto" w:fill="auto"/>
            <w:tcMar>
              <w:top w:w="40" w:type="dxa"/>
              <w:bottom w:w="40" w:type="dxa"/>
              <w:right w:w="40" w:type="dxa"/>
            </w:tcMar>
            <w:vAlign w:val="bottom"/>
          </w:tcPr>
          <w:p w14:paraId="0BC9A6A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6B6" w14:textId="77777777">
        <w:tc>
          <w:tcPr>
            <w:tcW w:w="0" w:type="auto"/>
            <w:shd w:val="clear" w:color="auto" w:fill="E2E2E2"/>
            <w:tcMar>
              <w:top w:w="40" w:type="dxa"/>
              <w:left w:w="400" w:type="dxa"/>
              <w:bottom w:w="40" w:type="dxa"/>
              <w:right w:w="40" w:type="dxa"/>
            </w:tcMar>
            <w:vAlign w:val="bottom"/>
          </w:tcPr>
          <w:p w14:paraId="0BC9A6A7" w14:textId="77777777" w:rsidR="009F0928" w:rsidRDefault="002112BD">
            <w:pPr>
              <w:textAlignment w:val="bottom"/>
              <w:rPr>
                <w:rFonts w:ascii="Times New Roman" w:hAnsi="Times New Roman"/>
                <w:sz w:val="18"/>
                <w:szCs w:val="18"/>
              </w:rPr>
            </w:pPr>
            <w:r>
              <w:rPr>
                <w:rFonts w:ascii="Arial" w:eastAsia="宋体" w:hAnsi="Arial" w:cs="Arial"/>
                <w:sz w:val="18"/>
                <w:szCs w:val="18"/>
              </w:rPr>
              <w:t>Less: Amount of gain (loss) reclassified from AOCI</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6A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81</w:t>
            </w:r>
          </w:p>
        </w:tc>
        <w:tc>
          <w:tcPr>
            <w:tcW w:w="0" w:type="auto"/>
            <w:tcBorders>
              <w:bottom w:val="single" w:sz="8" w:space="0" w:color="000000"/>
            </w:tcBorders>
            <w:shd w:val="clear" w:color="auto" w:fill="E2E2E2"/>
            <w:vAlign w:val="bottom"/>
          </w:tcPr>
          <w:p w14:paraId="0BC9A6A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6A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6A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E2E2E2"/>
            <w:vAlign w:val="bottom"/>
          </w:tcPr>
          <w:p w14:paraId="0BC9A6A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6A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6A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E2E2E2"/>
            <w:vAlign w:val="bottom"/>
          </w:tcPr>
          <w:p w14:paraId="0BC9A6A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6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6B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w:t>
            </w:r>
          </w:p>
        </w:tc>
        <w:tc>
          <w:tcPr>
            <w:tcW w:w="0" w:type="auto"/>
            <w:tcBorders>
              <w:bottom w:val="single" w:sz="8" w:space="0" w:color="000000"/>
            </w:tcBorders>
            <w:shd w:val="clear" w:color="auto" w:fill="E2E2E2"/>
            <w:tcMar>
              <w:top w:w="40" w:type="dxa"/>
              <w:bottom w:w="40" w:type="dxa"/>
              <w:right w:w="40" w:type="dxa"/>
            </w:tcMar>
            <w:vAlign w:val="bottom"/>
          </w:tcPr>
          <w:p w14:paraId="0BC9A6B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6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6B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64</w:t>
            </w:r>
          </w:p>
        </w:tc>
        <w:tc>
          <w:tcPr>
            <w:tcW w:w="0" w:type="auto"/>
            <w:tcBorders>
              <w:bottom w:val="single" w:sz="8" w:space="0" w:color="000000"/>
            </w:tcBorders>
            <w:shd w:val="clear" w:color="auto" w:fill="E2E2E2"/>
            <w:vAlign w:val="bottom"/>
          </w:tcPr>
          <w:p w14:paraId="0BC9A6B5" w14:textId="77777777" w:rsidR="009F0928" w:rsidRDefault="009F0928">
            <w:pPr>
              <w:textAlignment w:val="bottom"/>
              <w:rPr>
                <w:rFonts w:ascii="Times New Roman" w:hAnsi="Times New Roman"/>
                <w:sz w:val="20"/>
                <w:szCs w:val="20"/>
              </w:rPr>
            </w:pPr>
          </w:p>
        </w:tc>
      </w:tr>
      <w:tr w:rsidR="009F0928" w14:paraId="0BC9A6C6" w14:textId="77777777">
        <w:tc>
          <w:tcPr>
            <w:tcW w:w="0" w:type="auto"/>
            <w:shd w:val="clear" w:color="auto" w:fill="auto"/>
            <w:tcMar>
              <w:top w:w="40" w:type="dxa"/>
              <w:left w:w="40" w:type="dxa"/>
              <w:bottom w:w="40" w:type="dxa"/>
              <w:right w:w="40" w:type="dxa"/>
            </w:tcMar>
            <w:vAlign w:val="bottom"/>
          </w:tcPr>
          <w:p w14:paraId="0BC9A6B7"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Net current period other </w:t>
            </w:r>
            <w:r>
              <w:rPr>
                <w:rFonts w:ascii="Arial" w:eastAsia="宋体" w:hAnsi="Arial" w:cs="Arial"/>
                <w:sz w:val="18"/>
                <w:szCs w:val="18"/>
              </w:rPr>
              <w:t>comprehensive income (loss)</w:t>
            </w:r>
          </w:p>
        </w:tc>
        <w:tc>
          <w:tcPr>
            <w:tcW w:w="0" w:type="auto"/>
            <w:gridSpan w:val="2"/>
            <w:shd w:val="clear" w:color="auto" w:fill="auto"/>
            <w:tcMar>
              <w:top w:w="40" w:type="dxa"/>
              <w:left w:w="40" w:type="dxa"/>
              <w:bottom w:w="40" w:type="dxa"/>
            </w:tcMar>
            <w:vAlign w:val="bottom"/>
          </w:tcPr>
          <w:p w14:paraId="0BC9A6B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(77</w:t>
            </w:r>
          </w:p>
        </w:tc>
        <w:tc>
          <w:tcPr>
            <w:tcW w:w="0" w:type="auto"/>
            <w:shd w:val="clear" w:color="auto" w:fill="auto"/>
            <w:tcMar>
              <w:top w:w="40" w:type="dxa"/>
              <w:bottom w:w="40" w:type="dxa"/>
              <w:right w:w="40" w:type="dxa"/>
            </w:tcMar>
            <w:vAlign w:val="bottom"/>
          </w:tcPr>
          <w:p w14:paraId="0BC9A6B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6B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6B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61</w:t>
            </w:r>
          </w:p>
        </w:tc>
        <w:tc>
          <w:tcPr>
            <w:tcW w:w="0" w:type="auto"/>
            <w:shd w:val="clear" w:color="auto" w:fill="auto"/>
            <w:vAlign w:val="bottom"/>
          </w:tcPr>
          <w:p w14:paraId="0BC9A6B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6B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6B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(99</w:t>
            </w:r>
          </w:p>
        </w:tc>
        <w:tc>
          <w:tcPr>
            <w:tcW w:w="0" w:type="auto"/>
            <w:shd w:val="clear" w:color="auto" w:fill="auto"/>
            <w:tcMar>
              <w:top w:w="40" w:type="dxa"/>
              <w:bottom w:w="40" w:type="dxa"/>
              <w:right w:w="40" w:type="dxa"/>
            </w:tcMar>
            <w:vAlign w:val="bottom"/>
          </w:tcPr>
          <w:p w14:paraId="0BC9A6B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6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6C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w:t>
            </w:r>
          </w:p>
        </w:tc>
        <w:tc>
          <w:tcPr>
            <w:tcW w:w="0" w:type="auto"/>
            <w:shd w:val="clear" w:color="auto" w:fill="auto"/>
            <w:vAlign w:val="bottom"/>
          </w:tcPr>
          <w:p w14:paraId="0BC9A6C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6C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6C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(114</w:t>
            </w:r>
          </w:p>
        </w:tc>
        <w:tc>
          <w:tcPr>
            <w:tcW w:w="0" w:type="auto"/>
            <w:shd w:val="clear" w:color="auto" w:fill="auto"/>
            <w:tcMar>
              <w:top w:w="40" w:type="dxa"/>
              <w:bottom w:w="40" w:type="dxa"/>
              <w:right w:w="40" w:type="dxa"/>
            </w:tcMar>
            <w:vAlign w:val="bottom"/>
          </w:tcPr>
          <w:p w14:paraId="0BC9A6C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6DB" w14:textId="77777777">
        <w:tc>
          <w:tcPr>
            <w:tcW w:w="0" w:type="auto"/>
            <w:shd w:val="clear" w:color="auto" w:fill="E2E2E2"/>
            <w:tcMar>
              <w:top w:w="40" w:type="dxa"/>
              <w:left w:w="40" w:type="dxa"/>
              <w:bottom w:w="40" w:type="dxa"/>
              <w:right w:w="40" w:type="dxa"/>
            </w:tcMar>
            <w:vAlign w:val="bottom"/>
          </w:tcPr>
          <w:p w14:paraId="0BC9A6C7" w14:textId="77777777" w:rsidR="009F0928" w:rsidRDefault="002112BD">
            <w:pPr>
              <w:textAlignment w:val="bottom"/>
              <w:rPr>
                <w:rFonts w:ascii="Times New Roman" w:hAnsi="Times New Roman"/>
                <w:sz w:val="18"/>
                <w:szCs w:val="18"/>
              </w:rPr>
            </w:pPr>
            <w:r>
              <w:rPr>
                <w:rFonts w:ascii="Arial" w:eastAsia="宋体" w:hAnsi="Arial" w:cs="Arial"/>
                <w:sz w:val="18"/>
                <w:szCs w:val="18"/>
              </w:rPr>
              <w:t>Balance as of December 31, 2019</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6C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6C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w:t>
            </w:r>
          </w:p>
        </w:tc>
        <w:tc>
          <w:tcPr>
            <w:tcW w:w="0" w:type="auto"/>
            <w:tcBorders>
              <w:top w:val="single" w:sz="8" w:space="0" w:color="000000"/>
              <w:bottom w:val="double" w:sz="6" w:space="0" w:color="000000"/>
            </w:tcBorders>
            <w:shd w:val="clear" w:color="auto" w:fill="E2E2E2"/>
            <w:tcMar>
              <w:top w:w="40" w:type="dxa"/>
              <w:bottom w:w="40" w:type="dxa"/>
              <w:right w:w="40" w:type="dxa"/>
            </w:tcMar>
            <w:vAlign w:val="bottom"/>
          </w:tcPr>
          <w:p w14:paraId="0BC9A6C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6C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6C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6C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w:t>
            </w:r>
          </w:p>
        </w:tc>
        <w:tc>
          <w:tcPr>
            <w:tcW w:w="0" w:type="auto"/>
            <w:tcBorders>
              <w:top w:val="single" w:sz="8" w:space="0" w:color="000000"/>
              <w:bottom w:val="double" w:sz="6" w:space="0" w:color="000000"/>
            </w:tcBorders>
            <w:shd w:val="clear" w:color="auto" w:fill="E2E2E2"/>
            <w:vAlign w:val="bottom"/>
          </w:tcPr>
          <w:p w14:paraId="0BC9A6C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6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6D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6D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363</w:t>
            </w:r>
          </w:p>
        </w:tc>
        <w:tc>
          <w:tcPr>
            <w:tcW w:w="0" w:type="auto"/>
            <w:tcBorders>
              <w:top w:val="single" w:sz="8" w:space="0" w:color="000000"/>
              <w:bottom w:val="double" w:sz="6" w:space="0" w:color="000000"/>
            </w:tcBorders>
            <w:shd w:val="clear" w:color="auto" w:fill="E2E2E2"/>
            <w:vAlign w:val="bottom"/>
          </w:tcPr>
          <w:p w14:paraId="0BC9A6D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6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6D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6D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w:t>
            </w:r>
          </w:p>
        </w:tc>
        <w:tc>
          <w:tcPr>
            <w:tcW w:w="0" w:type="auto"/>
            <w:tcBorders>
              <w:top w:val="single" w:sz="8" w:space="0" w:color="000000"/>
              <w:bottom w:val="double" w:sz="6" w:space="0" w:color="000000"/>
            </w:tcBorders>
            <w:shd w:val="clear" w:color="auto" w:fill="E2E2E2"/>
            <w:vAlign w:val="bottom"/>
          </w:tcPr>
          <w:p w14:paraId="0BC9A6D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6D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6D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6D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384</w:t>
            </w:r>
          </w:p>
        </w:tc>
        <w:tc>
          <w:tcPr>
            <w:tcW w:w="0" w:type="auto"/>
            <w:tcBorders>
              <w:top w:val="single" w:sz="8" w:space="0" w:color="000000"/>
              <w:bottom w:val="double" w:sz="6" w:space="0" w:color="000000"/>
            </w:tcBorders>
            <w:shd w:val="clear" w:color="auto" w:fill="E2E2E2"/>
            <w:vAlign w:val="bottom"/>
          </w:tcPr>
          <w:p w14:paraId="0BC9A6DA" w14:textId="77777777" w:rsidR="009F0928" w:rsidRDefault="009F0928">
            <w:pPr>
              <w:textAlignment w:val="bottom"/>
              <w:rPr>
                <w:rFonts w:ascii="Times New Roman" w:hAnsi="Times New Roman"/>
                <w:sz w:val="20"/>
                <w:szCs w:val="20"/>
              </w:rPr>
            </w:pPr>
          </w:p>
        </w:tc>
      </w:tr>
    </w:tbl>
    <w:p w14:paraId="0BC9A6DC" w14:textId="77777777" w:rsidR="009F0928" w:rsidRDefault="009F0928">
      <w:pPr>
        <w:spacing w:line="288" w:lineRule="auto"/>
        <w:jc w:val="both"/>
        <w:rPr>
          <w:rFonts w:ascii="Times New Roman" w:hAnsi="Times New Roman"/>
          <w:sz w:val="20"/>
          <w:szCs w:val="20"/>
        </w:rPr>
      </w:pPr>
    </w:p>
    <w:p w14:paraId="0BC9A6DD" w14:textId="77777777" w:rsidR="009F0928" w:rsidRDefault="009F0928">
      <w:pPr>
        <w:spacing w:line="288" w:lineRule="auto"/>
        <w:ind w:firstLine="720"/>
        <w:jc w:val="both"/>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788"/>
        <w:gridCol w:w="142"/>
        <w:gridCol w:w="843"/>
        <w:gridCol w:w="100"/>
        <w:gridCol w:w="130"/>
        <w:gridCol w:w="142"/>
        <w:gridCol w:w="869"/>
        <w:gridCol w:w="100"/>
        <w:gridCol w:w="130"/>
        <w:gridCol w:w="142"/>
        <w:gridCol w:w="772"/>
        <w:gridCol w:w="100"/>
        <w:gridCol w:w="130"/>
        <w:gridCol w:w="142"/>
        <w:gridCol w:w="704"/>
        <w:gridCol w:w="100"/>
        <w:gridCol w:w="130"/>
        <w:gridCol w:w="141"/>
        <w:gridCol w:w="601"/>
        <w:gridCol w:w="100"/>
      </w:tblGrid>
      <w:tr w:rsidR="009F0928" w14:paraId="0BC9A6DF" w14:textId="77777777">
        <w:tc>
          <w:tcPr>
            <w:tcW w:w="0" w:type="auto"/>
            <w:gridSpan w:val="20"/>
            <w:shd w:val="clear" w:color="auto" w:fill="auto"/>
            <w:vAlign w:val="center"/>
          </w:tcPr>
          <w:p w14:paraId="0BC9A6DE" w14:textId="77777777" w:rsidR="009F0928" w:rsidRDefault="009F0928">
            <w:pPr>
              <w:rPr>
                <w:rFonts w:ascii="Times New Roman" w:hAnsi="Times New Roman"/>
                <w:sz w:val="20"/>
                <w:szCs w:val="20"/>
              </w:rPr>
            </w:pPr>
          </w:p>
        </w:tc>
      </w:tr>
      <w:tr w:rsidR="009F0928" w14:paraId="0BC9A6F4" w14:textId="77777777">
        <w:tc>
          <w:tcPr>
            <w:tcW w:w="1750" w:type="pct"/>
            <w:shd w:val="clear" w:color="auto" w:fill="auto"/>
            <w:vAlign w:val="center"/>
          </w:tcPr>
          <w:p w14:paraId="0BC9A6E0" w14:textId="77777777" w:rsidR="009F0928" w:rsidRDefault="009F0928">
            <w:pPr>
              <w:rPr>
                <w:rFonts w:ascii="Times New Roman" w:hAnsi="Times New Roman"/>
                <w:sz w:val="20"/>
                <w:szCs w:val="20"/>
              </w:rPr>
            </w:pPr>
          </w:p>
        </w:tc>
        <w:tc>
          <w:tcPr>
            <w:tcW w:w="50" w:type="pct"/>
            <w:shd w:val="clear" w:color="auto" w:fill="auto"/>
            <w:vAlign w:val="center"/>
          </w:tcPr>
          <w:p w14:paraId="0BC9A6E1" w14:textId="77777777" w:rsidR="009F0928" w:rsidRDefault="009F0928">
            <w:pPr>
              <w:rPr>
                <w:rFonts w:ascii="Times New Roman" w:hAnsi="Times New Roman"/>
                <w:sz w:val="20"/>
                <w:szCs w:val="20"/>
              </w:rPr>
            </w:pPr>
          </w:p>
        </w:tc>
        <w:tc>
          <w:tcPr>
            <w:tcW w:w="550" w:type="pct"/>
            <w:shd w:val="clear" w:color="auto" w:fill="auto"/>
            <w:vAlign w:val="center"/>
          </w:tcPr>
          <w:p w14:paraId="0BC9A6E2" w14:textId="77777777" w:rsidR="009F0928" w:rsidRDefault="009F0928">
            <w:pPr>
              <w:rPr>
                <w:rFonts w:ascii="Times New Roman" w:hAnsi="Times New Roman"/>
                <w:sz w:val="20"/>
                <w:szCs w:val="20"/>
              </w:rPr>
            </w:pPr>
          </w:p>
        </w:tc>
        <w:tc>
          <w:tcPr>
            <w:tcW w:w="50" w:type="pct"/>
            <w:shd w:val="clear" w:color="auto" w:fill="auto"/>
            <w:vAlign w:val="center"/>
          </w:tcPr>
          <w:p w14:paraId="0BC9A6E3" w14:textId="77777777" w:rsidR="009F0928" w:rsidRDefault="009F0928">
            <w:pPr>
              <w:rPr>
                <w:rFonts w:ascii="Times New Roman" w:hAnsi="Times New Roman"/>
                <w:sz w:val="20"/>
                <w:szCs w:val="20"/>
              </w:rPr>
            </w:pPr>
          </w:p>
        </w:tc>
        <w:tc>
          <w:tcPr>
            <w:tcW w:w="50" w:type="pct"/>
            <w:shd w:val="clear" w:color="auto" w:fill="auto"/>
            <w:vAlign w:val="center"/>
          </w:tcPr>
          <w:p w14:paraId="0BC9A6E4" w14:textId="77777777" w:rsidR="009F0928" w:rsidRDefault="009F0928">
            <w:pPr>
              <w:rPr>
                <w:rFonts w:ascii="Times New Roman" w:hAnsi="Times New Roman"/>
                <w:sz w:val="20"/>
                <w:szCs w:val="20"/>
              </w:rPr>
            </w:pPr>
          </w:p>
        </w:tc>
        <w:tc>
          <w:tcPr>
            <w:tcW w:w="50" w:type="pct"/>
            <w:shd w:val="clear" w:color="auto" w:fill="auto"/>
            <w:vAlign w:val="center"/>
          </w:tcPr>
          <w:p w14:paraId="0BC9A6E5" w14:textId="77777777" w:rsidR="009F0928" w:rsidRDefault="009F0928">
            <w:pPr>
              <w:rPr>
                <w:rFonts w:ascii="Times New Roman" w:hAnsi="Times New Roman"/>
                <w:sz w:val="20"/>
                <w:szCs w:val="20"/>
              </w:rPr>
            </w:pPr>
          </w:p>
        </w:tc>
        <w:tc>
          <w:tcPr>
            <w:tcW w:w="600" w:type="pct"/>
            <w:shd w:val="clear" w:color="auto" w:fill="auto"/>
            <w:vAlign w:val="center"/>
          </w:tcPr>
          <w:p w14:paraId="0BC9A6E6" w14:textId="77777777" w:rsidR="009F0928" w:rsidRDefault="009F0928">
            <w:pPr>
              <w:rPr>
                <w:rFonts w:ascii="Times New Roman" w:hAnsi="Times New Roman"/>
                <w:sz w:val="20"/>
                <w:szCs w:val="20"/>
              </w:rPr>
            </w:pPr>
          </w:p>
        </w:tc>
        <w:tc>
          <w:tcPr>
            <w:tcW w:w="50" w:type="pct"/>
            <w:shd w:val="clear" w:color="auto" w:fill="auto"/>
            <w:vAlign w:val="center"/>
          </w:tcPr>
          <w:p w14:paraId="0BC9A6E7" w14:textId="77777777" w:rsidR="009F0928" w:rsidRDefault="009F0928">
            <w:pPr>
              <w:rPr>
                <w:rFonts w:ascii="Times New Roman" w:hAnsi="Times New Roman"/>
                <w:sz w:val="20"/>
                <w:szCs w:val="20"/>
              </w:rPr>
            </w:pPr>
          </w:p>
        </w:tc>
        <w:tc>
          <w:tcPr>
            <w:tcW w:w="50" w:type="pct"/>
            <w:shd w:val="clear" w:color="auto" w:fill="auto"/>
            <w:vAlign w:val="center"/>
          </w:tcPr>
          <w:p w14:paraId="0BC9A6E8" w14:textId="77777777" w:rsidR="009F0928" w:rsidRDefault="009F0928">
            <w:pPr>
              <w:rPr>
                <w:rFonts w:ascii="Times New Roman" w:hAnsi="Times New Roman"/>
                <w:sz w:val="20"/>
                <w:szCs w:val="20"/>
              </w:rPr>
            </w:pPr>
          </w:p>
        </w:tc>
        <w:tc>
          <w:tcPr>
            <w:tcW w:w="50" w:type="pct"/>
            <w:shd w:val="clear" w:color="auto" w:fill="auto"/>
            <w:vAlign w:val="center"/>
          </w:tcPr>
          <w:p w14:paraId="0BC9A6E9" w14:textId="77777777" w:rsidR="009F0928" w:rsidRDefault="009F0928">
            <w:pPr>
              <w:rPr>
                <w:rFonts w:ascii="Times New Roman" w:hAnsi="Times New Roman"/>
                <w:sz w:val="20"/>
                <w:szCs w:val="20"/>
              </w:rPr>
            </w:pPr>
          </w:p>
        </w:tc>
        <w:tc>
          <w:tcPr>
            <w:tcW w:w="450" w:type="pct"/>
            <w:shd w:val="clear" w:color="auto" w:fill="auto"/>
            <w:vAlign w:val="center"/>
          </w:tcPr>
          <w:p w14:paraId="0BC9A6EA" w14:textId="77777777" w:rsidR="009F0928" w:rsidRDefault="009F0928">
            <w:pPr>
              <w:rPr>
                <w:rFonts w:ascii="Times New Roman" w:hAnsi="Times New Roman"/>
                <w:sz w:val="20"/>
                <w:szCs w:val="20"/>
              </w:rPr>
            </w:pPr>
          </w:p>
        </w:tc>
        <w:tc>
          <w:tcPr>
            <w:tcW w:w="50" w:type="pct"/>
            <w:shd w:val="clear" w:color="auto" w:fill="auto"/>
            <w:vAlign w:val="center"/>
          </w:tcPr>
          <w:p w14:paraId="0BC9A6EB" w14:textId="77777777" w:rsidR="009F0928" w:rsidRDefault="009F0928">
            <w:pPr>
              <w:rPr>
                <w:rFonts w:ascii="Times New Roman" w:hAnsi="Times New Roman"/>
                <w:sz w:val="20"/>
                <w:szCs w:val="20"/>
              </w:rPr>
            </w:pPr>
          </w:p>
        </w:tc>
        <w:tc>
          <w:tcPr>
            <w:tcW w:w="50" w:type="pct"/>
            <w:shd w:val="clear" w:color="auto" w:fill="auto"/>
            <w:vAlign w:val="center"/>
          </w:tcPr>
          <w:p w14:paraId="0BC9A6EC" w14:textId="77777777" w:rsidR="009F0928" w:rsidRDefault="009F0928">
            <w:pPr>
              <w:rPr>
                <w:rFonts w:ascii="Times New Roman" w:hAnsi="Times New Roman"/>
                <w:sz w:val="20"/>
                <w:szCs w:val="20"/>
              </w:rPr>
            </w:pPr>
          </w:p>
        </w:tc>
        <w:tc>
          <w:tcPr>
            <w:tcW w:w="50" w:type="pct"/>
            <w:shd w:val="clear" w:color="auto" w:fill="auto"/>
            <w:vAlign w:val="center"/>
          </w:tcPr>
          <w:p w14:paraId="0BC9A6ED" w14:textId="77777777" w:rsidR="009F0928" w:rsidRDefault="009F0928">
            <w:pPr>
              <w:rPr>
                <w:rFonts w:ascii="Times New Roman" w:hAnsi="Times New Roman"/>
                <w:sz w:val="20"/>
                <w:szCs w:val="20"/>
              </w:rPr>
            </w:pPr>
          </w:p>
        </w:tc>
        <w:tc>
          <w:tcPr>
            <w:tcW w:w="500" w:type="pct"/>
            <w:shd w:val="clear" w:color="auto" w:fill="auto"/>
            <w:vAlign w:val="center"/>
          </w:tcPr>
          <w:p w14:paraId="0BC9A6EE" w14:textId="77777777" w:rsidR="009F0928" w:rsidRDefault="009F0928">
            <w:pPr>
              <w:rPr>
                <w:rFonts w:ascii="Times New Roman" w:hAnsi="Times New Roman"/>
                <w:sz w:val="20"/>
                <w:szCs w:val="20"/>
              </w:rPr>
            </w:pPr>
          </w:p>
        </w:tc>
        <w:tc>
          <w:tcPr>
            <w:tcW w:w="50" w:type="pct"/>
            <w:shd w:val="clear" w:color="auto" w:fill="auto"/>
            <w:vAlign w:val="center"/>
          </w:tcPr>
          <w:p w14:paraId="0BC9A6EF" w14:textId="77777777" w:rsidR="009F0928" w:rsidRDefault="009F0928">
            <w:pPr>
              <w:rPr>
                <w:rFonts w:ascii="Times New Roman" w:hAnsi="Times New Roman"/>
                <w:sz w:val="20"/>
                <w:szCs w:val="20"/>
              </w:rPr>
            </w:pPr>
          </w:p>
        </w:tc>
        <w:tc>
          <w:tcPr>
            <w:tcW w:w="50" w:type="pct"/>
            <w:shd w:val="clear" w:color="auto" w:fill="auto"/>
            <w:vAlign w:val="center"/>
          </w:tcPr>
          <w:p w14:paraId="0BC9A6F0" w14:textId="77777777" w:rsidR="009F0928" w:rsidRDefault="009F0928">
            <w:pPr>
              <w:rPr>
                <w:rFonts w:ascii="Times New Roman" w:hAnsi="Times New Roman"/>
                <w:sz w:val="20"/>
                <w:szCs w:val="20"/>
              </w:rPr>
            </w:pPr>
          </w:p>
        </w:tc>
        <w:tc>
          <w:tcPr>
            <w:tcW w:w="50" w:type="pct"/>
            <w:shd w:val="clear" w:color="auto" w:fill="auto"/>
            <w:vAlign w:val="center"/>
          </w:tcPr>
          <w:p w14:paraId="0BC9A6F1" w14:textId="77777777" w:rsidR="009F0928" w:rsidRDefault="009F0928">
            <w:pPr>
              <w:rPr>
                <w:rFonts w:ascii="Times New Roman" w:hAnsi="Times New Roman"/>
                <w:sz w:val="20"/>
                <w:szCs w:val="20"/>
              </w:rPr>
            </w:pPr>
          </w:p>
        </w:tc>
        <w:tc>
          <w:tcPr>
            <w:tcW w:w="450" w:type="pct"/>
            <w:shd w:val="clear" w:color="auto" w:fill="auto"/>
            <w:vAlign w:val="center"/>
          </w:tcPr>
          <w:p w14:paraId="0BC9A6F2" w14:textId="77777777" w:rsidR="009F0928" w:rsidRDefault="009F0928">
            <w:pPr>
              <w:rPr>
                <w:rFonts w:ascii="Times New Roman" w:hAnsi="Times New Roman"/>
                <w:sz w:val="20"/>
                <w:szCs w:val="20"/>
              </w:rPr>
            </w:pPr>
          </w:p>
        </w:tc>
        <w:tc>
          <w:tcPr>
            <w:tcW w:w="50" w:type="pct"/>
            <w:shd w:val="clear" w:color="auto" w:fill="auto"/>
            <w:vAlign w:val="center"/>
          </w:tcPr>
          <w:p w14:paraId="0BC9A6F3" w14:textId="77777777" w:rsidR="009F0928" w:rsidRDefault="009F0928">
            <w:pPr>
              <w:rPr>
                <w:rFonts w:ascii="Times New Roman" w:hAnsi="Times New Roman"/>
                <w:sz w:val="20"/>
                <w:szCs w:val="20"/>
              </w:rPr>
            </w:pPr>
          </w:p>
        </w:tc>
      </w:tr>
      <w:tr w:rsidR="009F0928" w14:paraId="0BC9A6FF" w14:textId="77777777">
        <w:tc>
          <w:tcPr>
            <w:tcW w:w="0" w:type="auto"/>
            <w:shd w:val="clear" w:color="auto" w:fill="auto"/>
            <w:tcMar>
              <w:top w:w="40" w:type="dxa"/>
              <w:left w:w="40" w:type="dxa"/>
              <w:bottom w:w="40" w:type="dxa"/>
              <w:right w:w="40" w:type="dxa"/>
            </w:tcMar>
            <w:vAlign w:val="bottom"/>
          </w:tcPr>
          <w:p w14:paraId="0BC9A6F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6F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Unrealized Gains (Losses) on Derivative Instruments</w:t>
            </w:r>
          </w:p>
        </w:tc>
        <w:tc>
          <w:tcPr>
            <w:tcW w:w="0" w:type="auto"/>
            <w:shd w:val="clear" w:color="auto" w:fill="auto"/>
            <w:tcMar>
              <w:top w:w="40" w:type="dxa"/>
              <w:left w:w="40" w:type="dxa"/>
              <w:bottom w:w="40" w:type="dxa"/>
              <w:right w:w="40" w:type="dxa"/>
            </w:tcMar>
            <w:vAlign w:val="bottom"/>
          </w:tcPr>
          <w:p w14:paraId="0BC9A6F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6F8"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Unrealized</w:t>
            </w:r>
            <w:r>
              <w:rPr>
                <w:rFonts w:ascii="Arial" w:eastAsia="宋体" w:hAnsi="Arial" w:cs="Arial"/>
                <w:b/>
                <w:bCs/>
                <w:sz w:val="16"/>
                <w:szCs w:val="16"/>
              </w:rPr>
              <w:br/>
              <w:t xml:space="preserve">Gains (Losses) </w:t>
            </w:r>
            <w:r>
              <w:rPr>
                <w:rFonts w:ascii="Arial" w:eastAsia="宋体" w:hAnsi="Arial" w:cs="Arial"/>
                <w:b/>
                <w:bCs/>
                <w:sz w:val="16"/>
                <w:szCs w:val="16"/>
              </w:rPr>
              <w:br/>
              <w:t>on Investments</w:t>
            </w:r>
          </w:p>
        </w:tc>
        <w:tc>
          <w:tcPr>
            <w:tcW w:w="0" w:type="auto"/>
            <w:shd w:val="clear" w:color="auto" w:fill="auto"/>
            <w:tcMar>
              <w:top w:w="40" w:type="dxa"/>
              <w:left w:w="40" w:type="dxa"/>
              <w:bottom w:w="40" w:type="dxa"/>
              <w:right w:w="40" w:type="dxa"/>
            </w:tcMar>
            <w:vAlign w:val="bottom"/>
          </w:tcPr>
          <w:p w14:paraId="0BC9A6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6FA"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Foreign</w:t>
            </w:r>
            <w:r>
              <w:rPr>
                <w:rFonts w:ascii="Arial" w:eastAsia="宋体" w:hAnsi="Arial" w:cs="Arial"/>
                <w:b/>
                <w:bCs/>
                <w:sz w:val="16"/>
                <w:szCs w:val="16"/>
              </w:rPr>
              <w:br/>
              <w:t>Currency</w:t>
            </w:r>
            <w:r>
              <w:rPr>
                <w:rFonts w:ascii="Arial" w:eastAsia="宋体" w:hAnsi="Arial" w:cs="Arial"/>
                <w:b/>
                <w:bCs/>
                <w:sz w:val="16"/>
                <w:szCs w:val="16"/>
              </w:rPr>
              <w:br/>
              <w:t>Translation</w:t>
            </w:r>
          </w:p>
        </w:tc>
        <w:tc>
          <w:tcPr>
            <w:tcW w:w="0" w:type="auto"/>
            <w:shd w:val="clear" w:color="auto" w:fill="auto"/>
            <w:tcMar>
              <w:top w:w="40" w:type="dxa"/>
              <w:left w:w="40" w:type="dxa"/>
              <w:bottom w:w="40" w:type="dxa"/>
              <w:right w:w="40" w:type="dxa"/>
            </w:tcMar>
            <w:vAlign w:val="bottom"/>
          </w:tcPr>
          <w:p w14:paraId="0BC9A6F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6F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Estimated Tax </w:t>
            </w:r>
            <w:r>
              <w:rPr>
                <w:rFonts w:ascii="Arial" w:eastAsia="宋体" w:hAnsi="Arial" w:cs="Arial"/>
                <w:b/>
                <w:bCs/>
                <w:sz w:val="16"/>
                <w:szCs w:val="16"/>
              </w:rPr>
              <w:t>(Expense) Benefit</w:t>
            </w:r>
          </w:p>
        </w:tc>
        <w:tc>
          <w:tcPr>
            <w:tcW w:w="0" w:type="auto"/>
            <w:shd w:val="clear" w:color="auto" w:fill="auto"/>
            <w:tcMar>
              <w:top w:w="40" w:type="dxa"/>
              <w:left w:w="40" w:type="dxa"/>
              <w:bottom w:w="40" w:type="dxa"/>
              <w:right w:w="40" w:type="dxa"/>
            </w:tcMar>
            <w:vAlign w:val="bottom"/>
          </w:tcPr>
          <w:p w14:paraId="0BC9A6F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6FE"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Total</w:t>
            </w:r>
          </w:p>
        </w:tc>
      </w:tr>
      <w:tr w:rsidR="009F0928" w14:paraId="0BC9A714" w14:textId="77777777">
        <w:tc>
          <w:tcPr>
            <w:tcW w:w="0" w:type="auto"/>
            <w:shd w:val="clear" w:color="auto" w:fill="E2E2E2"/>
            <w:tcMar>
              <w:top w:w="40" w:type="dxa"/>
              <w:left w:w="40" w:type="dxa"/>
              <w:bottom w:w="40" w:type="dxa"/>
              <w:right w:w="40" w:type="dxa"/>
            </w:tcMar>
            <w:vAlign w:val="bottom"/>
          </w:tcPr>
          <w:p w14:paraId="0BC9A700" w14:textId="77777777" w:rsidR="009F0928" w:rsidRDefault="002112BD">
            <w:pPr>
              <w:textAlignment w:val="bottom"/>
              <w:rPr>
                <w:rFonts w:ascii="Times New Roman" w:hAnsi="Times New Roman"/>
                <w:sz w:val="18"/>
                <w:szCs w:val="18"/>
              </w:rPr>
            </w:pPr>
            <w:r>
              <w:rPr>
                <w:rFonts w:ascii="Arial" w:eastAsia="宋体" w:hAnsi="Arial" w:cs="Arial"/>
                <w:sz w:val="18"/>
                <w:szCs w:val="18"/>
              </w:rPr>
              <w:t>Balance as of December 31, 2017</w:t>
            </w:r>
          </w:p>
        </w:tc>
        <w:tc>
          <w:tcPr>
            <w:tcW w:w="0" w:type="auto"/>
            <w:shd w:val="clear" w:color="auto" w:fill="E2E2E2"/>
            <w:tcMar>
              <w:top w:w="40" w:type="dxa"/>
              <w:left w:w="40" w:type="dxa"/>
              <w:bottom w:w="40" w:type="dxa"/>
            </w:tcMar>
            <w:vAlign w:val="bottom"/>
          </w:tcPr>
          <w:p w14:paraId="0BC9A70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70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(57</w:t>
            </w:r>
          </w:p>
        </w:tc>
        <w:tc>
          <w:tcPr>
            <w:tcW w:w="0" w:type="auto"/>
            <w:shd w:val="clear" w:color="auto" w:fill="E2E2E2"/>
            <w:tcMar>
              <w:top w:w="40" w:type="dxa"/>
              <w:bottom w:w="40" w:type="dxa"/>
              <w:right w:w="40" w:type="dxa"/>
            </w:tcMar>
            <w:vAlign w:val="bottom"/>
          </w:tcPr>
          <w:p w14:paraId="0BC9A70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7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70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70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w:t>
            </w:r>
          </w:p>
        </w:tc>
        <w:tc>
          <w:tcPr>
            <w:tcW w:w="0" w:type="auto"/>
            <w:shd w:val="clear" w:color="auto" w:fill="E2E2E2"/>
            <w:tcMar>
              <w:top w:w="40" w:type="dxa"/>
              <w:bottom w:w="40" w:type="dxa"/>
              <w:right w:w="40" w:type="dxa"/>
            </w:tcMar>
            <w:vAlign w:val="bottom"/>
          </w:tcPr>
          <w:p w14:paraId="0BC9A70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70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70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70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748</w:t>
            </w:r>
          </w:p>
        </w:tc>
        <w:tc>
          <w:tcPr>
            <w:tcW w:w="0" w:type="auto"/>
            <w:shd w:val="clear" w:color="auto" w:fill="E2E2E2"/>
            <w:vAlign w:val="bottom"/>
          </w:tcPr>
          <w:p w14:paraId="0BC9A70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70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70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70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41</w:t>
            </w:r>
          </w:p>
        </w:tc>
        <w:tc>
          <w:tcPr>
            <w:tcW w:w="0" w:type="auto"/>
            <w:shd w:val="clear" w:color="auto" w:fill="E2E2E2"/>
            <w:vAlign w:val="bottom"/>
          </w:tcPr>
          <w:p w14:paraId="0BC9A70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7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71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71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717</w:t>
            </w:r>
          </w:p>
        </w:tc>
        <w:tc>
          <w:tcPr>
            <w:tcW w:w="0" w:type="auto"/>
            <w:shd w:val="clear" w:color="auto" w:fill="E2E2E2"/>
            <w:vAlign w:val="bottom"/>
          </w:tcPr>
          <w:p w14:paraId="0BC9A713" w14:textId="77777777" w:rsidR="009F0928" w:rsidRDefault="009F0928">
            <w:pPr>
              <w:textAlignment w:val="bottom"/>
              <w:rPr>
                <w:rFonts w:ascii="Times New Roman" w:hAnsi="Times New Roman"/>
                <w:sz w:val="20"/>
                <w:szCs w:val="20"/>
              </w:rPr>
            </w:pPr>
          </w:p>
        </w:tc>
      </w:tr>
      <w:tr w:rsidR="009F0928" w14:paraId="0BC9A724" w14:textId="77777777">
        <w:tc>
          <w:tcPr>
            <w:tcW w:w="0" w:type="auto"/>
            <w:shd w:val="clear" w:color="auto" w:fill="auto"/>
            <w:tcMar>
              <w:top w:w="40" w:type="dxa"/>
              <w:left w:w="240" w:type="dxa"/>
              <w:bottom w:w="40" w:type="dxa"/>
              <w:right w:w="40" w:type="dxa"/>
            </w:tcMar>
            <w:vAlign w:val="bottom"/>
          </w:tcPr>
          <w:p w14:paraId="0BC9A715" w14:textId="77777777" w:rsidR="009F0928" w:rsidRDefault="002112BD">
            <w:pPr>
              <w:textAlignment w:val="bottom"/>
              <w:rPr>
                <w:rFonts w:ascii="Times New Roman" w:hAnsi="Times New Roman"/>
                <w:sz w:val="18"/>
                <w:szCs w:val="18"/>
              </w:rPr>
            </w:pPr>
            <w:r>
              <w:rPr>
                <w:rFonts w:ascii="Arial" w:eastAsia="宋体" w:hAnsi="Arial" w:cs="Arial"/>
                <w:sz w:val="18"/>
                <w:szCs w:val="18"/>
              </w:rPr>
              <w:t>Other comprehensive income (loss) before reclassifications</w:t>
            </w:r>
          </w:p>
        </w:tc>
        <w:tc>
          <w:tcPr>
            <w:tcW w:w="0" w:type="auto"/>
            <w:gridSpan w:val="2"/>
            <w:shd w:val="clear" w:color="auto" w:fill="auto"/>
            <w:tcMar>
              <w:top w:w="40" w:type="dxa"/>
              <w:left w:w="40" w:type="dxa"/>
              <w:bottom w:w="40" w:type="dxa"/>
            </w:tcMar>
            <w:vAlign w:val="bottom"/>
          </w:tcPr>
          <w:p w14:paraId="0BC9A71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117</w:t>
            </w:r>
          </w:p>
        </w:tc>
        <w:tc>
          <w:tcPr>
            <w:tcW w:w="0" w:type="auto"/>
            <w:shd w:val="clear" w:color="auto" w:fill="auto"/>
            <w:vAlign w:val="bottom"/>
          </w:tcPr>
          <w:p w14:paraId="0BC9A71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7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71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(42</w:t>
            </w:r>
          </w:p>
        </w:tc>
        <w:tc>
          <w:tcPr>
            <w:tcW w:w="0" w:type="auto"/>
            <w:shd w:val="clear" w:color="auto" w:fill="auto"/>
            <w:tcMar>
              <w:top w:w="40" w:type="dxa"/>
              <w:bottom w:w="40" w:type="dxa"/>
              <w:right w:w="40" w:type="dxa"/>
            </w:tcMar>
            <w:vAlign w:val="bottom"/>
          </w:tcPr>
          <w:p w14:paraId="0BC9A71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71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71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(286</w:t>
            </w:r>
          </w:p>
        </w:tc>
        <w:tc>
          <w:tcPr>
            <w:tcW w:w="0" w:type="auto"/>
            <w:shd w:val="clear" w:color="auto" w:fill="auto"/>
            <w:tcMar>
              <w:top w:w="40" w:type="dxa"/>
              <w:bottom w:w="40" w:type="dxa"/>
              <w:right w:w="40" w:type="dxa"/>
            </w:tcMar>
            <w:vAlign w:val="bottom"/>
          </w:tcPr>
          <w:p w14:paraId="0BC9A71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7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71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(15</w:t>
            </w:r>
          </w:p>
        </w:tc>
        <w:tc>
          <w:tcPr>
            <w:tcW w:w="0" w:type="auto"/>
            <w:shd w:val="clear" w:color="auto" w:fill="auto"/>
            <w:tcMar>
              <w:top w:w="40" w:type="dxa"/>
              <w:bottom w:w="40" w:type="dxa"/>
              <w:right w:w="40" w:type="dxa"/>
            </w:tcMar>
            <w:vAlign w:val="bottom"/>
          </w:tcPr>
          <w:p w14:paraId="0BC9A72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72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72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(226</w:t>
            </w:r>
          </w:p>
        </w:tc>
        <w:tc>
          <w:tcPr>
            <w:tcW w:w="0" w:type="auto"/>
            <w:shd w:val="clear" w:color="auto" w:fill="auto"/>
            <w:tcMar>
              <w:top w:w="40" w:type="dxa"/>
              <w:bottom w:w="40" w:type="dxa"/>
              <w:right w:w="40" w:type="dxa"/>
            </w:tcMar>
            <w:vAlign w:val="bottom"/>
          </w:tcPr>
          <w:p w14:paraId="0BC9A72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734" w14:textId="77777777">
        <w:tc>
          <w:tcPr>
            <w:tcW w:w="0" w:type="auto"/>
            <w:shd w:val="clear" w:color="auto" w:fill="E2E2E2"/>
            <w:tcMar>
              <w:top w:w="40" w:type="dxa"/>
              <w:left w:w="240" w:type="dxa"/>
              <w:bottom w:w="40" w:type="dxa"/>
              <w:right w:w="40" w:type="dxa"/>
            </w:tcMar>
            <w:vAlign w:val="bottom"/>
          </w:tcPr>
          <w:p w14:paraId="0BC9A725" w14:textId="77777777" w:rsidR="009F0928" w:rsidRDefault="002112BD">
            <w:pPr>
              <w:textAlignment w:val="bottom"/>
              <w:rPr>
                <w:rFonts w:ascii="Times New Roman" w:hAnsi="Times New Roman"/>
                <w:sz w:val="18"/>
                <w:szCs w:val="18"/>
              </w:rPr>
            </w:pPr>
            <w:r>
              <w:rPr>
                <w:rFonts w:ascii="Arial" w:eastAsia="宋体" w:hAnsi="Arial" w:cs="Arial"/>
                <w:sz w:val="18"/>
                <w:szCs w:val="18"/>
              </w:rPr>
              <w:t>Less: Amount of gain (loss) reclassified from AOCI</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72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w:t>
            </w:r>
          </w:p>
        </w:tc>
        <w:tc>
          <w:tcPr>
            <w:tcW w:w="0" w:type="auto"/>
            <w:tcBorders>
              <w:bottom w:val="single" w:sz="8" w:space="0" w:color="000000"/>
            </w:tcBorders>
            <w:shd w:val="clear" w:color="auto" w:fill="E2E2E2"/>
            <w:tcMar>
              <w:top w:w="40" w:type="dxa"/>
              <w:bottom w:w="40" w:type="dxa"/>
              <w:right w:w="40" w:type="dxa"/>
            </w:tcMar>
            <w:vAlign w:val="bottom"/>
          </w:tcPr>
          <w:p w14:paraId="0BC9A72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72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72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w:t>
            </w:r>
          </w:p>
        </w:tc>
        <w:tc>
          <w:tcPr>
            <w:tcW w:w="0" w:type="auto"/>
            <w:tcBorders>
              <w:bottom w:val="single" w:sz="8" w:space="0" w:color="000000"/>
            </w:tcBorders>
            <w:shd w:val="clear" w:color="auto" w:fill="E2E2E2"/>
            <w:tcMar>
              <w:top w:w="40" w:type="dxa"/>
              <w:bottom w:w="40" w:type="dxa"/>
              <w:right w:w="40" w:type="dxa"/>
            </w:tcMar>
            <w:vAlign w:val="bottom"/>
          </w:tcPr>
          <w:p w14:paraId="0BC9A72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72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72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E2E2E2"/>
            <w:vAlign w:val="bottom"/>
          </w:tcPr>
          <w:p w14:paraId="0BC9A72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72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72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w:t>
            </w:r>
          </w:p>
        </w:tc>
        <w:tc>
          <w:tcPr>
            <w:tcW w:w="0" w:type="auto"/>
            <w:tcBorders>
              <w:bottom w:val="single" w:sz="8" w:space="0" w:color="000000"/>
            </w:tcBorders>
            <w:shd w:val="clear" w:color="auto" w:fill="E2E2E2"/>
            <w:vAlign w:val="bottom"/>
          </w:tcPr>
          <w:p w14:paraId="0BC9A73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73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73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w:t>
            </w:r>
          </w:p>
        </w:tc>
        <w:tc>
          <w:tcPr>
            <w:tcW w:w="0" w:type="auto"/>
            <w:tcBorders>
              <w:bottom w:val="single" w:sz="8" w:space="0" w:color="000000"/>
            </w:tcBorders>
            <w:shd w:val="clear" w:color="auto" w:fill="E2E2E2"/>
            <w:tcMar>
              <w:top w:w="40" w:type="dxa"/>
              <w:bottom w:w="40" w:type="dxa"/>
              <w:right w:w="40" w:type="dxa"/>
            </w:tcMar>
            <w:vAlign w:val="bottom"/>
          </w:tcPr>
          <w:p w14:paraId="0BC9A73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744" w14:textId="77777777">
        <w:tc>
          <w:tcPr>
            <w:tcW w:w="0" w:type="auto"/>
            <w:shd w:val="clear" w:color="auto" w:fill="auto"/>
            <w:tcMar>
              <w:top w:w="40" w:type="dxa"/>
              <w:left w:w="40" w:type="dxa"/>
              <w:bottom w:w="40" w:type="dxa"/>
              <w:right w:w="40" w:type="dxa"/>
            </w:tcMar>
            <w:vAlign w:val="bottom"/>
          </w:tcPr>
          <w:p w14:paraId="0BC9A735" w14:textId="77777777" w:rsidR="009F0928" w:rsidRDefault="002112BD">
            <w:pPr>
              <w:textAlignment w:val="bottom"/>
              <w:rPr>
                <w:rFonts w:ascii="Times New Roman" w:hAnsi="Times New Roman"/>
                <w:sz w:val="18"/>
                <w:szCs w:val="18"/>
              </w:rPr>
            </w:pPr>
            <w:r>
              <w:rPr>
                <w:rFonts w:ascii="Arial" w:eastAsia="宋体" w:hAnsi="Arial" w:cs="Arial"/>
                <w:sz w:val="18"/>
                <w:szCs w:val="18"/>
              </w:rPr>
              <w:t>Net c</w:t>
            </w:r>
            <w:r>
              <w:rPr>
                <w:rFonts w:ascii="Arial" w:eastAsia="宋体" w:hAnsi="Arial" w:cs="Arial"/>
                <w:sz w:val="18"/>
                <w:szCs w:val="18"/>
              </w:rPr>
              <w:t>urrent period other comprehensive income (loss)</w:t>
            </w:r>
          </w:p>
        </w:tc>
        <w:tc>
          <w:tcPr>
            <w:tcW w:w="0" w:type="auto"/>
            <w:gridSpan w:val="2"/>
            <w:shd w:val="clear" w:color="auto" w:fill="auto"/>
            <w:tcMar>
              <w:top w:w="40" w:type="dxa"/>
              <w:left w:w="40" w:type="dxa"/>
              <w:bottom w:w="40" w:type="dxa"/>
            </w:tcMar>
            <w:vAlign w:val="bottom"/>
          </w:tcPr>
          <w:p w14:paraId="0BC9A73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125</w:t>
            </w:r>
          </w:p>
        </w:tc>
        <w:tc>
          <w:tcPr>
            <w:tcW w:w="0" w:type="auto"/>
            <w:shd w:val="clear" w:color="auto" w:fill="auto"/>
            <w:vAlign w:val="bottom"/>
          </w:tcPr>
          <w:p w14:paraId="0BC9A73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73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73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(41</w:t>
            </w:r>
          </w:p>
        </w:tc>
        <w:tc>
          <w:tcPr>
            <w:tcW w:w="0" w:type="auto"/>
            <w:shd w:val="clear" w:color="auto" w:fill="auto"/>
            <w:tcMar>
              <w:top w:w="40" w:type="dxa"/>
              <w:bottom w:w="40" w:type="dxa"/>
              <w:right w:w="40" w:type="dxa"/>
            </w:tcMar>
            <w:vAlign w:val="bottom"/>
          </w:tcPr>
          <w:p w14:paraId="0BC9A73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73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73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(286</w:t>
            </w:r>
          </w:p>
        </w:tc>
        <w:tc>
          <w:tcPr>
            <w:tcW w:w="0" w:type="auto"/>
            <w:shd w:val="clear" w:color="auto" w:fill="auto"/>
            <w:tcMar>
              <w:top w:w="40" w:type="dxa"/>
              <w:bottom w:w="40" w:type="dxa"/>
              <w:right w:w="40" w:type="dxa"/>
            </w:tcMar>
            <w:vAlign w:val="bottom"/>
          </w:tcPr>
          <w:p w14:paraId="0BC9A73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73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73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w:t>
            </w:r>
          </w:p>
        </w:tc>
        <w:tc>
          <w:tcPr>
            <w:tcW w:w="0" w:type="auto"/>
            <w:shd w:val="clear" w:color="auto" w:fill="auto"/>
            <w:tcMar>
              <w:top w:w="40" w:type="dxa"/>
              <w:bottom w:w="40" w:type="dxa"/>
              <w:right w:w="40" w:type="dxa"/>
            </w:tcMar>
            <w:vAlign w:val="bottom"/>
          </w:tcPr>
          <w:p w14:paraId="0BC9A74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74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74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(219</w:t>
            </w:r>
          </w:p>
        </w:tc>
        <w:tc>
          <w:tcPr>
            <w:tcW w:w="0" w:type="auto"/>
            <w:shd w:val="clear" w:color="auto" w:fill="auto"/>
            <w:tcMar>
              <w:top w:w="40" w:type="dxa"/>
              <w:bottom w:w="40" w:type="dxa"/>
              <w:right w:w="40" w:type="dxa"/>
            </w:tcMar>
            <w:vAlign w:val="bottom"/>
          </w:tcPr>
          <w:p w14:paraId="0BC9A74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759" w14:textId="77777777">
        <w:tc>
          <w:tcPr>
            <w:tcW w:w="0" w:type="auto"/>
            <w:shd w:val="clear" w:color="auto" w:fill="E2E2E2"/>
            <w:tcMar>
              <w:top w:w="40" w:type="dxa"/>
              <w:left w:w="40" w:type="dxa"/>
              <w:bottom w:w="40" w:type="dxa"/>
              <w:right w:w="40" w:type="dxa"/>
            </w:tcMar>
            <w:vAlign w:val="bottom"/>
          </w:tcPr>
          <w:p w14:paraId="0BC9A745" w14:textId="77777777" w:rsidR="009F0928" w:rsidRDefault="002112BD">
            <w:pPr>
              <w:textAlignment w:val="bottom"/>
              <w:rPr>
                <w:rFonts w:ascii="Times New Roman" w:hAnsi="Times New Roman"/>
                <w:sz w:val="18"/>
                <w:szCs w:val="18"/>
              </w:rPr>
            </w:pPr>
            <w:r>
              <w:rPr>
                <w:rFonts w:ascii="Arial" w:eastAsia="宋体" w:hAnsi="Arial" w:cs="Arial"/>
                <w:sz w:val="18"/>
                <w:szCs w:val="18"/>
              </w:rPr>
              <w:t>Balance as of December 31, 2018</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74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74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68</w:t>
            </w:r>
          </w:p>
        </w:tc>
        <w:tc>
          <w:tcPr>
            <w:tcW w:w="0" w:type="auto"/>
            <w:tcBorders>
              <w:top w:val="single" w:sz="8" w:space="0" w:color="000000"/>
              <w:bottom w:val="double" w:sz="6" w:space="0" w:color="000000"/>
            </w:tcBorders>
            <w:shd w:val="clear" w:color="auto" w:fill="E2E2E2"/>
            <w:vAlign w:val="bottom"/>
          </w:tcPr>
          <w:p w14:paraId="0BC9A74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74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74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74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(56</w:t>
            </w:r>
          </w:p>
        </w:tc>
        <w:tc>
          <w:tcPr>
            <w:tcW w:w="0" w:type="auto"/>
            <w:tcBorders>
              <w:top w:val="single" w:sz="8" w:space="0" w:color="000000"/>
              <w:bottom w:val="double" w:sz="6" w:space="0" w:color="000000"/>
            </w:tcBorders>
            <w:shd w:val="clear" w:color="auto" w:fill="E2E2E2"/>
            <w:tcMar>
              <w:top w:w="40" w:type="dxa"/>
              <w:bottom w:w="40" w:type="dxa"/>
              <w:right w:w="40" w:type="dxa"/>
            </w:tcMar>
            <w:vAlign w:val="bottom"/>
          </w:tcPr>
          <w:p w14:paraId="0BC9A74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74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74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74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462</w:t>
            </w:r>
          </w:p>
        </w:tc>
        <w:tc>
          <w:tcPr>
            <w:tcW w:w="0" w:type="auto"/>
            <w:tcBorders>
              <w:top w:val="single" w:sz="8" w:space="0" w:color="000000"/>
              <w:bottom w:val="double" w:sz="6" w:space="0" w:color="000000"/>
            </w:tcBorders>
            <w:shd w:val="clear" w:color="auto" w:fill="E2E2E2"/>
            <w:vAlign w:val="bottom"/>
          </w:tcPr>
          <w:p w14:paraId="0BC9A75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75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75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75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24</w:t>
            </w:r>
          </w:p>
        </w:tc>
        <w:tc>
          <w:tcPr>
            <w:tcW w:w="0" w:type="auto"/>
            <w:tcBorders>
              <w:top w:val="single" w:sz="8" w:space="0" w:color="000000"/>
              <w:bottom w:val="double" w:sz="6" w:space="0" w:color="000000"/>
            </w:tcBorders>
            <w:shd w:val="clear" w:color="auto" w:fill="E2E2E2"/>
            <w:vAlign w:val="bottom"/>
          </w:tcPr>
          <w:p w14:paraId="0BC9A75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75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75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75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498</w:t>
            </w:r>
          </w:p>
        </w:tc>
        <w:tc>
          <w:tcPr>
            <w:tcW w:w="0" w:type="auto"/>
            <w:tcBorders>
              <w:top w:val="single" w:sz="8" w:space="0" w:color="000000"/>
              <w:bottom w:val="double" w:sz="6" w:space="0" w:color="000000"/>
            </w:tcBorders>
            <w:shd w:val="clear" w:color="auto" w:fill="E2E2E2"/>
            <w:vAlign w:val="bottom"/>
          </w:tcPr>
          <w:p w14:paraId="0BC9A758" w14:textId="77777777" w:rsidR="009F0928" w:rsidRDefault="009F0928">
            <w:pPr>
              <w:textAlignment w:val="bottom"/>
              <w:rPr>
                <w:rFonts w:ascii="Times New Roman" w:hAnsi="Times New Roman"/>
                <w:sz w:val="20"/>
                <w:szCs w:val="20"/>
              </w:rPr>
            </w:pPr>
          </w:p>
        </w:tc>
      </w:tr>
    </w:tbl>
    <w:p w14:paraId="0BC9A75A" w14:textId="77777777" w:rsidR="009F0928" w:rsidRDefault="009F0928">
      <w:pPr>
        <w:spacing w:line="288" w:lineRule="auto"/>
        <w:jc w:val="both"/>
        <w:rPr>
          <w:rFonts w:ascii="Times New Roman" w:hAnsi="Times New Roman"/>
          <w:sz w:val="20"/>
          <w:szCs w:val="20"/>
        </w:rPr>
      </w:pPr>
    </w:p>
    <w:p w14:paraId="0BC9A75B" w14:textId="77777777" w:rsidR="009F0928" w:rsidRDefault="009F0928">
      <w:pPr>
        <w:spacing w:line="288" w:lineRule="auto"/>
        <w:jc w:val="both"/>
        <w:rPr>
          <w:rFonts w:ascii="Times New Roman" w:hAnsi="Times New Roman"/>
          <w:sz w:val="20"/>
          <w:szCs w:val="20"/>
        </w:rPr>
      </w:pPr>
    </w:p>
    <w:p w14:paraId="0BC9A75C" w14:textId="77777777" w:rsidR="009F0928" w:rsidRDefault="009F0928">
      <w:pPr>
        <w:rPr>
          <w:rFonts w:ascii="Times New Roman" w:hAnsi="Times New Roman"/>
          <w:sz w:val="20"/>
          <w:szCs w:val="20"/>
        </w:rPr>
      </w:pPr>
    </w:p>
    <w:p w14:paraId="0BC9A75D"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F-43</w:t>
      </w:r>
    </w:p>
    <w:p w14:paraId="0BC9A75E" w14:textId="77777777" w:rsidR="009F0928" w:rsidRDefault="002112BD">
      <w:r>
        <w:rPr>
          <w:rFonts w:ascii="Times New Roman" w:hAnsi="Times New Roman"/>
          <w:sz w:val="18"/>
          <w:szCs w:val="18"/>
        </w:rPr>
        <w:pict w14:anchorId="0BC9B525">
          <v:rect id="_x0000_i1129" style="width:415.3pt;height:1.5pt" o:hralign="center" o:hrstd="t" o:hr="t" fillcolor="#a0a0a0" stroked="f"/>
        </w:pict>
      </w:r>
    </w:p>
    <w:p w14:paraId="0BC9A75F" w14:textId="77777777" w:rsidR="009F0928" w:rsidRDefault="009F0928">
      <w:pPr>
        <w:spacing w:line="288" w:lineRule="auto"/>
        <w:rPr>
          <w:rFonts w:ascii="Times New Roman" w:hAnsi="Times New Roman"/>
          <w:sz w:val="20"/>
          <w:szCs w:val="20"/>
        </w:rPr>
      </w:pPr>
    </w:p>
    <w:p w14:paraId="0BC9A760" w14:textId="77777777" w:rsidR="009F0928" w:rsidRDefault="009F0928">
      <w:pPr>
        <w:rPr>
          <w:rFonts w:ascii="Times New Roman" w:hAnsi="Times New Roman"/>
          <w:sz w:val="20"/>
          <w:szCs w:val="20"/>
        </w:rPr>
      </w:pPr>
    </w:p>
    <w:p w14:paraId="0BC9A761"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table provides a summary of reclassifications out of AOCI for the years ended December 31, 2019 and 2018 (in millions):</w:t>
      </w:r>
    </w:p>
    <w:tbl>
      <w:tblPr>
        <w:tblW w:w="5000" w:type="pct"/>
        <w:tblCellMar>
          <w:left w:w="0" w:type="dxa"/>
          <w:right w:w="0" w:type="dxa"/>
        </w:tblCellMar>
        <w:tblLook w:val="04A0" w:firstRow="1" w:lastRow="0" w:firstColumn="1" w:lastColumn="0" w:noHBand="0" w:noVBand="1"/>
      </w:tblPr>
      <w:tblGrid>
        <w:gridCol w:w="3664"/>
        <w:gridCol w:w="130"/>
        <w:gridCol w:w="2086"/>
        <w:gridCol w:w="130"/>
        <w:gridCol w:w="141"/>
        <w:gridCol w:w="841"/>
        <w:gridCol w:w="100"/>
        <w:gridCol w:w="130"/>
        <w:gridCol w:w="142"/>
        <w:gridCol w:w="841"/>
        <w:gridCol w:w="101"/>
      </w:tblGrid>
      <w:tr w:rsidR="009F0928" w14:paraId="0BC9A763" w14:textId="77777777">
        <w:tc>
          <w:tcPr>
            <w:tcW w:w="0" w:type="auto"/>
            <w:gridSpan w:val="11"/>
            <w:shd w:val="clear" w:color="auto" w:fill="auto"/>
            <w:vAlign w:val="center"/>
          </w:tcPr>
          <w:p w14:paraId="0BC9A762" w14:textId="77777777" w:rsidR="009F0928" w:rsidRDefault="009F0928">
            <w:pPr>
              <w:rPr>
                <w:rFonts w:ascii="Times New Roman" w:hAnsi="Times New Roman"/>
                <w:sz w:val="20"/>
                <w:szCs w:val="20"/>
              </w:rPr>
            </w:pPr>
          </w:p>
        </w:tc>
      </w:tr>
      <w:tr w:rsidR="009F0928" w14:paraId="0BC9A76F" w14:textId="77777777">
        <w:tc>
          <w:tcPr>
            <w:tcW w:w="2250" w:type="pct"/>
            <w:shd w:val="clear" w:color="auto" w:fill="auto"/>
            <w:vAlign w:val="center"/>
          </w:tcPr>
          <w:p w14:paraId="0BC9A764" w14:textId="77777777" w:rsidR="009F0928" w:rsidRDefault="009F0928">
            <w:pPr>
              <w:rPr>
                <w:rFonts w:ascii="Times New Roman" w:hAnsi="Times New Roman"/>
                <w:sz w:val="20"/>
                <w:szCs w:val="20"/>
              </w:rPr>
            </w:pPr>
          </w:p>
        </w:tc>
        <w:tc>
          <w:tcPr>
            <w:tcW w:w="50" w:type="pct"/>
            <w:shd w:val="clear" w:color="auto" w:fill="auto"/>
            <w:vAlign w:val="center"/>
          </w:tcPr>
          <w:p w14:paraId="0BC9A765" w14:textId="77777777" w:rsidR="009F0928" w:rsidRDefault="009F0928">
            <w:pPr>
              <w:rPr>
                <w:rFonts w:ascii="Times New Roman" w:hAnsi="Times New Roman"/>
                <w:sz w:val="20"/>
                <w:szCs w:val="20"/>
              </w:rPr>
            </w:pPr>
          </w:p>
        </w:tc>
        <w:tc>
          <w:tcPr>
            <w:tcW w:w="1300" w:type="pct"/>
            <w:shd w:val="clear" w:color="auto" w:fill="auto"/>
            <w:vAlign w:val="center"/>
          </w:tcPr>
          <w:p w14:paraId="0BC9A766" w14:textId="77777777" w:rsidR="009F0928" w:rsidRDefault="009F0928">
            <w:pPr>
              <w:rPr>
                <w:rFonts w:ascii="Times New Roman" w:hAnsi="Times New Roman"/>
                <w:sz w:val="20"/>
                <w:szCs w:val="20"/>
              </w:rPr>
            </w:pPr>
          </w:p>
        </w:tc>
        <w:tc>
          <w:tcPr>
            <w:tcW w:w="50" w:type="pct"/>
            <w:shd w:val="clear" w:color="auto" w:fill="auto"/>
            <w:vAlign w:val="center"/>
          </w:tcPr>
          <w:p w14:paraId="0BC9A767" w14:textId="77777777" w:rsidR="009F0928" w:rsidRDefault="009F0928">
            <w:pPr>
              <w:rPr>
                <w:rFonts w:ascii="Times New Roman" w:hAnsi="Times New Roman"/>
                <w:sz w:val="20"/>
                <w:szCs w:val="20"/>
              </w:rPr>
            </w:pPr>
          </w:p>
        </w:tc>
        <w:tc>
          <w:tcPr>
            <w:tcW w:w="50" w:type="pct"/>
            <w:shd w:val="clear" w:color="auto" w:fill="auto"/>
            <w:vAlign w:val="center"/>
          </w:tcPr>
          <w:p w14:paraId="0BC9A768" w14:textId="77777777" w:rsidR="009F0928" w:rsidRDefault="009F0928">
            <w:pPr>
              <w:rPr>
                <w:rFonts w:ascii="Times New Roman" w:hAnsi="Times New Roman"/>
                <w:sz w:val="20"/>
                <w:szCs w:val="20"/>
              </w:rPr>
            </w:pPr>
          </w:p>
        </w:tc>
        <w:tc>
          <w:tcPr>
            <w:tcW w:w="550" w:type="pct"/>
            <w:shd w:val="clear" w:color="auto" w:fill="auto"/>
            <w:vAlign w:val="center"/>
          </w:tcPr>
          <w:p w14:paraId="0BC9A769" w14:textId="77777777" w:rsidR="009F0928" w:rsidRDefault="009F0928">
            <w:pPr>
              <w:rPr>
                <w:rFonts w:ascii="Times New Roman" w:hAnsi="Times New Roman"/>
                <w:sz w:val="20"/>
                <w:szCs w:val="20"/>
              </w:rPr>
            </w:pPr>
          </w:p>
        </w:tc>
        <w:tc>
          <w:tcPr>
            <w:tcW w:w="50" w:type="pct"/>
            <w:shd w:val="clear" w:color="auto" w:fill="auto"/>
            <w:vAlign w:val="center"/>
          </w:tcPr>
          <w:p w14:paraId="0BC9A76A" w14:textId="77777777" w:rsidR="009F0928" w:rsidRDefault="009F0928">
            <w:pPr>
              <w:rPr>
                <w:rFonts w:ascii="Times New Roman" w:hAnsi="Times New Roman"/>
                <w:sz w:val="20"/>
                <w:szCs w:val="20"/>
              </w:rPr>
            </w:pPr>
          </w:p>
        </w:tc>
        <w:tc>
          <w:tcPr>
            <w:tcW w:w="50" w:type="pct"/>
            <w:shd w:val="clear" w:color="auto" w:fill="auto"/>
            <w:vAlign w:val="center"/>
          </w:tcPr>
          <w:p w14:paraId="0BC9A76B" w14:textId="77777777" w:rsidR="009F0928" w:rsidRDefault="009F0928">
            <w:pPr>
              <w:rPr>
                <w:rFonts w:ascii="Times New Roman" w:hAnsi="Times New Roman"/>
                <w:sz w:val="20"/>
                <w:szCs w:val="20"/>
              </w:rPr>
            </w:pPr>
          </w:p>
        </w:tc>
        <w:tc>
          <w:tcPr>
            <w:tcW w:w="50" w:type="pct"/>
            <w:shd w:val="clear" w:color="auto" w:fill="auto"/>
            <w:vAlign w:val="center"/>
          </w:tcPr>
          <w:p w14:paraId="0BC9A76C" w14:textId="77777777" w:rsidR="009F0928" w:rsidRDefault="009F0928">
            <w:pPr>
              <w:rPr>
                <w:rFonts w:ascii="Times New Roman" w:hAnsi="Times New Roman"/>
                <w:sz w:val="20"/>
                <w:szCs w:val="20"/>
              </w:rPr>
            </w:pPr>
          </w:p>
        </w:tc>
        <w:tc>
          <w:tcPr>
            <w:tcW w:w="550" w:type="pct"/>
            <w:shd w:val="clear" w:color="auto" w:fill="auto"/>
            <w:vAlign w:val="center"/>
          </w:tcPr>
          <w:p w14:paraId="0BC9A76D" w14:textId="77777777" w:rsidR="009F0928" w:rsidRDefault="009F0928">
            <w:pPr>
              <w:rPr>
                <w:rFonts w:ascii="Times New Roman" w:hAnsi="Times New Roman"/>
                <w:sz w:val="20"/>
                <w:szCs w:val="20"/>
              </w:rPr>
            </w:pPr>
          </w:p>
        </w:tc>
        <w:tc>
          <w:tcPr>
            <w:tcW w:w="50" w:type="pct"/>
            <w:shd w:val="clear" w:color="auto" w:fill="auto"/>
            <w:vAlign w:val="center"/>
          </w:tcPr>
          <w:p w14:paraId="0BC9A76E" w14:textId="77777777" w:rsidR="009F0928" w:rsidRDefault="009F0928">
            <w:pPr>
              <w:rPr>
                <w:rFonts w:ascii="Times New Roman" w:hAnsi="Times New Roman"/>
                <w:sz w:val="20"/>
                <w:szCs w:val="20"/>
              </w:rPr>
            </w:pPr>
          </w:p>
        </w:tc>
      </w:tr>
      <w:tr w:rsidR="009F0928" w14:paraId="0BC9A77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0BC9A77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Details </w:t>
            </w:r>
            <w:r>
              <w:rPr>
                <w:rFonts w:ascii="Arial" w:eastAsia="宋体" w:hAnsi="Arial" w:cs="Arial"/>
                <w:b/>
                <w:bCs/>
                <w:sz w:val="16"/>
                <w:szCs w:val="16"/>
              </w:rPr>
              <w:t>about AOCI Components</w:t>
            </w:r>
          </w:p>
        </w:tc>
        <w:tc>
          <w:tcPr>
            <w:tcW w:w="0" w:type="auto"/>
            <w:shd w:val="clear" w:color="auto" w:fill="auto"/>
            <w:tcMar>
              <w:top w:w="40" w:type="dxa"/>
              <w:left w:w="40" w:type="dxa"/>
              <w:bottom w:w="40" w:type="dxa"/>
              <w:right w:w="40" w:type="dxa"/>
            </w:tcMar>
            <w:vAlign w:val="bottom"/>
          </w:tcPr>
          <w:p w14:paraId="0BC9A771"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A772"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Affected Line Item in the Statement of Income</w:t>
            </w:r>
          </w:p>
        </w:tc>
        <w:tc>
          <w:tcPr>
            <w:tcW w:w="0" w:type="auto"/>
            <w:shd w:val="clear" w:color="auto" w:fill="auto"/>
            <w:tcMar>
              <w:top w:w="40" w:type="dxa"/>
              <w:left w:w="40" w:type="dxa"/>
              <w:bottom w:w="40" w:type="dxa"/>
              <w:right w:w="40" w:type="dxa"/>
            </w:tcMar>
            <w:vAlign w:val="bottom"/>
          </w:tcPr>
          <w:p w14:paraId="0BC9A77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0BC9A774"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Amount of Gain (Loss)</w:t>
            </w:r>
          </w:p>
          <w:p w14:paraId="0BC9A775"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Reclassified from AOCI</w:t>
            </w:r>
          </w:p>
        </w:tc>
      </w:tr>
      <w:tr w:rsidR="009F0928" w14:paraId="0BC9A77E" w14:textId="77777777">
        <w:tc>
          <w:tcPr>
            <w:tcW w:w="0" w:type="auto"/>
            <w:shd w:val="clear" w:color="auto" w:fill="auto"/>
            <w:tcMar>
              <w:top w:w="40" w:type="dxa"/>
              <w:left w:w="40" w:type="dxa"/>
              <w:bottom w:w="40" w:type="dxa"/>
              <w:right w:w="40" w:type="dxa"/>
            </w:tcMar>
            <w:vAlign w:val="bottom"/>
          </w:tcPr>
          <w:p w14:paraId="0BC9A77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77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7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77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77B"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0BC9A77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77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2018</w:t>
            </w:r>
          </w:p>
        </w:tc>
      </w:tr>
      <w:tr w:rsidR="009F0928" w14:paraId="0BC9A78A" w14:textId="77777777">
        <w:tc>
          <w:tcPr>
            <w:tcW w:w="0" w:type="auto"/>
            <w:shd w:val="clear" w:color="auto" w:fill="E2E2E2"/>
            <w:tcMar>
              <w:top w:w="40" w:type="dxa"/>
              <w:left w:w="40" w:type="dxa"/>
              <w:bottom w:w="40" w:type="dxa"/>
              <w:right w:w="40" w:type="dxa"/>
            </w:tcMar>
            <w:vAlign w:val="bottom"/>
          </w:tcPr>
          <w:p w14:paraId="0BC9A77F" w14:textId="77777777" w:rsidR="009F0928" w:rsidRDefault="002112BD">
            <w:pPr>
              <w:textAlignment w:val="bottom"/>
              <w:rPr>
                <w:rFonts w:ascii="Times New Roman" w:hAnsi="Times New Roman"/>
                <w:sz w:val="18"/>
                <w:szCs w:val="18"/>
              </w:rPr>
            </w:pPr>
            <w:r>
              <w:rPr>
                <w:rFonts w:ascii="Arial" w:eastAsia="宋体" w:hAnsi="Arial" w:cs="Arial"/>
                <w:sz w:val="18"/>
                <w:szCs w:val="18"/>
              </w:rPr>
              <w:t>Gains (losses) on cash flow hedges - foreign exchange contracts</w:t>
            </w:r>
          </w:p>
        </w:tc>
        <w:tc>
          <w:tcPr>
            <w:tcW w:w="0" w:type="auto"/>
            <w:shd w:val="clear" w:color="auto" w:fill="E2E2E2"/>
            <w:tcMar>
              <w:top w:w="40" w:type="dxa"/>
              <w:left w:w="40" w:type="dxa"/>
              <w:bottom w:w="40" w:type="dxa"/>
              <w:right w:w="40" w:type="dxa"/>
            </w:tcMar>
            <w:vAlign w:val="bottom"/>
          </w:tcPr>
          <w:p w14:paraId="0BC9A78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781" w14:textId="77777777" w:rsidR="009F0928" w:rsidRDefault="002112BD">
            <w:pPr>
              <w:textAlignment w:val="bottom"/>
              <w:rPr>
                <w:rFonts w:ascii="Times New Roman" w:hAnsi="Times New Roman"/>
                <w:sz w:val="18"/>
                <w:szCs w:val="18"/>
              </w:rPr>
            </w:pPr>
            <w:r>
              <w:rPr>
                <w:rFonts w:ascii="Arial" w:eastAsia="宋体" w:hAnsi="Arial" w:cs="Arial"/>
                <w:sz w:val="18"/>
                <w:szCs w:val="18"/>
              </w:rPr>
              <w:t>Net Revenues</w:t>
            </w:r>
          </w:p>
        </w:tc>
        <w:tc>
          <w:tcPr>
            <w:tcW w:w="0" w:type="auto"/>
            <w:shd w:val="clear" w:color="auto" w:fill="E2E2E2"/>
            <w:tcMar>
              <w:top w:w="40" w:type="dxa"/>
              <w:left w:w="40" w:type="dxa"/>
              <w:bottom w:w="40" w:type="dxa"/>
              <w:right w:w="40" w:type="dxa"/>
            </w:tcMar>
            <w:vAlign w:val="bottom"/>
          </w:tcPr>
          <w:p w14:paraId="0BC9A78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E2E2E2"/>
            <w:tcMar>
              <w:top w:w="40" w:type="dxa"/>
              <w:left w:w="40" w:type="dxa"/>
              <w:bottom w:w="40" w:type="dxa"/>
            </w:tcMar>
            <w:vAlign w:val="bottom"/>
          </w:tcPr>
          <w:p w14:paraId="0BC9A78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E2E2E2"/>
            <w:tcMar>
              <w:top w:w="40" w:type="dxa"/>
              <w:bottom w:w="40" w:type="dxa"/>
            </w:tcMar>
            <w:vAlign w:val="bottom"/>
          </w:tcPr>
          <w:p w14:paraId="0BC9A78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81</w:t>
            </w:r>
          </w:p>
        </w:tc>
        <w:tc>
          <w:tcPr>
            <w:tcW w:w="0" w:type="auto"/>
            <w:tcBorders>
              <w:top w:val="single" w:sz="8" w:space="0" w:color="000000"/>
              <w:bottom w:val="single" w:sz="8" w:space="0" w:color="000000"/>
            </w:tcBorders>
            <w:shd w:val="clear" w:color="auto" w:fill="E2E2E2"/>
            <w:vAlign w:val="bottom"/>
          </w:tcPr>
          <w:p w14:paraId="0BC9A78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78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E2E2E2"/>
            <w:tcMar>
              <w:top w:w="40" w:type="dxa"/>
              <w:left w:w="40" w:type="dxa"/>
              <w:bottom w:w="40" w:type="dxa"/>
            </w:tcMar>
            <w:vAlign w:val="bottom"/>
          </w:tcPr>
          <w:p w14:paraId="0BC9A78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single" w:sz="8" w:space="0" w:color="000000"/>
            </w:tcBorders>
            <w:shd w:val="clear" w:color="auto" w:fill="E2E2E2"/>
            <w:tcMar>
              <w:top w:w="40" w:type="dxa"/>
              <w:bottom w:w="40" w:type="dxa"/>
            </w:tcMar>
            <w:vAlign w:val="bottom"/>
          </w:tcPr>
          <w:p w14:paraId="0BC9A78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w:t>
            </w:r>
          </w:p>
        </w:tc>
        <w:tc>
          <w:tcPr>
            <w:tcW w:w="0" w:type="auto"/>
            <w:tcBorders>
              <w:top w:val="single" w:sz="8" w:space="0" w:color="000000"/>
              <w:bottom w:val="single" w:sz="8" w:space="0" w:color="000000"/>
            </w:tcBorders>
            <w:shd w:val="clear" w:color="auto" w:fill="E2E2E2"/>
            <w:tcMar>
              <w:top w:w="40" w:type="dxa"/>
              <w:bottom w:w="40" w:type="dxa"/>
              <w:right w:w="40" w:type="dxa"/>
            </w:tcMar>
            <w:vAlign w:val="bottom"/>
          </w:tcPr>
          <w:p w14:paraId="0BC9A78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794" w14:textId="77777777">
        <w:tc>
          <w:tcPr>
            <w:tcW w:w="0" w:type="auto"/>
            <w:shd w:val="clear" w:color="auto" w:fill="auto"/>
            <w:tcMar>
              <w:top w:w="40" w:type="dxa"/>
              <w:left w:w="40" w:type="dxa"/>
              <w:bottom w:w="40" w:type="dxa"/>
              <w:right w:w="40" w:type="dxa"/>
            </w:tcMar>
            <w:vAlign w:val="bottom"/>
          </w:tcPr>
          <w:p w14:paraId="0BC9A78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78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78D"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Total, from </w:t>
            </w:r>
            <w:r>
              <w:rPr>
                <w:rFonts w:ascii="Arial" w:eastAsia="宋体" w:hAnsi="Arial" w:cs="Arial"/>
                <w:sz w:val="18"/>
                <w:szCs w:val="18"/>
              </w:rPr>
              <w:t>continuing operations before income taxes</w:t>
            </w:r>
          </w:p>
        </w:tc>
        <w:tc>
          <w:tcPr>
            <w:tcW w:w="0" w:type="auto"/>
            <w:shd w:val="clear" w:color="auto" w:fill="auto"/>
            <w:tcMar>
              <w:top w:w="40" w:type="dxa"/>
              <w:left w:w="40" w:type="dxa"/>
              <w:bottom w:w="40" w:type="dxa"/>
              <w:right w:w="40" w:type="dxa"/>
            </w:tcMar>
            <w:vAlign w:val="bottom"/>
          </w:tcPr>
          <w:p w14:paraId="0BC9A78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78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81</w:t>
            </w:r>
          </w:p>
        </w:tc>
        <w:tc>
          <w:tcPr>
            <w:tcW w:w="0" w:type="auto"/>
            <w:shd w:val="clear" w:color="auto" w:fill="auto"/>
            <w:vAlign w:val="bottom"/>
          </w:tcPr>
          <w:p w14:paraId="0BC9A79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79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79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w:t>
            </w:r>
          </w:p>
        </w:tc>
        <w:tc>
          <w:tcPr>
            <w:tcW w:w="0" w:type="auto"/>
            <w:shd w:val="clear" w:color="auto" w:fill="auto"/>
            <w:tcMar>
              <w:top w:w="40" w:type="dxa"/>
              <w:bottom w:w="40" w:type="dxa"/>
              <w:right w:w="40" w:type="dxa"/>
            </w:tcMar>
            <w:vAlign w:val="bottom"/>
          </w:tcPr>
          <w:p w14:paraId="0BC9A79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79E" w14:textId="77777777">
        <w:tc>
          <w:tcPr>
            <w:tcW w:w="0" w:type="auto"/>
            <w:shd w:val="clear" w:color="auto" w:fill="E2E2E2"/>
            <w:tcMar>
              <w:top w:w="40" w:type="dxa"/>
              <w:left w:w="40" w:type="dxa"/>
              <w:bottom w:w="40" w:type="dxa"/>
              <w:right w:w="40" w:type="dxa"/>
            </w:tcMar>
            <w:vAlign w:val="bottom"/>
          </w:tcPr>
          <w:p w14:paraId="0BC9A79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79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797" w14:textId="77777777" w:rsidR="009F0928" w:rsidRDefault="002112BD">
            <w:pPr>
              <w:textAlignment w:val="bottom"/>
              <w:rPr>
                <w:rFonts w:ascii="Times New Roman" w:hAnsi="Times New Roman"/>
                <w:sz w:val="18"/>
                <w:szCs w:val="18"/>
              </w:rPr>
            </w:pPr>
            <w:r>
              <w:rPr>
                <w:rFonts w:ascii="Arial" w:eastAsia="宋体" w:hAnsi="Arial" w:cs="Arial"/>
                <w:sz w:val="18"/>
                <w:szCs w:val="18"/>
              </w:rPr>
              <w:t>Income tax provision</w:t>
            </w:r>
          </w:p>
        </w:tc>
        <w:tc>
          <w:tcPr>
            <w:tcW w:w="0" w:type="auto"/>
            <w:shd w:val="clear" w:color="auto" w:fill="E2E2E2"/>
            <w:tcMar>
              <w:top w:w="40" w:type="dxa"/>
              <w:left w:w="40" w:type="dxa"/>
              <w:bottom w:w="40" w:type="dxa"/>
              <w:right w:w="40" w:type="dxa"/>
            </w:tcMar>
            <w:vAlign w:val="bottom"/>
          </w:tcPr>
          <w:p w14:paraId="0BC9A79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79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w:t>
            </w:r>
          </w:p>
        </w:tc>
        <w:tc>
          <w:tcPr>
            <w:tcW w:w="0" w:type="auto"/>
            <w:tcBorders>
              <w:bottom w:val="single" w:sz="8" w:space="0" w:color="000000"/>
            </w:tcBorders>
            <w:shd w:val="clear" w:color="auto" w:fill="E2E2E2"/>
            <w:tcMar>
              <w:top w:w="40" w:type="dxa"/>
              <w:bottom w:w="40" w:type="dxa"/>
              <w:right w:w="40" w:type="dxa"/>
            </w:tcMar>
            <w:vAlign w:val="bottom"/>
          </w:tcPr>
          <w:p w14:paraId="0BC9A79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79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79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w:t>
            </w:r>
          </w:p>
        </w:tc>
        <w:tc>
          <w:tcPr>
            <w:tcW w:w="0" w:type="auto"/>
            <w:tcBorders>
              <w:bottom w:val="single" w:sz="8" w:space="0" w:color="000000"/>
            </w:tcBorders>
            <w:shd w:val="clear" w:color="auto" w:fill="E2E2E2"/>
            <w:vAlign w:val="bottom"/>
          </w:tcPr>
          <w:p w14:paraId="0BC9A79D" w14:textId="77777777" w:rsidR="009F0928" w:rsidRDefault="009F0928">
            <w:pPr>
              <w:textAlignment w:val="bottom"/>
              <w:rPr>
                <w:rFonts w:ascii="Times New Roman" w:hAnsi="Times New Roman"/>
                <w:sz w:val="20"/>
                <w:szCs w:val="20"/>
              </w:rPr>
            </w:pPr>
          </w:p>
        </w:tc>
      </w:tr>
      <w:tr w:rsidR="009F0928" w14:paraId="0BC9A7A8" w14:textId="77777777">
        <w:tc>
          <w:tcPr>
            <w:tcW w:w="0" w:type="auto"/>
            <w:shd w:val="clear" w:color="auto" w:fill="auto"/>
            <w:tcMar>
              <w:top w:w="40" w:type="dxa"/>
              <w:left w:w="40" w:type="dxa"/>
              <w:bottom w:w="40" w:type="dxa"/>
              <w:right w:w="40" w:type="dxa"/>
            </w:tcMar>
            <w:vAlign w:val="bottom"/>
          </w:tcPr>
          <w:p w14:paraId="0BC9A79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7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7A1"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from continuing operations net of income taxes</w:t>
            </w:r>
          </w:p>
        </w:tc>
        <w:tc>
          <w:tcPr>
            <w:tcW w:w="0" w:type="auto"/>
            <w:shd w:val="clear" w:color="auto" w:fill="auto"/>
            <w:tcMar>
              <w:top w:w="40" w:type="dxa"/>
              <w:left w:w="40" w:type="dxa"/>
              <w:bottom w:w="40" w:type="dxa"/>
              <w:right w:w="40" w:type="dxa"/>
            </w:tcMar>
            <w:vAlign w:val="bottom"/>
          </w:tcPr>
          <w:p w14:paraId="0BC9A7A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7A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64</w:t>
            </w:r>
          </w:p>
        </w:tc>
        <w:tc>
          <w:tcPr>
            <w:tcW w:w="0" w:type="auto"/>
            <w:shd w:val="clear" w:color="auto" w:fill="auto"/>
            <w:vAlign w:val="bottom"/>
          </w:tcPr>
          <w:p w14:paraId="0BC9A7A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7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7A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w:t>
            </w:r>
          </w:p>
        </w:tc>
        <w:tc>
          <w:tcPr>
            <w:tcW w:w="0" w:type="auto"/>
            <w:shd w:val="clear" w:color="auto" w:fill="auto"/>
            <w:tcMar>
              <w:top w:w="40" w:type="dxa"/>
              <w:bottom w:w="40" w:type="dxa"/>
              <w:right w:w="40" w:type="dxa"/>
            </w:tcMar>
            <w:vAlign w:val="bottom"/>
          </w:tcPr>
          <w:p w14:paraId="0BC9A7A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7B2" w14:textId="77777777">
        <w:tc>
          <w:tcPr>
            <w:tcW w:w="0" w:type="auto"/>
            <w:shd w:val="clear" w:color="auto" w:fill="E2E2E2"/>
            <w:tcMar>
              <w:top w:w="40" w:type="dxa"/>
              <w:left w:w="40" w:type="dxa"/>
              <w:bottom w:w="40" w:type="dxa"/>
              <w:right w:w="40" w:type="dxa"/>
            </w:tcMar>
            <w:vAlign w:val="bottom"/>
          </w:tcPr>
          <w:p w14:paraId="0BC9A7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7A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7AB"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from discontinued operations net of income taxes</w:t>
            </w:r>
          </w:p>
        </w:tc>
        <w:tc>
          <w:tcPr>
            <w:tcW w:w="0" w:type="auto"/>
            <w:shd w:val="clear" w:color="auto" w:fill="E2E2E2"/>
            <w:tcMar>
              <w:top w:w="40" w:type="dxa"/>
              <w:left w:w="40" w:type="dxa"/>
              <w:bottom w:w="40" w:type="dxa"/>
              <w:right w:w="40" w:type="dxa"/>
            </w:tcMar>
            <w:vAlign w:val="bottom"/>
          </w:tcPr>
          <w:p w14:paraId="0BC9A7A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7A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E2E2E2"/>
            <w:vAlign w:val="bottom"/>
          </w:tcPr>
          <w:p w14:paraId="0BC9A7A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7A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7B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E2E2E2"/>
            <w:vAlign w:val="bottom"/>
          </w:tcPr>
          <w:p w14:paraId="0BC9A7B1" w14:textId="77777777" w:rsidR="009F0928" w:rsidRDefault="009F0928">
            <w:pPr>
              <w:textAlignment w:val="bottom"/>
              <w:rPr>
                <w:rFonts w:ascii="Times New Roman" w:hAnsi="Times New Roman"/>
                <w:sz w:val="20"/>
                <w:szCs w:val="20"/>
              </w:rPr>
            </w:pPr>
          </w:p>
        </w:tc>
      </w:tr>
      <w:tr w:rsidR="009F0928" w14:paraId="0BC9A7BC" w14:textId="77777777">
        <w:tc>
          <w:tcPr>
            <w:tcW w:w="0" w:type="auto"/>
            <w:shd w:val="clear" w:color="auto" w:fill="auto"/>
            <w:tcMar>
              <w:top w:w="40" w:type="dxa"/>
              <w:left w:w="40" w:type="dxa"/>
              <w:bottom w:w="40" w:type="dxa"/>
              <w:right w:w="40" w:type="dxa"/>
            </w:tcMar>
            <w:vAlign w:val="bottom"/>
          </w:tcPr>
          <w:p w14:paraId="0BC9A7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7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7B5"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Total, net </w:t>
            </w:r>
            <w:r>
              <w:rPr>
                <w:rFonts w:ascii="Arial" w:eastAsia="宋体" w:hAnsi="Arial" w:cs="Arial"/>
                <w:sz w:val="18"/>
                <w:szCs w:val="18"/>
              </w:rPr>
              <w:t>of income taxes</w:t>
            </w:r>
          </w:p>
        </w:tc>
        <w:tc>
          <w:tcPr>
            <w:tcW w:w="0" w:type="auto"/>
            <w:shd w:val="clear" w:color="auto" w:fill="auto"/>
            <w:tcMar>
              <w:top w:w="40" w:type="dxa"/>
              <w:left w:w="40" w:type="dxa"/>
              <w:bottom w:w="40" w:type="dxa"/>
              <w:right w:w="40" w:type="dxa"/>
            </w:tcMar>
            <w:vAlign w:val="bottom"/>
          </w:tcPr>
          <w:p w14:paraId="0BC9A7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7B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64</w:t>
            </w:r>
          </w:p>
        </w:tc>
        <w:tc>
          <w:tcPr>
            <w:tcW w:w="0" w:type="auto"/>
            <w:shd w:val="clear" w:color="auto" w:fill="auto"/>
            <w:vAlign w:val="bottom"/>
          </w:tcPr>
          <w:p w14:paraId="0BC9A7B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7B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7B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w:t>
            </w:r>
          </w:p>
        </w:tc>
        <w:tc>
          <w:tcPr>
            <w:tcW w:w="0" w:type="auto"/>
            <w:shd w:val="clear" w:color="auto" w:fill="auto"/>
            <w:tcMar>
              <w:top w:w="40" w:type="dxa"/>
              <w:bottom w:w="40" w:type="dxa"/>
              <w:right w:w="40" w:type="dxa"/>
            </w:tcMar>
            <w:vAlign w:val="bottom"/>
          </w:tcPr>
          <w:p w14:paraId="0BC9A7B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7C4" w14:textId="77777777">
        <w:tc>
          <w:tcPr>
            <w:tcW w:w="0" w:type="auto"/>
            <w:shd w:val="clear" w:color="auto" w:fill="E2E2E2"/>
            <w:tcMar>
              <w:top w:w="40" w:type="dxa"/>
              <w:left w:w="40" w:type="dxa"/>
              <w:bottom w:w="40" w:type="dxa"/>
              <w:right w:w="40" w:type="dxa"/>
            </w:tcMar>
            <w:vAlign w:val="bottom"/>
          </w:tcPr>
          <w:p w14:paraId="0BC9A7B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7B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7B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7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7C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7C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7C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7CE" w14:textId="77777777">
        <w:tc>
          <w:tcPr>
            <w:tcW w:w="0" w:type="auto"/>
            <w:shd w:val="clear" w:color="auto" w:fill="auto"/>
            <w:tcMar>
              <w:top w:w="40" w:type="dxa"/>
              <w:left w:w="40" w:type="dxa"/>
              <w:bottom w:w="40" w:type="dxa"/>
              <w:right w:w="40" w:type="dxa"/>
            </w:tcMar>
            <w:vAlign w:val="bottom"/>
          </w:tcPr>
          <w:p w14:paraId="0BC9A7C5" w14:textId="77777777" w:rsidR="009F0928" w:rsidRDefault="002112BD">
            <w:pPr>
              <w:textAlignment w:val="bottom"/>
              <w:rPr>
                <w:rFonts w:ascii="Times New Roman" w:hAnsi="Times New Roman"/>
                <w:sz w:val="18"/>
                <w:szCs w:val="18"/>
              </w:rPr>
            </w:pPr>
            <w:r>
              <w:rPr>
                <w:rFonts w:ascii="Arial" w:eastAsia="宋体" w:hAnsi="Arial" w:cs="Arial"/>
                <w:sz w:val="18"/>
                <w:szCs w:val="18"/>
              </w:rPr>
              <w:t>Unrealized gains (losses) on investments</w:t>
            </w:r>
          </w:p>
        </w:tc>
        <w:tc>
          <w:tcPr>
            <w:tcW w:w="0" w:type="auto"/>
            <w:shd w:val="clear" w:color="auto" w:fill="auto"/>
            <w:tcMar>
              <w:top w:w="40" w:type="dxa"/>
              <w:left w:w="40" w:type="dxa"/>
              <w:bottom w:w="40" w:type="dxa"/>
              <w:right w:w="40" w:type="dxa"/>
            </w:tcMar>
            <w:vAlign w:val="bottom"/>
          </w:tcPr>
          <w:p w14:paraId="0BC9A7C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7C7" w14:textId="77777777" w:rsidR="009F0928" w:rsidRDefault="002112BD">
            <w:pPr>
              <w:textAlignment w:val="bottom"/>
              <w:rPr>
                <w:rFonts w:ascii="Times New Roman" w:hAnsi="Times New Roman"/>
                <w:sz w:val="18"/>
                <w:szCs w:val="18"/>
              </w:rPr>
            </w:pPr>
            <w:r>
              <w:rPr>
                <w:rFonts w:ascii="Arial" w:eastAsia="宋体" w:hAnsi="Arial" w:cs="Arial"/>
                <w:sz w:val="18"/>
                <w:szCs w:val="18"/>
              </w:rPr>
              <w:t>Interest and other, net</w:t>
            </w:r>
          </w:p>
        </w:tc>
        <w:tc>
          <w:tcPr>
            <w:tcW w:w="0" w:type="auto"/>
            <w:shd w:val="clear" w:color="auto" w:fill="auto"/>
            <w:tcMar>
              <w:top w:w="40" w:type="dxa"/>
              <w:left w:w="40" w:type="dxa"/>
              <w:bottom w:w="40" w:type="dxa"/>
              <w:right w:w="40" w:type="dxa"/>
            </w:tcMar>
            <w:vAlign w:val="bottom"/>
          </w:tcPr>
          <w:p w14:paraId="0BC9A7C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A7C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auto"/>
            <w:vAlign w:val="bottom"/>
          </w:tcPr>
          <w:p w14:paraId="0BC9A7C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7C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A7C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w:t>
            </w:r>
          </w:p>
        </w:tc>
        <w:tc>
          <w:tcPr>
            <w:tcW w:w="0" w:type="auto"/>
            <w:tcBorders>
              <w:bottom w:val="single" w:sz="8" w:space="0" w:color="000000"/>
            </w:tcBorders>
            <w:shd w:val="clear" w:color="auto" w:fill="auto"/>
            <w:tcMar>
              <w:top w:w="40" w:type="dxa"/>
              <w:bottom w:w="40" w:type="dxa"/>
              <w:right w:w="40" w:type="dxa"/>
            </w:tcMar>
            <w:vAlign w:val="bottom"/>
          </w:tcPr>
          <w:p w14:paraId="0BC9A7C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7D8" w14:textId="77777777">
        <w:tc>
          <w:tcPr>
            <w:tcW w:w="0" w:type="auto"/>
            <w:shd w:val="clear" w:color="auto" w:fill="E2E2E2"/>
            <w:tcMar>
              <w:top w:w="40" w:type="dxa"/>
              <w:left w:w="40" w:type="dxa"/>
              <w:bottom w:w="40" w:type="dxa"/>
              <w:right w:w="40" w:type="dxa"/>
            </w:tcMar>
            <w:vAlign w:val="bottom"/>
          </w:tcPr>
          <w:p w14:paraId="0BC9A7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7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7D1"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before income taxes</w:t>
            </w:r>
          </w:p>
        </w:tc>
        <w:tc>
          <w:tcPr>
            <w:tcW w:w="0" w:type="auto"/>
            <w:shd w:val="clear" w:color="auto" w:fill="E2E2E2"/>
            <w:tcMar>
              <w:top w:w="40" w:type="dxa"/>
              <w:left w:w="40" w:type="dxa"/>
              <w:bottom w:w="40" w:type="dxa"/>
              <w:right w:w="40" w:type="dxa"/>
            </w:tcMar>
            <w:vAlign w:val="bottom"/>
          </w:tcPr>
          <w:p w14:paraId="0BC9A7D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7D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7D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7D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7D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w:t>
            </w:r>
          </w:p>
        </w:tc>
        <w:tc>
          <w:tcPr>
            <w:tcW w:w="0" w:type="auto"/>
            <w:shd w:val="clear" w:color="auto" w:fill="E2E2E2"/>
            <w:tcMar>
              <w:top w:w="40" w:type="dxa"/>
              <w:bottom w:w="40" w:type="dxa"/>
              <w:right w:w="40" w:type="dxa"/>
            </w:tcMar>
            <w:vAlign w:val="bottom"/>
          </w:tcPr>
          <w:p w14:paraId="0BC9A7D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7E2" w14:textId="77777777">
        <w:tc>
          <w:tcPr>
            <w:tcW w:w="0" w:type="auto"/>
            <w:shd w:val="clear" w:color="auto" w:fill="auto"/>
            <w:tcMar>
              <w:top w:w="40" w:type="dxa"/>
              <w:left w:w="40" w:type="dxa"/>
              <w:bottom w:w="40" w:type="dxa"/>
              <w:right w:w="40" w:type="dxa"/>
            </w:tcMar>
            <w:vAlign w:val="bottom"/>
          </w:tcPr>
          <w:p w14:paraId="0BC9A7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7D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7DB" w14:textId="77777777" w:rsidR="009F0928" w:rsidRDefault="002112BD">
            <w:pPr>
              <w:textAlignment w:val="bottom"/>
              <w:rPr>
                <w:rFonts w:ascii="Times New Roman" w:hAnsi="Times New Roman"/>
                <w:sz w:val="18"/>
                <w:szCs w:val="18"/>
              </w:rPr>
            </w:pPr>
            <w:r>
              <w:rPr>
                <w:rFonts w:ascii="Arial" w:eastAsia="宋体" w:hAnsi="Arial" w:cs="Arial"/>
                <w:sz w:val="18"/>
                <w:szCs w:val="18"/>
              </w:rPr>
              <w:t>Income tax provision</w:t>
            </w:r>
          </w:p>
        </w:tc>
        <w:tc>
          <w:tcPr>
            <w:tcW w:w="0" w:type="auto"/>
            <w:shd w:val="clear" w:color="auto" w:fill="auto"/>
            <w:tcMar>
              <w:top w:w="40" w:type="dxa"/>
              <w:left w:w="40" w:type="dxa"/>
              <w:bottom w:w="40" w:type="dxa"/>
              <w:right w:w="40" w:type="dxa"/>
            </w:tcMar>
            <w:vAlign w:val="bottom"/>
          </w:tcPr>
          <w:p w14:paraId="0BC9A7D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A7D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auto"/>
            <w:vAlign w:val="bottom"/>
          </w:tcPr>
          <w:p w14:paraId="0BC9A7D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7D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0BC9A7E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auto"/>
            <w:vAlign w:val="bottom"/>
          </w:tcPr>
          <w:p w14:paraId="0BC9A7E1" w14:textId="77777777" w:rsidR="009F0928" w:rsidRDefault="009F0928">
            <w:pPr>
              <w:textAlignment w:val="bottom"/>
              <w:rPr>
                <w:rFonts w:ascii="Times New Roman" w:hAnsi="Times New Roman"/>
                <w:sz w:val="20"/>
                <w:szCs w:val="20"/>
              </w:rPr>
            </w:pPr>
          </w:p>
        </w:tc>
      </w:tr>
      <w:tr w:rsidR="009F0928" w14:paraId="0BC9A7EC" w14:textId="77777777">
        <w:tc>
          <w:tcPr>
            <w:tcW w:w="0" w:type="auto"/>
            <w:shd w:val="clear" w:color="auto" w:fill="E2E2E2"/>
            <w:tcMar>
              <w:top w:w="40" w:type="dxa"/>
              <w:left w:w="40" w:type="dxa"/>
              <w:bottom w:w="40" w:type="dxa"/>
              <w:right w:w="40" w:type="dxa"/>
            </w:tcMar>
            <w:vAlign w:val="bottom"/>
          </w:tcPr>
          <w:p w14:paraId="0BC9A7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7E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7E5"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net of income taxes</w:t>
            </w:r>
          </w:p>
        </w:tc>
        <w:tc>
          <w:tcPr>
            <w:tcW w:w="0" w:type="auto"/>
            <w:shd w:val="clear" w:color="auto" w:fill="E2E2E2"/>
            <w:tcMar>
              <w:top w:w="40" w:type="dxa"/>
              <w:left w:w="40" w:type="dxa"/>
              <w:bottom w:w="40" w:type="dxa"/>
              <w:right w:w="40" w:type="dxa"/>
            </w:tcMar>
            <w:vAlign w:val="bottom"/>
          </w:tcPr>
          <w:p w14:paraId="0BC9A7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7E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7E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7E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7E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w:t>
            </w:r>
          </w:p>
        </w:tc>
        <w:tc>
          <w:tcPr>
            <w:tcW w:w="0" w:type="auto"/>
            <w:shd w:val="clear" w:color="auto" w:fill="E2E2E2"/>
            <w:tcMar>
              <w:top w:w="40" w:type="dxa"/>
              <w:bottom w:w="40" w:type="dxa"/>
              <w:right w:w="40" w:type="dxa"/>
            </w:tcMar>
            <w:vAlign w:val="bottom"/>
          </w:tcPr>
          <w:p w14:paraId="0BC9A7E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7F4" w14:textId="77777777">
        <w:tc>
          <w:tcPr>
            <w:tcW w:w="0" w:type="auto"/>
            <w:shd w:val="clear" w:color="auto" w:fill="auto"/>
            <w:tcMar>
              <w:top w:w="40" w:type="dxa"/>
              <w:left w:w="40" w:type="dxa"/>
              <w:bottom w:w="40" w:type="dxa"/>
              <w:right w:w="40" w:type="dxa"/>
            </w:tcMar>
            <w:vAlign w:val="bottom"/>
          </w:tcPr>
          <w:p w14:paraId="0BC9A7E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7E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7E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7F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A7F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7F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A7F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800" w14:textId="77777777">
        <w:tc>
          <w:tcPr>
            <w:tcW w:w="0" w:type="auto"/>
            <w:shd w:val="clear" w:color="auto" w:fill="E2E2E2"/>
            <w:tcMar>
              <w:top w:w="40" w:type="dxa"/>
              <w:left w:w="40" w:type="dxa"/>
              <w:bottom w:w="40" w:type="dxa"/>
              <w:right w:w="40" w:type="dxa"/>
            </w:tcMar>
            <w:vAlign w:val="bottom"/>
          </w:tcPr>
          <w:p w14:paraId="0BC9A7F5"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reclassifications for the period</w:t>
            </w:r>
          </w:p>
        </w:tc>
        <w:tc>
          <w:tcPr>
            <w:tcW w:w="0" w:type="auto"/>
            <w:shd w:val="clear" w:color="auto" w:fill="E2E2E2"/>
            <w:tcMar>
              <w:top w:w="40" w:type="dxa"/>
              <w:left w:w="40" w:type="dxa"/>
              <w:bottom w:w="40" w:type="dxa"/>
              <w:right w:w="40" w:type="dxa"/>
            </w:tcMar>
            <w:vAlign w:val="bottom"/>
          </w:tcPr>
          <w:p w14:paraId="0BC9A7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7F7" w14:textId="77777777" w:rsidR="009F0928" w:rsidRDefault="002112BD">
            <w:pPr>
              <w:textAlignment w:val="bottom"/>
              <w:rPr>
                <w:rFonts w:ascii="Times New Roman" w:hAnsi="Times New Roman"/>
                <w:sz w:val="18"/>
                <w:szCs w:val="18"/>
              </w:rPr>
            </w:pPr>
            <w:r>
              <w:rPr>
                <w:rFonts w:ascii="Arial" w:eastAsia="宋体" w:hAnsi="Arial" w:cs="Arial"/>
                <w:sz w:val="18"/>
                <w:szCs w:val="18"/>
              </w:rPr>
              <w:t>Total, net of income taxes</w:t>
            </w:r>
          </w:p>
        </w:tc>
        <w:tc>
          <w:tcPr>
            <w:tcW w:w="0" w:type="auto"/>
            <w:shd w:val="clear" w:color="auto" w:fill="E2E2E2"/>
            <w:tcMar>
              <w:top w:w="40" w:type="dxa"/>
              <w:left w:w="40" w:type="dxa"/>
              <w:bottom w:w="40" w:type="dxa"/>
              <w:right w:w="40" w:type="dxa"/>
            </w:tcMar>
            <w:vAlign w:val="bottom"/>
          </w:tcPr>
          <w:p w14:paraId="0BC9A7F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7F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7F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64</w:t>
            </w:r>
          </w:p>
        </w:tc>
        <w:tc>
          <w:tcPr>
            <w:tcW w:w="0" w:type="auto"/>
            <w:tcBorders>
              <w:top w:val="single" w:sz="8" w:space="0" w:color="000000"/>
              <w:bottom w:val="double" w:sz="6" w:space="0" w:color="000000"/>
            </w:tcBorders>
            <w:shd w:val="clear" w:color="auto" w:fill="E2E2E2"/>
            <w:vAlign w:val="bottom"/>
          </w:tcPr>
          <w:p w14:paraId="0BC9A7FB"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7F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2E2"/>
            <w:tcMar>
              <w:top w:w="40" w:type="dxa"/>
              <w:left w:w="40" w:type="dxa"/>
              <w:bottom w:w="40" w:type="dxa"/>
            </w:tcMar>
            <w:vAlign w:val="bottom"/>
          </w:tcPr>
          <w:p w14:paraId="0BC9A7F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E2E2E2"/>
            <w:tcMar>
              <w:top w:w="40" w:type="dxa"/>
              <w:bottom w:w="40" w:type="dxa"/>
            </w:tcMar>
            <w:vAlign w:val="bottom"/>
          </w:tcPr>
          <w:p w14:paraId="0BC9A7F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w:t>
            </w:r>
          </w:p>
        </w:tc>
        <w:tc>
          <w:tcPr>
            <w:tcW w:w="0" w:type="auto"/>
            <w:tcBorders>
              <w:top w:val="single" w:sz="8" w:space="0" w:color="000000"/>
              <w:bottom w:val="double" w:sz="6" w:space="0" w:color="000000"/>
            </w:tcBorders>
            <w:shd w:val="clear" w:color="auto" w:fill="E2E2E2"/>
            <w:tcMar>
              <w:top w:w="40" w:type="dxa"/>
              <w:bottom w:w="40" w:type="dxa"/>
              <w:right w:w="40" w:type="dxa"/>
            </w:tcMar>
            <w:vAlign w:val="bottom"/>
          </w:tcPr>
          <w:p w14:paraId="0BC9A7F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bl>
    <w:p w14:paraId="0BC9A801" w14:textId="77777777" w:rsidR="009F0928" w:rsidRDefault="009F0928">
      <w:pPr>
        <w:spacing w:line="288" w:lineRule="auto"/>
        <w:jc w:val="both"/>
        <w:rPr>
          <w:rFonts w:ascii="Times New Roman" w:hAnsi="Times New Roman"/>
          <w:sz w:val="20"/>
          <w:szCs w:val="20"/>
        </w:rPr>
      </w:pPr>
    </w:p>
    <w:p w14:paraId="0BC9A802" w14:textId="77777777" w:rsidR="009F0928" w:rsidRDefault="009F0928">
      <w:pPr>
        <w:spacing w:line="288" w:lineRule="auto"/>
        <w:jc w:val="both"/>
        <w:rPr>
          <w:rFonts w:ascii="Times New Roman" w:hAnsi="Times New Roman"/>
          <w:sz w:val="20"/>
          <w:szCs w:val="20"/>
        </w:rPr>
      </w:pPr>
    </w:p>
    <w:p w14:paraId="0BC9A803"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 xml:space="preserve">Note 18 — Restructuring </w:t>
      </w:r>
    </w:p>
    <w:p w14:paraId="0BC9A804" w14:textId="77777777" w:rsidR="009F0928" w:rsidRDefault="009F0928">
      <w:pPr>
        <w:spacing w:line="288" w:lineRule="auto"/>
        <w:ind w:firstLine="720"/>
        <w:jc w:val="both"/>
        <w:rPr>
          <w:rFonts w:ascii="Times New Roman" w:hAnsi="Times New Roman"/>
          <w:sz w:val="20"/>
          <w:szCs w:val="20"/>
        </w:rPr>
      </w:pPr>
    </w:p>
    <w:p w14:paraId="0BC9A80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table summarizes restructuring reserve activity during 2019 (in millions):</w:t>
      </w:r>
    </w:p>
    <w:p w14:paraId="0BC9A806" w14:textId="77777777" w:rsidR="009F0928" w:rsidRDefault="009F0928">
      <w:pPr>
        <w:spacing w:line="288" w:lineRule="auto"/>
        <w:ind w:firstLine="720"/>
        <w:jc w:val="both"/>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7271"/>
        <w:gridCol w:w="142"/>
        <w:gridCol w:w="793"/>
        <w:gridCol w:w="100"/>
      </w:tblGrid>
      <w:tr w:rsidR="009F0928" w14:paraId="0BC9A808" w14:textId="77777777">
        <w:tc>
          <w:tcPr>
            <w:tcW w:w="0" w:type="auto"/>
            <w:gridSpan w:val="4"/>
            <w:shd w:val="clear" w:color="auto" w:fill="auto"/>
            <w:vAlign w:val="center"/>
          </w:tcPr>
          <w:p w14:paraId="0BC9A807" w14:textId="77777777" w:rsidR="009F0928" w:rsidRDefault="009F0928">
            <w:pPr>
              <w:rPr>
                <w:rFonts w:ascii="Times New Roman" w:hAnsi="Times New Roman"/>
                <w:sz w:val="20"/>
                <w:szCs w:val="20"/>
              </w:rPr>
            </w:pPr>
          </w:p>
        </w:tc>
      </w:tr>
      <w:tr w:rsidR="009F0928" w14:paraId="0BC9A80D" w14:textId="77777777">
        <w:tc>
          <w:tcPr>
            <w:tcW w:w="4400" w:type="pct"/>
            <w:shd w:val="clear" w:color="auto" w:fill="auto"/>
            <w:vAlign w:val="center"/>
          </w:tcPr>
          <w:p w14:paraId="0BC9A809" w14:textId="77777777" w:rsidR="009F0928" w:rsidRDefault="009F0928">
            <w:pPr>
              <w:rPr>
                <w:rFonts w:ascii="Times New Roman" w:hAnsi="Times New Roman"/>
                <w:sz w:val="20"/>
                <w:szCs w:val="20"/>
              </w:rPr>
            </w:pPr>
          </w:p>
        </w:tc>
        <w:tc>
          <w:tcPr>
            <w:tcW w:w="50" w:type="pct"/>
            <w:shd w:val="clear" w:color="auto" w:fill="auto"/>
            <w:vAlign w:val="center"/>
          </w:tcPr>
          <w:p w14:paraId="0BC9A80A" w14:textId="77777777" w:rsidR="009F0928" w:rsidRDefault="009F0928">
            <w:pPr>
              <w:rPr>
                <w:rFonts w:ascii="Times New Roman" w:hAnsi="Times New Roman"/>
                <w:sz w:val="20"/>
                <w:szCs w:val="20"/>
              </w:rPr>
            </w:pPr>
          </w:p>
        </w:tc>
        <w:tc>
          <w:tcPr>
            <w:tcW w:w="500" w:type="pct"/>
            <w:shd w:val="clear" w:color="auto" w:fill="auto"/>
            <w:vAlign w:val="center"/>
          </w:tcPr>
          <w:p w14:paraId="0BC9A80B" w14:textId="77777777" w:rsidR="009F0928" w:rsidRDefault="009F0928">
            <w:pPr>
              <w:rPr>
                <w:rFonts w:ascii="Times New Roman" w:hAnsi="Times New Roman"/>
                <w:sz w:val="20"/>
                <w:szCs w:val="20"/>
              </w:rPr>
            </w:pPr>
          </w:p>
        </w:tc>
        <w:tc>
          <w:tcPr>
            <w:tcW w:w="50" w:type="pct"/>
            <w:shd w:val="clear" w:color="auto" w:fill="auto"/>
            <w:vAlign w:val="center"/>
          </w:tcPr>
          <w:p w14:paraId="0BC9A80C" w14:textId="77777777" w:rsidR="009F0928" w:rsidRDefault="009F0928">
            <w:pPr>
              <w:rPr>
                <w:rFonts w:ascii="Times New Roman" w:hAnsi="Times New Roman"/>
                <w:sz w:val="20"/>
                <w:szCs w:val="20"/>
              </w:rPr>
            </w:pPr>
          </w:p>
        </w:tc>
      </w:tr>
      <w:tr w:rsidR="009F0928" w14:paraId="0BC9A810" w14:textId="77777777">
        <w:tc>
          <w:tcPr>
            <w:tcW w:w="0" w:type="auto"/>
            <w:shd w:val="clear" w:color="auto" w:fill="auto"/>
            <w:tcMar>
              <w:top w:w="40" w:type="dxa"/>
              <w:left w:w="40" w:type="dxa"/>
              <w:bottom w:w="40" w:type="dxa"/>
              <w:right w:w="40" w:type="dxa"/>
            </w:tcMar>
            <w:vAlign w:val="bottom"/>
          </w:tcPr>
          <w:p w14:paraId="0BC9A80E" w14:textId="77777777" w:rsidR="009F0928" w:rsidRDefault="002112BD">
            <w:pPr>
              <w:textAlignment w:val="bottom"/>
              <w:rPr>
                <w:rFonts w:ascii="Times New Roman" w:hAnsi="Times New Roman"/>
                <w:sz w:val="16"/>
                <w:szCs w:val="16"/>
              </w:rPr>
            </w:pPr>
            <w:r>
              <w:rPr>
                <w:rFonts w:ascii="Arial" w:eastAsia="宋体" w:hAnsi="Arial" w:cs="Arial"/>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80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Employee Severance and </w:t>
            </w:r>
            <w:r>
              <w:rPr>
                <w:rFonts w:ascii="Arial" w:eastAsia="宋体" w:hAnsi="Arial" w:cs="Arial"/>
                <w:b/>
                <w:bCs/>
                <w:sz w:val="16"/>
                <w:szCs w:val="16"/>
              </w:rPr>
              <w:t>Benefits</w:t>
            </w:r>
          </w:p>
        </w:tc>
      </w:tr>
      <w:tr w:rsidR="009F0928" w14:paraId="0BC9A815" w14:textId="77777777">
        <w:tc>
          <w:tcPr>
            <w:tcW w:w="0" w:type="auto"/>
            <w:shd w:val="clear" w:color="auto" w:fill="E2E2E2"/>
            <w:tcMar>
              <w:top w:w="40" w:type="dxa"/>
              <w:left w:w="40" w:type="dxa"/>
              <w:bottom w:w="40" w:type="dxa"/>
              <w:right w:w="40" w:type="dxa"/>
            </w:tcMar>
            <w:vAlign w:val="bottom"/>
          </w:tcPr>
          <w:p w14:paraId="0BC9A811" w14:textId="77777777" w:rsidR="009F0928" w:rsidRDefault="002112BD">
            <w:pPr>
              <w:textAlignment w:val="bottom"/>
              <w:rPr>
                <w:rFonts w:ascii="Times New Roman" w:hAnsi="Times New Roman"/>
                <w:sz w:val="18"/>
                <w:szCs w:val="18"/>
              </w:rPr>
            </w:pPr>
            <w:r>
              <w:rPr>
                <w:rFonts w:ascii="Arial" w:eastAsia="宋体" w:hAnsi="Arial" w:cs="Arial"/>
                <w:sz w:val="18"/>
                <w:szCs w:val="18"/>
              </w:rPr>
              <w:t>Accrued liability as of January 1, 2019</w:t>
            </w:r>
          </w:p>
        </w:tc>
        <w:tc>
          <w:tcPr>
            <w:tcW w:w="0" w:type="auto"/>
            <w:shd w:val="clear" w:color="auto" w:fill="E2E2E2"/>
            <w:tcMar>
              <w:top w:w="40" w:type="dxa"/>
              <w:left w:w="40" w:type="dxa"/>
              <w:bottom w:w="40" w:type="dxa"/>
            </w:tcMar>
            <w:vAlign w:val="bottom"/>
          </w:tcPr>
          <w:p w14:paraId="0BC9A81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81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w:t>
            </w:r>
          </w:p>
        </w:tc>
        <w:tc>
          <w:tcPr>
            <w:tcW w:w="0" w:type="auto"/>
            <w:shd w:val="clear" w:color="auto" w:fill="E2E2E2"/>
            <w:vAlign w:val="bottom"/>
          </w:tcPr>
          <w:p w14:paraId="0BC9A814" w14:textId="77777777" w:rsidR="009F0928" w:rsidRDefault="009F0928">
            <w:pPr>
              <w:textAlignment w:val="bottom"/>
              <w:rPr>
                <w:rFonts w:ascii="Times New Roman" w:hAnsi="Times New Roman"/>
                <w:sz w:val="20"/>
                <w:szCs w:val="20"/>
              </w:rPr>
            </w:pPr>
          </w:p>
        </w:tc>
      </w:tr>
      <w:tr w:rsidR="009F0928" w14:paraId="0BC9A819" w14:textId="77777777">
        <w:tc>
          <w:tcPr>
            <w:tcW w:w="0" w:type="auto"/>
            <w:shd w:val="clear" w:color="auto" w:fill="auto"/>
            <w:tcMar>
              <w:top w:w="40" w:type="dxa"/>
              <w:left w:w="40" w:type="dxa"/>
              <w:bottom w:w="40" w:type="dxa"/>
              <w:right w:w="40" w:type="dxa"/>
            </w:tcMar>
            <w:vAlign w:val="bottom"/>
          </w:tcPr>
          <w:p w14:paraId="0BC9A816" w14:textId="77777777" w:rsidR="009F0928" w:rsidRDefault="002112BD">
            <w:pPr>
              <w:textAlignment w:val="bottom"/>
              <w:rPr>
                <w:rFonts w:ascii="Times New Roman" w:hAnsi="Times New Roman"/>
                <w:sz w:val="18"/>
                <w:szCs w:val="18"/>
              </w:rPr>
            </w:pPr>
            <w:r>
              <w:rPr>
                <w:rFonts w:ascii="Arial" w:eastAsia="宋体" w:hAnsi="Arial" w:cs="Arial"/>
                <w:sz w:val="18"/>
                <w:szCs w:val="18"/>
              </w:rPr>
              <w:t>Charges</w:t>
            </w:r>
          </w:p>
        </w:tc>
        <w:tc>
          <w:tcPr>
            <w:tcW w:w="0" w:type="auto"/>
            <w:gridSpan w:val="2"/>
            <w:shd w:val="clear" w:color="auto" w:fill="auto"/>
            <w:tcMar>
              <w:top w:w="40" w:type="dxa"/>
              <w:left w:w="40" w:type="dxa"/>
              <w:bottom w:w="40" w:type="dxa"/>
            </w:tcMar>
            <w:vAlign w:val="bottom"/>
          </w:tcPr>
          <w:p w14:paraId="0BC9A81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77</w:t>
            </w:r>
          </w:p>
        </w:tc>
        <w:tc>
          <w:tcPr>
            <w:tcW w:w="0" w:type="auto"/>
            <w:shd w:val="clear" w:color="auto" w:fill="auto"/>
            <w:vAlign w:val="bottom"/>
          </w:tcPr>
          <w:p w14:paraId="0BC9A818" w14:textId="77777777" w:rsidR="009F0928" w:rsidRDefault="009F0928">
            <w:pPr>
              <w:textAlignment w:val="bottom"/>
              <w:rPr>
                <w:rFonts w:ascii="Times New Roman" w:hAnsi="Times New Roman"/>
                <w:sz w:val="20"/>
                <w:szCs w:val="20"/>
              </w:rPr>
            </w:pPr>
          </w:p>
        </w:tc>
      </w:tr>
      <w:tr w:rsidR="009F0928" w14:paraId="0BC9A81D" w14:textId="77777777">
        <w:tc>
          <w:tcPr>
            <w:tcW w:w="0" w:type="auto"/>
            <w:shd w:val="clear" w:color="auto" w:fill="E2E2E2"/>
            <w:tcMar>
              <w:top w:w="40" w:type="dxa"/>
              <w:left w:w="40" w:type="dxa"/>
              <w:bottom w:w="40" w:type="dxa"/>
              <w:right w:w="40" w:type="dxa"/>
            </w:tcMar>
            <w:vAlign w:val="bottom"/>
          </w:tcPr>
          <w:p w14:paraId="0BC9A81A" w14:textId="77777777" w:rsidR="009F0928" w:rsidRDefault="002112BD">
            <w:pPr>
              <w:textAlignment w:val="bottom"/>
              <w:rPr>
                <w:rFonts w:ascii="Times New Roman" w:hAnsi="Times New Roman"/>
                <w:sz w:val="18"/>
                <w:szCs w:val="18"/>
              </w:rPr>
            </w:pPr>
            <w:r>
              <w:rPr>
                <w:rFonts w:ascii="Arial" w:eastAsia="宋体" w:hAnsi="Arial" w:cs="Arial"/>
                <w:sz w:val="18"/>
                <w:szCs w:val="18"/>
              </w:rPr>
              <w:t>Payments</w:t>
            </w:r>
          </w:p>
        </w:tc>
        <w:tc>
          <w:tcPr>
            <w:tcW w:w="0" w:type="auto"/>
            <w:gridSpan w:val="2"/>
            <w:shd w:val="clear" w:color="auto" w:fill="E2E2E2"/>
            <w:tcMar>
              <w:top w:w="40" w:type="dxa"/>
              <w:left w:w="40" w:type="dxa"/>
              <w:bottom w:w="40" w:type="dxa"/>
            </w:tcMar>
            <w:vAlign w:val="bottom"/>
          </w:tcPr>
          <w:p w14:paraId="0BC9A81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(49</w:t>
            </w:r>
          </w:p>
        </w:tc>
        <w:tc>
          <w:tcPr>
            <w:tcW w:w="0" w:type="auto"/>
            <w:shd w:val="clear" w:color="auto" w:fill="E2E2E2"/>
            <w:tcMar>
              <w:top w:w="40" w:type="dxa"/>
              <w:bottom w:w="40" w:type="dxa"/>
              <w:right w:w="40" w:type="dxa"/>
            </w:tcMar>
            <w:vAlign w:val="bottom"/>
          </w:tcPr>
          <w:p w14:paraId="0BC9A81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822" w14:textId="77777777">
        <w:tc>
          <w:tcPr>
            <w:tcW w:w="0" w:type="auto"/>
            <w:shd w:val="clear" w:color="auto" w:fill="auto"/>
            <w:tcMar>
              <w:top w:w="40" w:type="dxa"/>
              <w:left w:w="40" w:type="dxa"/>
              <w:bottom w:w="40" w:type="dxa"/>
              <w:right w:w="40" w:type="dxa"/>
            </w:tcMar>
            <w:vAlign w:val="bottom"/>
          </w:tcPr>
          <w:p w14:paraId="0BC9A81E" w14:textId="77777777" w:rsidR="009F0928" w:rsidRDefault="002112BD">
            <w:pPr>
              <w:textAlignment w:val="bottom"/>
              <w:rPr>
                <w:rFonts w:ascii="Times New Roman" w:hAnsi="Times New Roman"/>
                <w:sz w:val="18"/>
                <w:szCs w:val="18"/>
              </w:rPr>
            </w:pPr>
            <w:r>
              <w:rPr>
                <w:rFonts w:ascii="Arial" w:eastAsia="宋体" w:hAnsi="Arial" w:cs="Arial"/>
                <w:sz w:val="18"/>
                <w:szCs w:val="18"/>
              </w:rPr>
              <w:t>Accrued liability as of December 31,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81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82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36</w:t>
            </w:r>
          </w:p>
        </w:tc>
        <w:tc>
          <w:tcPr>
            <w:tcW w:w="0" w:type="auto"/>
            <w:tcBorders>
              <w:top w:val="single" w:sz="8" w:space="0" w:color="000000"/>
              <w:bottom w:val="double" w:sz="6" w:space="0" w:color="000000"/>
            </w:tcBorders>
            <w:shd w:val="clear" w:color="auto" w:fill="auto"/>
            <w:vAlign w:val="bottom"/>
          </w:tcPr>
          <w:p w14:paraId="0BC9A821" w14:textId="77777777" w:rsidR="009F0928" w:rsidRDefault="009F0928">
            <w:pPr>
              <w:textAlignment w:val="bottom"/>
              <w:rPr>
                <w:rFonts w:ascii="Times New Roman" w:hAnsi="Times New Roman"/>
                <w:sz w:val="20"/>
                <w:szCs w:val="20"/>
              </w:rPr>
            </w:pPr>
          </w:p>
        </w:tc>
      </w:tr>
    </w:tbl>
    <w:p w14:paraId="0BC9A823" w14:textId="77777777" w:rsidR="009F0928" w:rsidRDefault="009F0928">
      <w:pPr>
        <w:spacing w:line="288" w:lineRule="auto"/>
        <w:rPr>
          <w:rFonts w:ascii="Times New Roman" w:hAnsi="Times New Roman"/>
          <w:sz w:val="20"/>
          <w:szCs w:val="20"/>
        </w:rPr>
      </w:pPr>
    </w:p>
    <w:p w14:paraId="0BC9A824" w14:textId="77777777" w:rsidR="009F0928" w:rsidRDefault="009F0928">
      <w:pPr>
        <w:spacing w:line="288" w:lineRule="auto"/>
        <w:ind w:firstLine="720"/>
        <w:jc w:val="both"/>
        <w:rPr>
          <w:rFonts w:ascii="Times New Roman" w:hAnsi="Times New Roman"/>
          <w:sz w:val="20"/>
          <w:szCs w:val="20"/>
        </w:rPr>
      </w:pPr>
    </w:p>
    <w:p w14:paraId="0BC9A825"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During the first quarter of 2019, management approved a plan to drive operational improvement that included the reduction of workforce, primarily in our Marketplace segment. The reduction was substantially completed in the first quarter of 2019 and resulte</w:t>
      </w:r>
      <w:r>
        <w:rPr>
          <w:rFonts w:ascii="Arial" w:eastAsia="宋体" w:hAnsi="Arial" w:cs="Arial"/>
          <w:sz w:val="20"/>
          <w:szCs w:val="20"/>
        </w:rPr>
        <w:t>d in pre-tax restructuring charges of approximately $41 million. During the fourth quarter of 2019, management approved a plan to drive operational improvement that included the reduction of workforce, primarily in our Marketplace segment. We incurred a pr</w:t>
      </w:r>
      <w:r>
        <w:rPr>
          <w:rFonts w:ascii="Arial" w:eastAsia="宋体" w:hAnsi="Arial" w:cs="Arial"/>
          <w:sz w:val="20"/>
          <w:szCs w:val="20"/>
        </w:rPr>
        <w:t xml:space="preserve">e-tax charge of $36 million, which was primarily related to employee severance and benefits. </w:t>
      </w:r>
    </w:p>
    <w:p w14:paraId="0BC9A826" w14:textId="77777777" w:rsidR="009F0928" w:rsidRDefault="009F0928">
      <w:pPr>
        <w:spacing w:line="288" w:lineRule="auto"/>
        <w:ind w:firstLine="720"/>
        <w:jc w:val="both"/>
        <w:rPr>
          <w:rFonts w:ascii="Times New Roman" w:hAnsi="Times New Roman"/>
          <w:sz w:val="20"/>
          <w:szCs w:val="20"/>
        </w:rPr>
      </w:pPr>
    </w:p>
    <w:p w14:paraId="0BC9A827"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In June 2018, management approved a plan to implement a strategic reduction of our existing global workforce, primarily in our Marketplace segment. The reduction</w:t>
      </w:r>
      <w:r>
        <w:rPr>
          <w:rFonts w:ascii="Arial" w:eastAsia="宋体" w:hAnsi="Arial" w:cs="Arial"/>
          <w:sz w:val="20"/>
          <w:szCs w:val="20"/>
        </w:rPr>
        <w:t xml:space="preserve"> was substantially completed in the second quarter of 2018 and resulted in pre-tax restructuring charges of approximately $86 million. </w:t>
      </w:r>
    </w:p>
    <w:p w14:paraId="0BC9A828" w14:textId="77777777" w:rsidR="009F0928" w:rsidRDefault="009F0928">
      <w:pPr>
        <w:spacing w:line="288" w:lineRule="auto"/>
        <w:ind w:firstLine="720"/>
        <w:rPr>
          <w:rFonts w:ascii="Times New Roman" w:hAnsi="Times New Roman"/>
          <w:sz w:val="20"/>
          <w:szCs w:val="20"/>
        </w:rPr>
      </w:pPr>
    </w:p>
    <w:p w14:paraId="0BC9A829"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No restructuring charges were recognized in 2017.</w:t>
      </w:r>
    </w:p>
    <w:p w14:paraId="0BC9A82A" w14:textId="77777777" w:rsidR="009F0928" w:rsidRDefault="009F0928">
      <w:pPr>
        <w:spacing w:line="288" w:lineRule="auto"/>
        <w:ind w:firstLine="720"/>
        <w:jc w:val="both"/>
        <w:rPr>
          <w:rFonts w:ascii="Times New Roman" w:hAnsi="Times New Roman"/>
          <w:sz w:val="20"/>
          <w:szCs w:val="20"/>
        </w:rPr>
      </w:pPr>
    </w:p>
    <w:p w14:paraId="0BC9A82B"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 xml:space="preserve">The restructuring charges incurred in 2019 and 2018 were aggregated </w:t>
      </w:r>
      <w:r>
        <w:rPr>
          <w:rFonts w:ascii="Arial" w:eastAsia="宋体" w:hAnsi="Arial" w:cs="Arial"/>
          <w:sz w:val="20"/>
          <w:szCs w:val="20"/>
        </w:rPr>
        <w:t xml:space="preserve">in general and administrative expenses in the consolidated statement of income. </w:t>
      </w:r>
    </w:p>
    <w:p w14:paraId="0BC9A82C" w14:textId="77777777" w:rsidR="009F0928" w:rsidRDefault="009F0928">
      <w:pPr>
        <w:rPr>
          <w:rFonts w:ascii="Times New Roman" w:hAnsi="Times New Roman"/>
          <w:sz w:val="20"/>
          <w:szCs w:val="20"/>
        </w:rPr>
      </w:pPr>
    </w:p>
    <w:p w14:paraId="0BC9A82D"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F-44</w:t>
      </w:r>
    </w:p>
    <w:p w14:paraId="0BC9A82E" w14:textId="77777777" w:rsidR="009F0928" w:rsidRDefault="002112BD">
      <w:r>
        <w:rPr>
          <w:rFonts w:ascii="Times New Roman" w:hAnsi="Times New Roman"/>
          <w:sz w:val="18"/>
          <w:szCs w:val="18"/>
        </w:rPr>
        <w:pict w14:anchorId="0BC9B526">
          <v:rect id="_x0000_i1130" style="width:415.3pt;height:1.5pt" o:hralign="center" o:hrstd="t" o:hr="t" fillcolor="#a0a0a0" stroked="f"/>
        </w:pict>
      </w:r>
    </w:p>
    <w:p w14:paraId="0BC9A82F" w14:textId="77777777" w:rsidR="009F0928" w:rsidRDefault="009F0928">
      <w:pPr>
        <w:spacing w:line="288" w:lineRule="auto"/>
        <w:rPr>
          <w:rFonts w:ascii="Times New Roman" w:hAnsi="Times New Roman"/>
          <w:sz w:val="20"/>
          <w:szCs w:val="20"/>
        </w:rPr>
      </w:pPr>
    </w:p>
    <w:p w14:paraId="0BC9A830" w14:textId="77777777" w:rsidR="009F0928" w:rsidRDefault="009F0928">
      <w:pPr>
        <w:rPr>
          <w:rFonts w:ascii="Times New Roman" w:hAnsi="Times New Roman"/>
          <w:sz w:val="20"/>
          <w:szCs w:val="20"/>
        </w:rPr>
      </w:pPr>
    </w:p>
    <w:p w14:paraId="0BC9A831" w14:textId="77777777" w:rsidR="009F0928" w:rsidRDefault="002112BD">
      <w:pPr>
        <w:spacing w:line="288" w:lineRule="auto"/>
        <w:jc w:val="both"/>
        <w:rPr>
          <w:rFonts w:ascii="Times New Roman" w:hAnsi="Times New Roman"/>
          <w:sz w:val="20"/>
          <w:szCs w:val="20"/>
        </w:rPr>
      </w:pPr>
      <w:r>
        <w:rPr>
          <w:rFonts w:ascii="Arial" w:eastAsia="宋体" w:hAnsi="Arial" w:cs="Arial"/>
          <w:b/>
          <w:bCs/>
          <w:i/>
          <w:iCs/>
          <w:sz w:val="20"/>
          <w:szCs w:val="20"/>
        </w:rPr>
        <w:t xml:space="preserve">Supplementary Data — Quarterly Financial Data — Unaudited </w:t>
      </w:r>
    </w:p>
    <w:p w14:paraId="0BC9A832" w14:textId="77777777" w:rsidR="009F0928" w:rsidRDefault="002112BD">
      <w:pPr>
        <w:spacing w:line="288" w:lineRule="auto"/>
        <w:ind w:firstLine="720"/>
        <w:jc w:val="both"/>
        <w:rPr>
          <w:rFonts w:ascii="Times New Roman" w:hAnsi="Times New Roman"/>
          <w:sz w:val="20"/>
          <w:szCs w:val="20"/>
        </w:rPr>
      </w:pPr>
      <w:r>
        <w:rPr>
          <w:rFonts w:ascii="Arial" w:eastAsia="宋体" w:hAnsi="Arial" w:cs="Arial"/>
          <w:sz w:val="20"/>
          <w:szCs w:val="20"/>
        </w:rPr>
        <w:t>The following tables present certain unaudited consolidated quarterly financial information for each of the eight quarters in the two year period ended December 31, 2019. This quarterly information has been prepared on the same basis as the Consolidated Fi</w:t>
      </w:r>
      <w:r>
        <w:rPr>
          <w:rFonts w:ascii="Arial" w:eastAsia="宋体" w:hAnsi="Arial" w:cs="Arial"/>
          <w:sz w:val="20"/>
          <w:szCs w:val="20"/>
        </w:rPr>
        <w:t xml:space="preserve">nancial Statements and includes all adjustments necessary to state fairly the information for the periods presented. </w:t>
      </w:r>
    </w:p>
    <w:p w14:paraId="0BC9A833"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Quarterly Financial Data </w:t>
      </w:r>
    </w:p>
    <w:p w14:paraId="0BC9A834"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 xml:space="preserve">(Unaudited, in millions, except per share amounts) </w:t>
      </w:r>
    </w:p>
    <w:tbl>
      <w:tblPr>
        <w:tblW w:w="5000" w:type="pct"/>
        <w:jc w:val="center"/>
        <w:tblCellMar>
          <w:left w:w="0" w:type="dxa"/>
          <w:right w:w="0" w:type="dxa"/>
        </w:tblCellMar>
        <w:tblLook w:val="04A0" w:firstRow="1" w:lastRow="0" w:firstColumn="1" w:lastColumn="0" w:noHBand="0" w:noVBand="1"/>
      </w:tblPr>
      <w:tblGrid>
        <w:gridCol w:w="3580"/>
        <w:gridCol w:w="142"/>
        <w:gridCol w:w="756"/>
        <w:gridCol w:w="100"/>
        <w:gridCol w:w="130"/>
        <w:gridCol w:w="141"/>
        <w:gridCol w:w="758"/>
        <w:gridCol w:w="100"/>
        <w:gridCol w:w="130"/>
        <w:gridCol w:w="142"/>
        <w:gridCol w:w="957"/>
        <w:gridCol w:w="86"/>
        <w:gridCol w:w="130"/>
        <w:gridCol w:w="142"/>
        <w:gridCol w:w="912"/>
        <w:gridCol w:w="100"/>
      </w:tblGrid>
      <w:tr w:rsidR="009F0928" w14:paraId="0BC9A836" w14:textId="77777777">
        <w:trPr>
          <w:jc w:val="center"/>
        </w:trPr>
        <w:tc>
          <w:tcPr>
            <w:tcW w:w="0" w:type="auto"/>
            <w:gridSpan w:val="16"/>
            <w:shd w:val="clear" w:color="auto" w:fill="auto"/>
            <w:vAlign w:val="center"/>
          </w:tcPr>
          <w:p w14:paraId="0BC9A835" w14:textId="77777777" w:rsidR="009F0928" w:rsidRDefault="009F0928">
            <w:pPr>
              <w:rPr>
                <w:rFonts w:ascii="Times New Roman" w:hAnsi="Times New Roman"/>
                <w:sz w:val="20"/>
                <w:szCs w:val="20"/>
              </w:rPr>
            </w:pPr>
          </w:p>
        </w:tc>
      </w:tr>
      <w:tr w:rsidR="009F0928" w14:paraId="0BC9A847" w14:textId="77777777">
        <w:trPr>
          <w:jc w:val="center"/>
        </w:trPr>
        <w:tc>
          <w:tcPr>
            <w:tcW w:w="2250" w:type="pct"/>
            <w:shd w:val="clear" w:color="auto" w:fill="auto"/>
            <w:vAlign w:val="center"/>
          </w:tcPr>
          <w:p w14:paraId="0BC9A837" w14:textId="77777777" w:rsidR="009F0928" w:rsidRDefault="009F0928">
            <w:pPr>
              <w:rPr>
                <w:rFonts w:ascii="Times New Roman" w:hAnsi="Times New Roman"/>
                <w:sz w:val="20"/>
                <w:szCs w:val="20"/>
              </w:rPr>
            </w:pPr>
          </w:p>
        </w:tc>
        <w:tc>
          <w:tcPr>
            <w:tcW w:w="50" w:type="pct"/>
            <w:shd w:val="clear" w:color="auto" w:fill="auto"/>
            <w:vAlign w:val="center"/>
          </w:tcPr>
          <w:p w14:paraId="0BC9A838" w14:textId="77777777" w:rsidR="009F0928" w:rsidRDefault="009F0928">
            <w:pPr>
              <w:rPr>
                <w:rFonts w:ascii="Times New Roman" w:hAnsi="Times New Roman"/>
                <w:sz w:val="20"/>
                <w:szCs w:val="20"/>
              </w:rPr>
            </w:pPr>
          </w:p>
        </w:tc>
        <w:tc>
          <w:tcPr>
            <w:tcW w:w="550" w:type="pct"/>
            <w:shd w:val="clear" w:color="auto" w:fill="auto"/>
            <w:vAlign w:val="center"/>
          </w:tcPr>
          <w:p w14:paraId="0BC9A839" w14:textId="77777777" w:rsidR="009F0928" w:rsidRDefault="009F0928">
            <w:pPr>
              <w:rPr>
                <w:rFonts w:ascii="Times New Roman" w:hAnsi="Times New Roman"/>
                <w:sz w:val="20"/>
                <w:szCs w:val="20"/>
              </w:rPr>
            </w:pPr>
          </w:p>
        </w:tc>
        <w:tc>
          <w:tcPr>
            <w:tcW w:w="50" w:type="pct"/>
            <w:shd w:val="clear" w:color="auto" w:fill="auto"/>
            <w:vAlign w:val="center"/>
          </w:tcPr>
          <w:p w14:paraId="0BC9A83A" w14:textId="77777777" w:rsidR="009F0928" w:rsidRDefault="009F0928">
            <w:pPr>
              <w:rPr>
                <w:rFonts w:ascii="Times New Roman" w:hAnsi="Times New Roman"/>
                <w:sz w:val="20"/>
                <w:szCs w:val="20"/>
              </w:rPr>
            </w:pPr>
          </w:p>
        </w:tc>
        <w:tc>
          <w:tcPr>
            <w:tcW w:w="50" w:type="pct"/>
            <w:shd w:val="clear" w:color="auto" w:fill="auto"/>
            <w:vAlign w:val="center"/>
          </w:tcPr>
          <w:p w14:paraId="0BC9A83B" w14:textId="77777777" w:rsidR="009F0928" w:rsidRDefault="009F0928">
            <w:pPr>
              <w:rPr>
                <w:rFonts w:ascii="Times New Roman" w:hAnsi="Times New Roman"/>
                <w:sz w:val="20"/>
                <w:szCs w:val="20"/>
              </w:rPr>
            </w:pPr>
          </w:p>
        </w:tc>
        <w:tc>
          <w:tcPr>
            <w:tcW w:w="50" w:type="pct"/>
            <w:shd w:val="clear" w:color="auto" w:fill="auto"/>
            <w:vAlign w:val="center"/>
          </w:tcPr>
          <w:p w14:paraId="0BC9A83C" w14:textId="77777777" w:rsidR="009F0928" w:rsidRDefault="009F0928">
            <w:pPr>
              <w:rPr>
                <w:rFonts w:ascii="Times New Roman" w:hAnsi="Times New Roman"/>
                <w:sz w:val="20"/>
                <w:szCs w:val="20"/>
              </w:rPr>
            </w:pPr>
          </w:p>
        </w:tc>
        <w:tc>
          <w:tcPr>
            <w:tcW w:w="550" w:type="pct"/>
            <w:shd w:val="clear" w:color="auto" w:fill="auto"/>
            <w:vAlign w:val="center"/>
          </w:tcPr>
          <w:p w14:paraId="0BC9A83D" w14:textId="77777777" w:rsidR="009F0928" w:rsidRDefault="009F0928">
            <w:pPr>
              <w:rPr>
                <w:rFonts w:ascii="Times New Roman" w:hAnsi="Times New Roman"/>
                <w:sz w:val="20"/>
                <w:szCs w:val="20"/>
              </w:rPr>
            </w:pPr>
          </w:p>
        </w:tc>
        <w:tc>
          <w:tcPr>
            <w:tcW w:w="50" w:type="pct"/>
            <w:shd w:val="clear" w:color="auto" w:fill="auto"/>
            <w:vAlign w:val="center"/>
          </w:tcPr>
          <w:p w14:paraId="0BC9A83E" w14:textId="77777777" w:rsidR="009F0928" w:rsidRDefault="009F0928">
            <w:pPr>
              <w:rPr>
                <w:rFonts w:ascii="Times New Roman" w:hAnsi="Times New Roman"/>
                <w:sz w:val="20"/>
                <w:szCs w:val="20"/>
              </w:rPr>
            </w:pPr>
          </w:p>
        </w:tc>
        <w:tc>
          <w:tcPr>
            <w:tcW w:w="50" w:type="pct"/>
            <w:shd w:val="clear" w:color="auto" w:fill="auto"/>
            <w:vAlign w:val="center"/>
          </w:tcPr>
          <w:p w14:paraId="0BC9A83F" w14:textId="77777777" w:rsidR="009F0928" w:rsidRDefault="009F0928">
            <w:pPr>
              <w:rPr>
                <w:rFonts w:ascii="Times New Roman" w:hAnsi="Times New Roman"/>
                <w:sz w:val="20"/>
                <w:szCs w:val="20"/>
              </w:rPr>
            </w:pPr>
          </w:p>
        </w:tc>
        <w:tc>
          <w:tcPr>
            <w:tcW w:w="50" w:type="pct"/>
            <w:shd w:val="clear" w:color="auto" w:fill="auto"/>
            <w:vAlign w:val="center"/>
          </w:tcPr>
          <w:p w14:paraId="0BC9A840" w14:textId="77777777" w:rsidR="009F0928" w:rsidRDefault="009F0928">
            <w:pPr>
              <w:rPr>
                <w:rFonts w:ascii="Times New Roman" w:hAnsi="Times New Roman"/>
                <w:sz w:val="20"/>
                <w:szCs w:val="20"/>
              </w:rPr>
            </w:pPr>
          </w:p>
        </w:tc>
        <w:tc>
          <w:tcPr>
            <w:tcW w:w="550" w:type="pct"/>
            <w:shd w:val="clear" w:color="auto" w:fill="auto"/>
            <w:vAlign w:val="center"/>
          </w:tcPr>
          <w:p w14:paraId="0BC9A841" w14:textId="77777777" w:rsidR="009F0928" w:rsidRDefault="009F0928">
            <w:pPr>
              <w:rPr>
                <w:rFonts w:ascii="Times New Roman" w:hAnsi="Times New Roman"/>
                <w:sz w:val="20"/>
                <w:szCs w:val="20"/>
              </w:rPr>
            </w:pPr>
          </w:p>
        </w:tc>
        <w:tc>
          <w:tcPr>
            <w:tcW w:w="50" w:type="pct"/>
            <w:shd w:val="clear" w:color="auto" w:fill="auto"/>
            <w:vAlign w:val="center"/>
          </w:tcPr>
          <w:p w14:paraId="0BC9A842" w14:textId="77777777" w:rsidR="009F0928" w:rsidRDefault="009F0928">
            <w:pPr>
              <w:rPr>
                <w:rFonts w:ascii="Times New Roman" w:hAnsi="Times New Roman"/>
                <w:sz w:val="20"/>
                <w:szCs w:val="20"/>
              </w:rPr>
            </w:pPr>
          </w:p>
        </w:tc>
        <w:tc>
          <w:tcPr>
            <w:tcW w:w="50" w:type="pct"/>
            <w:shd w:val="clear" w:color="auto" w:fill="auto"/>
            <w:vAlign w:val="center"/>
          </w:tcPr>
          <w:p w14:paraId="0BC9A843" w14:textId="77777777" w:rsidR="009F0928" w:rsidRDefault="009F0928">
            <w:pPr>
              <w:rPr>
                <w:rFonts w:ascii="Times New Roman" w:hAnsi="Times New Roman"/>
                <w:sz w:val="20"/>
                <w:szCs w:val="20"/>
              </w:rPr>
            </w:pPr>
          </w:p>
        </w:tc>
        <w:tc>
          <w:tcPr>
            <w:tcW w:w="50" w:type="pct"/>
            <w:shd w:val="clear" w:color="auto" w:fill="auto"/>
            <w:vAlign w:val="center"/>
          </w:tcPr>
          <w:p w14:paraId="0BC9A844" w14:textId="77777777" w:rsidR="009F0928" w:rsidRDefault="009F0928">
            <w:pPr>
              <w:rPr>
                <w:rFonts w:ascii="Times New Roman" w:hAnsi="Times New Roman"/>
                <w:sz w:val="20"/>
                <w:szCs w:val="20"/>
              </w:rPr>
            </w:pPr>
          </w:p>
        </w:tc>
        <w:tc>
          <w:tcPr>
            <w:tcW w:w="550" w:type="pct"/>
            <w:shd w:val="clear" w:color="auto" w:fill="auto"/>
            <w:vAlign w:val="center"/>
          </w:tcPr>
          <w:p w14:paraId="0BC9A845" w14:textId="77777777" w:rsidR="009F0928" w:rsidRDefault="009F0928">
            <w:pPr>
              <w:rPr>
                <w:rFonts w:ascii="Times New Roman" w:hAnsi="Times New Roman"/>
                <w:sz w:val="20"/>
                <w:szCs w:val="20"/>
              </w:rPr>
            </w:pPr>
          </w:p>
        </w:tc>
        <w:tc>
          <w:tcPr>
            <w:tcW w:w="50" w:type="pct"/>
            <w:shd w:val="clear" w:color="auto" w:fill="auto"/>
            <w:vAlign w:val="center"/>
          </w:tcPr>
          <w:p w14:paraId="0BC9A846" w14:textId="77777777" w:rsidR="009F0928" w:rsidRDefault="009F0928">
            <w:pPr>
              <w:rPr>
                <w:rFonts w:ascii="Times New Roman" w:hAnsi="Times New Roman"/>
                <w:sz w:val="20"/>
                <w:szCs w:val="20"/>
              </w:rPr>
            </w:pPr>
          </w:p>
        </w:tc>
      </w:tr>
      <w:tr w:rsidR="009F0928" w14:paraId="0BC9A84A" w14:textId="77777777">
        <w:trPr>
          <w:jc w:val="center"/>
        </w:trPr>
        <w:tc>
          <w:tcPr>
            <w:tcW w:w="0" w:type="auto"/>
            <w:shd w:val="clear" w:color="auto" w:fill="auto"/>
            <w:tcMar>
              <w:top w:w="40" w:type="dxa"/>
              <w:left w:w="40" w:type="dxa"/>
              <w:bottom w:w="40" w:type="dxa"/>
              <w:right w:w="40" w:type="dxa"/>
            </w:tcMar>
            <w:vAlign w:val="bottom"/>
          </w:tcPr>
          <w:p w14:paraId="0BC9A84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shd w:val="clear" w:color="auto" w:fill="auto"/>
            <w:tcMar>
              <w:top w:w="40" w:type="dxa"/>
              <w:left w:w="40" w:type="dxa"/>
              <w:bottom w:w="40" w:type="dxa"/>
            </w:tcMar>
            <w:vAlign w:val="bottom"/>
          </w:tcPr>
          <w:p w14:paraId="0BC9A849"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Quarter Ended</w:t>
            </w:r>
          </w:p>
        </w:tc>
      </w:tr>
      <w:tr w:rsidR="009F0928" w14:paraId="0BC9A853" w14:textId="77777777">
        <w:trPr>
          <w:jc w:val="center"/>
        </w:trPr>
        <w:tc>
          <w:tcPr>
            <w:tcW w:w="0" w:type="auto"/>
            <w:shd w:val="clear" w:color="auto" w:fill="auto"/>
            <w:tcMar>
              <w:top w:w="40" w:type="dxa"/>
              <w:left w:w="40" w:type="dxa"/>
              <w:bottom w:w="40" w:type="dxa"/>
              <w:right w:w="40" w:type="dxa"/>
            </w:tcMar>
            <w:vAlign w:val="bottom"/>
          </w:tcPr>
          <w:p w14:paraId="0BC9A84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84C"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March 31</w:t>
            </w:r>
          </w:p>
        </w:tc>
        <w:tc>
          <w:tcPr>
            <w:tcW w:w="0" w:type="auto"/>
            <w:shd w:val="clear" w:color="auto" w:fill="auto"/>
            <w:tcMar>
              <w:top w:w="40" w:type="dxa"/>
              <w:left w:w="40" w:type="dxa"/>
              <w:bottom w:w="40" w:type="dxa"/>
              <w:right w:w="40" w:type="dxa"/>
            </w:tcMar>
            <w:vAlign w:val="bottom"/>
          </w:tcPr>
          <w:p w14:paraId="0BC9A84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84E"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June 30</w:t>
            </w:r>
          </w:p>
        </w:tc>
        <w:tc>
          <w:tcPr>
            <w:tcW w:w="0" w:type="auto"/>
            <w:shd w:val="clear" w:color="auto" w:fill="auto"/>
            <w:tcMar>
              <w:top w:w="40" w:type="dxa"/>
              <w:left w:w="40" w:type="dxa"/>
              <w:bottom w:w="40" w:type="dxa"/>
              <w:right w:w="40" w:type="dxa"/>
            </w:tcMar>
            <w:vAlign w:val="bottom"/>
          </w:tcPr>
          <w:p w14:paraId="0BC9A84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850"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September 30</w:t>
            </w:r>
          </w:p>
        </w:tc>
        <w:tc>
          <w:tcPr>
            <w:tcW w:w="0" w:type="auto"/>
            <w:shd w:val="clear" w:color="auto" w:fill="auto"/>
            <w:tcMar>
              <w:top w:w="40" w:type="dxa"/>
              <w:left w:w="40" w:type="dxa"/>
              <w:bottom w:w="40" w:type="dxa"/>
              <w:right w:w="40" w:type="dxa"/>
            </w:tcMar>
            <w:vAlign w:val="bottom"/>
          </w:tcPr>
          <w:p w14:paraId="0BC9A85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852"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w:t>
            </w:r>
          </w:p>
        </w:tc>
      </w:tr>
      <w:tr w:rsidR="009F0928" w14:paraId="0BC9A85C" w14:textId="77777777">
        <w:trPr>
          <w:jc w:val="center"/>
        </w:trPr>
        <w:tc>
          <w:tcPr>
            <w:tcW w:w="0" w:type="auto"/>
            <w:shd w:val="clear" w:color="auto" w:fill="E2E2E2"/>
            <w:tcMar>
              <w:top w:w="40" w:type="dxa"/>
              <w:left w:w="40" w:type="dxa"/>
              <w:bottom w:w="40" w:type="dxa"/>
              <w:right w:w="40" w:type="dxa"/>
            </w:tcMar>
            <w:vAlign w:val="bottom"/>
          </w:tcPr>
          <w:p w14:paraId="0BC9A854"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2019</w:t>
            </w:r>
          </w:p>
        </w:tc>
        <w:tc>
          <w:tcPr>
            <w:tcW w:w="0" w:type="auto"/>
            <w:gridSpan w:val="3"/>
            <w:shd w:val="clear" w:color="auto" w:fill="E2E2E2"/>
            <w:tcMar>
              <w:top w:w="40" w:type="dxa"/>
              <w:left w:w="40" w:type="dxa"/>
              <w:bottom w:w="40" w:type="dxa"/>
              <w:right w:w="40" w:type="dxa"/>
            </w:tcMar>
            <w:vAlign w:val="bottom"/>
          </w:tcPr>
          <w:p w14:paraId="0BC9A85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85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85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85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85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85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85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86D" w14:textId="77777777">
        <w:trPr>
          <w:jc w:val="center"/>
        </w:trPr>
        <w:tc>
          <w:tcPr>
            <w:tcW w:w="0" w:type="auto"/>
            <w:shd w:val="clear" w:color="auto" w:fill="auto"/>
            <w:tcMar>
              <w:top w:w="40" w:type="dxa"/>
              <w:left w:w="40" w:type="dxa"/>
              <w:bottom w:w="40" w:type="dxa"/>
              <w:right w:w="40" w:type="dxa"/>
            </w:tcMar>
            <w:vAlign w:val="bottom"/>
          </w:tcPr>
          <w:p w14:paraId="0BC9A85D" w14:textId="77777777" w:rsidR="009F0928" w:rsidRDefault="002112BD">
            <w:pPr>
              <w:textAlignment w:val="bottom"/>
              <w:rPr>
                <w:rFonts w:ascii="Times New Roman" w:hAnsi="Times New Roman"/>
                <w:sz w:val="18"/>
                <w:szCs w:val="18"/>
              </w:rPr>
            </w:pPr>
            <w:r>
              <w:rPr>
                <w:rFonts w:ascii="Arial" w:eastAsia="宋体" w:hAnsi="Arial" w:cs="Arial"/>
                <w:sz w:val="18"/>
                <w:szCs w:val="18"/>
              </w:rPr>
              <w:t>Net revenues</w:t>
            </w:r>
          </w:p>
        </w:tc>
        <w:tc>
          <w:tcPr>
            <w:tcW w:w="0" w:type="auto"/>
            <w:tcBorders>
              <w:bottom w:val="double" w:sz="6" w:space="0" w:color="000000"/>
            </w:tcBorders>
            <w:shd w:val="clear" w:color="auto" w:fill="auto"/>
            <w:tcMar>
              <w:top w:w="40" w:type="dxa"/>
              <w:left w:w="40" w:type="dxa"/>
              <w:bottom w:w="40" w:type="dxa"/>
            </w:tcMar>
            <w:vAlign w:val="bottom"/>
          </w:tcPr>
          <w:p w14:paraId="0BC9A85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85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2,643</w:t>
            </w:r>
          </w:p>
        </w:tc>
        <w:tc>
          <w:tcPr>
            <w:tcW w:w="0" w:type="auto"/>
            <w:tcBorders>
              <w:bottom w:val="double" w:sz="6" w:space="0" w:color="000000"/>
            </w:tcBorders>
            <w:shd w:val="clear" w:color="auto" w:fill="auto"/>
            <w:vAlign w:val="bottom"/>
          </w:tcPr>
          <w:p w14:paraId="0BC9A86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86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A86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86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2,687</w:t>
            </w:r>
          </w:p>
        </w:tc>
        <w:tc>
          <w:tcPr>
            <w:tcW w:w="0" w:type="auto"/>
            <w:tcBorders>
              <w:bottom w:val="double" w:sz="6" w:space="0" w:color="000000"/>
            </w:tcBorders>
            <w:shd w:val="clear" w:color="auto" w:fill="auto"/>
            <w:vAlign w:val="bottom"/>
          </w:tcPr>
          <w:p w14:paraId="0BC9A86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8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A86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86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2,649</w:t>
            </w:r>
          </w:p>
        </w:tc>
        <w:tc>
          <w:tcPr>
            <w:tcW w:w="0" w:type="auto"/>
            <w:tcBorders>
              <w:bottom w:val="double" w:sz="6" w:space="0" w:color="000000"/>
            </w:tcBorders>
            <w:shd w:val="clear" w:color="auto" w:fill="auto"/>
            <w:vAlign w:val="bottom"/>
          </w:tcPr>
          <w:p w14:paraId="0BC9A86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86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A86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86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2,821</w:t>
            </w:r>
          </w:p>
        </w:tc>
        <w:tc>
          <w:tcPr>
            <w:tcW w:w="0" w:type="auto"/>
            <w:tcBorders>
              <w:bottom w:val="double" w:sz="6" w:space="0" w:color="000000"/>
            </w:tcBorders>
            <w:shd w:val="clear" w:color="auto" w:fill="auto"/>
            <w:vAlign w:val="bottom"/>
          </w:tcPr>
          <w:p w14:paraId="0BC9A86C" w14:textId="77777777" w:rsidR="009F0928" w:rsidRDefault="009F0928">
            <w:pPr>
              <w:textAlignment w:val="bottom"/>
              <w:rPr>
                <w:rFonts w:ascii="Times New Roman" w:hAnsi="Times New Roman"/>
                <w:sz w:val="20"/>
                <w:szCs w:val="20"/>
              </w:rPr>
            </w:pPr>
          </w:p>
        </w:tc>
      </w:tr>
      <w:tr w:rsidR="009F0928" w14:paraId="0BC9A87E" w14:textId="77777777">
        <w:trPr>
          <w:jc w:val="center"/>
        </w:trPr>
        <w:tc>
          <w:tcPr>
            <w:tcW w:w="0" w:type="auto"/>
            <w:shd w:val="clear" w:color="auto" w:fill="E2E2E2"/>
            <w:tcMar>
              <w:top w:w="40" w:type="dxa"/>
              <w:left w:w="40" w:type="dxa"/>
              <w:bottom w:w="40" w:type="dxa"/>
              <w:right w:w="40" w:type="dxa"/>
            </w:tcMar>
            <w:vAlign w:val="bottom"/>
          </w:tcPr>
          <w:p w14:paraId="0BC9A86E" w14:textId="77777777" w:rsidR="009F0928" w:rsidRDefault="002112BD">
            <w:pPr>
              <w:textAlignment w:val="bottom"/>
              <w:rPr>
                <w:rFonts w:ascii="Times New Roman" w:hAnsi="Times New Roman"/>
                <w:sz w:val="18"/>
                <w:szCs w:val="18"/>
              </w:rPr>
            </w:pPr>
            <w:r>
              <w:rPr>
                <w:rFonts w:ascii="Arial" w:eastAsia="宋体" w:hAnsi="Arial" w:cs="Arial"/>
                <w:sz w:val="18"/>
                <w:szCs w:val="18"/>
              </w:rPr>
              <w:t>Gross profi</w:t>
            </w:r>
            <w:r>
              <w:rPr>
                <w:rFonts w:ascii="Arial" w:eastAsia="宋体" w:hAnsi="Arial" w:cs="Arial"/>
                <w:sz w:val="18"/>
                <w:szCs w:val="18"/>
              </w:rPr>
              <w:t>t</w:t>
            </w:r>
          </w:p>
        </w:tc>
        <w:tc>
          <w:tcPr>
            <w:tcW w:w="0" w:type="auto"/>
            <w:tcBorders>
              <w:bottom w:val="double" w:sz="6" w:space="0" w:color="000000"/>
            </w:tcBorders>
            <w:shd w:val="clear" w:color="auto" w:fill="E2E2E2"/>
            <w:tcMar>
              <w:top w:w="40" w:type="dxa"/>
              <w:left w:w="40" w:type="dxa"/>
              <w:bottom w:w="40" w:type="dxa"/>
            </w:tcMar>
            <w:vAlign w:val="bottom"/>
          </w:tcPr>
          <w:p w14:paraId="0BC9A86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A87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2,042</w:t>
            </w:r>
          </w:p>
        </w:tc>
        <w:tc>
          <w:tcPr>
            <w:tcW w:w="0" w:type="auto"/>
            <w:tcBorders>
              <w:bottom w:val="double" w:sz="6" w:space="0" w:color="000000"/>
            </w:tcBorders>
            <w:shd w:val="clear" w:color="auto" w:fill="E2E2E2"/>
            <w:vAlign w:val="bottom"/>
          </w:tcPr>
          <w:p w14:paraId="0BC9A87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87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A87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A87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2,057</w:t>
            </w:r>
          </w:p>
        </w:tc>
        <w:tc>
          <w:tcPr>
            <w:tcW w:w="0" w:type="auto"/>
            <w:tcBorders>
              <w:bottom w:val="double" w:sz="6" w:space="0" w:color="000000"/>
            </w:tcBorders>
            <w:shd w:val="clear" w:color="auto" w:fill="E2E2E2"/>
            <w:vAlign w:val="bottom"/>
          </w:tcPr>
          <w:p w14:paraId="0BC9A87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87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A87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A87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2,022</w:t>
            </w:r>
          </w:p>
        </w:tc>
        <w:tc>
          <w:tcPr>
            <w:tcW w:w="0" w:type="auto"/>
            <w:tcBorders>
              <w:bottom w:val="double" w:sz="6" w:space="0" w:color="000000"/>
            </w:tcBorders>
            <w:shd w:val="clear" w:color="auto" w:fill="E2E2E2"/>
            <w:vAlign w:val="bottom"/>
          </w:tcPr>
          <w:p w14:paraId="0BC9A87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87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A87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A87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2,171</w:t>
            </w:r>
          </w:p>
        </w:tc>
        <w:tc>
          <w:tcPr>
            <w:tcW w:w="0" w:type="auto"/>
            <w:tcBorders>
              <w:bottom w:val="double" w:sz="6" w:space="0" w:color="000000"/>
            </w:tcBorders>
            <w:shd w:val="clear" w:color="auto" w:fill="E2E2E2"/>
            <w:vAlign w:val="bottom"/>
          </w:tcPr>
          <w:p w14:paraId="0BC9A87D" w14:textId="77777777" w:rsidR="009F0928" w:rsidRDefault="009F0928">
            <w:pPr>
              <w:textAlignment w:val="bottom"/>
              <w:rPr>
                <w:rFonts w:ascii="Times New Roman" w:hAnsi="Times New Roman"/>
                <w:sz w:val="20"/>
                <w:szCs w:val="20"/>
              </w:rPr>
            </w:pPr>
          </w:p>
        </w:tc>
      </w:tr>
      <w:tr w:rsidR="009F0928" w14:paraId="0BC9A88F" w14:textId="77777777">
        <w:trPr>
          <w:jc w:val="center"/>
        </w:trPr>
        <w:tc>
          <w:tcPr>
            <w:tcW w:w="0" w:type="auto"/>
            <w:shd w:val="clear" w:color="auto" w:fill="auto"/>
            <w:tcMar>
              <w:top w:w="40" w:type="dxa"/>
              <w:left w:w="40" w:type="dxa"/>
              <w:bottom w:w="40" w:type="dxa"/>
              <w:right w:w="40" w:type="dxa"/>
            </w:tcMar>
            <w:vAlign w:val="bottom"/>
          </w:tcPr>
          <w:p w14:paraId="0BC9A87F" w14:textId="77777777" w:rsidR="009F0928" w:rsidRDefault="002112BD">
            <w:pPr>
              <w:textAlignment w:val="bottom"/>
              <w:rPr>
                <w:rFonts w:ascii="Times New Roman" w:hAnsi="Times New Roman"/>
                <w:sz w:val="18"/>
                <w:szCs w:val="18"/>
              </w:rPr>
            </w:pPr>
            <w:r>
              <w:rPr>
                <w:rFonts w:ascii="Arial" w:eastAsia="宋体" w:hAnsi="Arial" w:cs="Arial"/>
                <w:sz w:val="18"/>
                <w:szCs w:val="18"/>
              </w:rPr>
              <w:t>Income from continuing operations</w:t>
            </w:r>
          </w:p>
        </w:tc>
        <w:tc>
          <w:tcPr>
            <w:tcW w:w="0" w:type="auto"/>
            <w:tcBorders>
              <w:bottom w:val="double" w:sz="6" w:space="0" w:color="000000"/>
            </w:tcBorders>
            <w:shd w:val="clear" w:color="auto" w:fill="auto"/>
            <w:tcMar>
              <w:top w:w="40" w:type="dxa"/>
              <w:left w:w="40" w:type="dxa"/>
              <w:bottom w:w="40" w:type="dxa"/>
            </w:tcMar>
            <w:vAlign w:val="bottom"/>
          </w:tcPr>
          <w:p w14:paraId="0BC9A88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88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521</w:t>
            </w:r>
          </w:p>
        </w:tc>
        <w:tc>
          <w:tcPr>
            <w:tcW w:w="0" w:type="auto"/>
            <w:tcBorders>
              <w:bottom w:val="double" w:sz="6" w:space="0" w:color="000000"/>
            </w:tcBorders>
            <w:shd w:val="clear" w:color="auto" w:fill="auto"/>
            <w:vAlign w:val="bottom"/>
          </w:tcPr>
          <w:p w14:paraId="0BC9A88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88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A88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88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403</w:t>
            </w:r>
          </w:p>
        </w:tc>
        <w:tc>
          <w:tcPr>
            <w:tcW w:w="0" w:type="auto"/>
            <w:tcBorders>
              <w:bottom w:val="double" w:sz="6" w:space="0" w:color="000000"/>
            </w:tcBorders>
            <w:shd w:val="clear" w:color="auto" w:fill="auto"/>
            <w:vAlign w:val="bottom"/>
          </w:tcPr>
          <w:p w14:paraId="0BC9A88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88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A88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88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310</w:t>
            </w:r>
          </w:p>
        </w:tc>
        <w:tc>
          <w:tcPr>
            <w:tcW w:w="0" w:type="auto"/>
            <w:tcBorders>
              <w:bottom w:val="double" w:sz="6" w:space="0" w:color="000000"/>
            </w:tcBorders>
            <w:shd w:val="clear" w:color="auto" w:fill="auto"/>
            <w:vAlign w:val="bottom"/>
          </w:tcPr>
          <w:p w14:paraId="0BC9A88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88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A88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88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558</w:t>
            </w:r>
          </w:p>
        </w:tc>
        <w:tc>
          <w:tcPr>
            <w:tcW w:w="0" w:type="auto"/>
            <w:tcBorders>
              <w:bottom w:val="double" w:sz="6" w:space="0" w:color="000000"/>
            </w:tcBorders>
            <w:shd w:val="clear" w:color="auto" w:fill="auto"/>
            <w:vAlign w:val="bottom"/>
          </w:tcPr>
          <w:p w14:paraId="0BC9A88E" w14:textId="77777777" w:rsidR="009F0928" w:rsidRDefault="009F0928">
            <w:pPr>
              <w:textAlignment w:val="bottom"/>
              <w:rPr>
                <w:rFonts w:ascii="Times New Roman" w:hAnsi="Times New Roman"/>
                <w:sz w:val="20"/>
                <w:szCs w:val="20"/>
              </w:rPr>
            </w:pPr>
          </w:p>
        </w:tc>
      </w:tr>
      <w:tr w:rsidR="009F0928" w14:paraId="0BC9A89C" w14:textId="77777777">
        <w:trPr>
          <w:jc w:val="center"/>
        </w:trPr>
        <w:tc>
          <w:tcPr>
            <w:tcW w:w="0" w:type="auto"/>
            <w:shd w:val="clear" w:color="auto" w:fill="E2E2E2"/>
            <w:tcMar>
              <w:top w:w="40" w:type="dxa"/>
              <w:left w:w="40" w:type="dxa"/>
              <w:bottom w:w="40" w:type="dxa"/>
              <w:right w:w="40" w:type="dxa"/>
            </w:tcMar>
            <w:vAlign w:val="bottom"/>
          </w:tcPr>
          <w:p w14:paraId="0BC9A890" w14:textId="77777777" w:rsidR="009F0928" w:rsidRDefault="002112BD">
            <w:pPr>
              <w:ind w:hanging="240"/>
              <w:textAlignment w:val="bottom"/>
              <w:rPr>
                <w:rFonts w:ascii="Times New Roman" w:hAnsi="Times New Roman"/>
                <w:sz w:val="18"/>
                <w:szCs w:val="18"/>
              </w:rPr>
            </w:pPr>
            <w:r>
              <w:rPr>
                <w:rFonts w:ascii="Arial" w:eastAsia="宋体" w:hAnsi="Arial" w:cs="Arial"/>
                <w:sz w:val="18"/>
                <w:szCs w:val="18"/>
              </w:rPr>
              <w:t xml:space="preserve">Income </w:t>
            </w:r>
            <w:r>
              <w:rPr>
                <w:rFonts w:ascii="Arial" w:eastAsia="宋体" w:hAnsi="Arial" w:cs="Arial"/>
                <w:sz w:val="18"/>
                <w:szCs w:val="18"/>
              </w:rPr>
              <w:t>(loss) from discontinued operations, net of income taxes</w:t>
            </w:r>
          </w:p>
        </w:tc>
        <w:tc>
          <w:tcPr>
            <w:tcW w:w="0" w:type="auto"/>
            <w:gridSpan w:val="2"/>
            <w:tcBorders>
              <w:top w:val="double" w:sz="6" w:space="0" w:color="000000"/>
              <w:bottom w:val="double" w:sz="6" w:space="0" w:color="000000"/>
            </w:tcBorders>
            <w:shd w:val="clear" w:color="auto" w:fill="E2E2E2"/>
            <w:tcMar>
              <w:top w:w="40" w:type="dxa"/>
              <w:left w:w="40" w:type="dxa"/>
              <w:bottom w:w="40" w:type="dxa"/>
            </w:tcMar>
            <w:vAlign w:val="bottom"/>
          </w:tcPr>
          <w:p w14:paraId="0BC9A89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w:t>
            </w:r>
          </w:p>
        </w:tc>
        <w:tc>
          <w:tcPr>
            <w:tcW w:w="0" w:type="auto"/>
            <w:tcBorders>
              <w:top w:val="double" w:sz="6" w:space="0" w:color="000000"/>
              <w:bottom w:val="double" w:sz="6" w:space="0" w:color="000000"/>
            </w:tcBorders>
            <w:shd w:val="clear" w:color="auto" w:fill="E2E2E2"/>
            <w:tcMar>
              <w:top w:w="40" w:type="dxa"/>
              <w:bottom w:w="40" w:type="dxa"/>
              <w:right w:w="40" w:type="dxa"/>
            </w:tcMar>
            <w:vAlign w:val="bottom"/>
          </w:tcPr>
          <w:p w14:paraId="0BC9A89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8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E2E2E2"/>
            <w:tcMar>
              <w:top w:w="40" w:type="dxa"/>
              <w:left w:w="40" w:type="dxa"/>
              <w:bottom w:w="40" w:type="dxa"/>
            </w:tcMar>
            <w:vAlign w:val="bottom"/>
          </w:tcPr>
          <w:p w14:paraId="0BC9A89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w:t>
            </w:r>
          </w:p>
        </w:tc>
        <w:tc>
          <w:tcPr>
            <w:tcW w:w="0" w:type="auto"/>
            <w:tcBorders>
              <w:top w:val="double" w:sz="6" w:space="0" w:color="000000"/>
              <w:bottom w:val="double" w:sz="6" w:space="0" w:color="000000"/>
            </w:tcBorders>
            <w:shd w:val="clear" w:color="auto" w:fill="E2E2E2"/>
            <w:tcMar>
              <w:top w:w="40" w:type="dxa"/>
              <w:bottom w:w="40" w:type="dxa"/>
              <w:right w:w="40" w:type="dxa"/>
            </w:tcMar>
            <w:vAlign w:val="bottom"/>
          </w:tcPr>
          <w:p w14:paraId="0BC9A89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89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E2E2E2"/>
            <w:tcMar>
              <w:top w:w="40" w:type="dxa"/>
              <w:left w:w="40" w:type="dxa"/>
              <w:bottom w:w="40" w:type="dxa"/>
            </w:tcMar>
            <w:vAlign w:val="bottom"/>
          </w:tcPr>
          <w:p w14:paraId="0BC9A89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top w:val="double" w:sz="6" w:space="0" w:color="000000"/>
              <w:bottom w:val="double" w:sz="6" w:space="0" w:color="000000"/>
            </w:tcBorders>
            <w:shd w:val="clear" w:color="auto" w:fill="E2E2E2"/>
            <w:vAlign w:val="bottom"/>
          </w:tcPr>
          <w:p w14:paraId="0BC9A89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89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E2E2E2"/>
            <w:tcMar>
              <w:top w:w="40" w:type="dxa"/>
              <w:left w:w="40" w:type="dxa"/>
              <w:bottom w:w="40" w:type="dxa"/>
            </w:tcMar>
            <w:vAlign w:val="bottom"/>
          </w:tcPr>
          <w:p w14:paraId="0BC9A89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w:t>
            </w:r>
          </w:p>
        </w:tc>
        <w:tc>
          <w:tcPr>
            <w:tcW w:w="0" w:type="auto"/>
            <w:tcBorders>
              <w:top w:val="double" w:sz="6" w:space="0" w:color="000000"/>
              <w:bottom w:val="double" w:sz="6" w:space="0" w:color="000000"/>
            </w:tcBorders>
            <w:shd w:val="clear" w:color="auto" w:fill="E2E2E2"/>
            <w:tcMar>
              <w:top w:w="40" w:type="dxa"/>
              <w:bottom w:w="40" w:type="dxa"/>
              <w:right w:w="40" w:type="dxa"/>
            </w:tcMar>
            <w:vAlign w:val="bottom"/>
          </w:tcPr>
          <w:p w14:paraId="0BC9A89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8AD" w14:textId="77777777">
        <w:trPr>
          <w:jc w:val="center"/>
        </w:trPr>
        <w:tc>
          <w:tcPr>
            <w:tcW w:w="0" w:type="auto"/>
            <w:shd w:val="clear" w:color="auto" w:fill="auto"/>
            <w:tcMar>
              <w:top w:w="40" w:type="dxa"/>
              <w:left w:w="40" w:type="dxa"/>
              <w:bottom w:w="40" w:type="dxa"/>
              <w:right w:w="40" w:type="dxa"/>
            </w:tcMar>
            <w:vAlign w:val="bottom"/>
          </w:tcPr>
          <w:p w14:paraId="0BC9A89D" w14:textId="77777777" w:rsidR="009F0928" w:rsidRDefault="002112BD">
            <w:pPr>
              <w:textAlignment w:val="bottom"/>
              <w:rPr>
                <w:rFonts w:ascii="Times New Roman" w:hAnsi="Times New Roman"/>
                <w:sz w:val="18"/>
                <w:szCs w:val="18"/>
              </w:rPr>
            </w:pPr>
            <w:r>
              <w:rPr>
                <w:rFonts w:ascii="Arial" w:eastAsia="宋体" w:hAnsi="Arial" w:cs="Arial"/>
                <w:sz w:val="18"/>
                <w:szCs w:val="18"/>
              </w:rPr>
              <w:t>Net income (loss)</w:t>
            </w:r>
          </w:p>
        </w:tc>
        <w:tc>
          <w:tcPr>
            <w:tcW w:w="0" w:type="auto"/>
            <w:tcBorders>
              <w:bottom w:val="double" w:sz="6" w:space="0" w:color="000000"/>
            </w:tcBorders>
            <w:shd w:val="clear" w:color="auto" w:fill="auto"/>
            <w:tcMar>
              <w:top w:w="40" w:type="dxa"/>
              <w:left w:w="40" w:type="dxa"/>
              <w:bottom w:w="40" w:type="dxa"/>
            </w:tcMar>
            <w:vAlign w:val="bottom"/>
          </w:tcPr>
          <w:p w14:paraId="0BC9A89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89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518</w:t>
            </w:r>
          </w:p>
        </w:tc>
        <w:tc>
          <w:tcPr>
            <w:tcW w:w="0" w:type="auto"/>
            <w:tcBorders>
              <w:bottom w:val="double" w:sz="6" w:space="0" w:color="000000"/>
            </w:tcBorders>
            <w:shd w:val="clear" w:color="auto" w:fill="auto"/>
            <w:vAlign w:val="bottom"/>
          </w:tcPr>
          <w:p w14:paraId="0BC9A8A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8A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0BC9A8A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0BC9A8A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402</w:t>
            </w:r>
          </w:p>
        </w:tc>
        <w:tc>
          <w:tcPr>
            <w:tcW w:w="0" w:type="auto"/>
            <w:tcBorders>
              <w:top w:val="double" w:sz="6" w:space="0" w:color="000000"/>
              <w:bottom w:val="double" w:sz="6" w:space="0" w:color="000000"/>
            </w:tcBorders>
            <w:shd w:val="clear" w:color="auto" w:fill="auto"/>
            <w:vAlign w:val="bottom"/>
          </w:tcPr>
          <w:p w14:paraId="0BC9A8A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8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0BC9A8A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0BC9A8A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310</w:t>
            </w:r>
          </w:p>
        </w:tc>
        <w:tc>
          <w:tcPr>
            <w:tcW w:w="0" w:type="auto"/>
            <w:tcBorders>
              <w:top w:val="double" w:sz="6" w:space="0" w:color="000000"/>
              <w:bottom w:val="double" w:sz="6" w:space="0" w:color="000000"/>
            </w:tcBorders>
            <w:shd w:val="clear" w:color="auto" w:fill="auto"/>
            <w:vAlign w:val="bottom"/>
          </w:tcPr>
          <w:p w14:paraId="0BC9A8A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8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0BC9A8A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0BC9A8A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556</w:t>
            </w:r>
          </w:p>
        </w:tc>
        <w:tc>
          <w:tcPr>
            <w:tcW w:w="0" w:type="auto"/>
            <w:tcBorders>
              <w:top w:val="double" w:sz="6" w:space="0" w:color="000000"/>
              <w:bottom w:val="double" w:sz="6" w:space="0" w:color="000000"/>
            </w:tcBorders>
            <w:shd w:val="clear" w:color="auto" w:fill="auto"/>
            <w:vAlign w:val="bottom"/>
          </w:tcPr>
          <w:p w14:paraId="0BC9A8AC" w14:textId="77777777" w:rsidR="009F0928" w:rsidRDefault="009F0928">
            <w:pPr>
              <w:textAlignment w:val="bottom"/>
              <w:rPr>
                <w:rFonts w:ascii="Times New Roman" w:hAnsi="Times New Roman"/>
                <w:sz w:val="20"/>
                <w:szCs w:val="20"/>
              </w:rPr>
            </w:pPr>
          </w:p>
        </w:tc>
      </w:tr>
      <w:tr w:rsidR="009F0928" w14:paraId="0BC9A8B6" w14:textId="77777777">
        <w:trPr>
          <w:jc w:val="center"/>
        </w:trPr>
        <w:tc>
          <w:tcPr>
            <w:tcW w:w="0" w:type="auto"/>
            <w:shd w:val="clear" w:color="auto" w:fill="E2E2E2"/>
            <w:tcMar>
              <w:top w:w="40" w:type="dxa"/>
              <w:left w:w="40" w:type="dxa"/>
              <w:bottom w:w="40" w:type="dxa"/>
              <w:right w:w="40" w:type="dxa"/>
            </w:tcMar>
            <w:vAlign w:val="bottom"/>
          </w:tcPr>
          <w:p w14:paraId="0BC9A8AE" w14:textId="77777777" w:rsidR="009F0928" w:rsidRDefault="002112BD">
            <w:pPr>
              <w:textAlignment w:val="bottom"/>
              <w:rPr>
                <w:rFonts w:ascii="Times New Roman" w:hAnsi="Times New Roman"/>
                <w:sz w:val="18"/>
                <w:szCs w:val="18"/>
              </w:rPr>
            </w:pPr>
            <w:r>
              <w:rPr>
                <w:rFonts w:ascii="Arial" w:eastAsia="宋体" w:hAnsi="Arial" w:cs="Arial"/>
                <w:sz w:val="18"/>
                <w:szCs w:val="18"/>
              </w:rPr>
              <w:t>Income (los</w:t>
            </w:r>
            <w:r>
              <w:rPr>
                <w:rFonts w:ascii="Arial" w:eastAsia="宋体" w:hAnsi="Arial" w:cs="Arial"/>
                <w:sz w:val="18"/>
                <w:szCs w:val="18"/>
              </w:rPr>
              <w:t>s) per share - basic:</w:t>
            </w:r>
          </w:p>
        </w:tc>
        <w:tc>
          <w:tcPr>
            <w:tcW w:w="0" w:type="auto"/>
            <w:gridSpan w:val="3"/>
            <w:shd w:val="clear" w:color="auto" w:fill="E2E2E2"/>
            <w:tcMar>
              <w:top w:w="40" w:type="dxa"/>
              <w:left w:w="40" w:type="dxa"/>
              <w:bottom w:w="40" w:type="dxa"/>
              <w:right w:w="40" w:type="dxa"/>
            </w:tcMar>
            <w:vAlign w:val="bottom"/>
          </w:tcPr>
          <w:p w14:paraId="0BC9A8A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8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8B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8B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8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8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8B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8C7" w14:textId="77777777">
        <w:trPr>
          <w:jc w:val="center"/>
        </w:trPr>
        <w:tc>
          <w:tcPr>
            <w:tcW w:w="0" w:type="auto"/>
            <w:shd w:val="clear" w:color="auto" w:fill="auto"/>
            <w:tcMar>
              <w:top w:w="40" w:type="dxa"/>
              <w:left w:w="560" w:type="dxa"/>
              <w:bottom w:w="40" w:type="dxa"/>
              <w:right w:w="40" w:type="dxa"/>
            </w:tcMar>
            <w:vAlign w:val="bottom"/>
          </w:tcPr>
          <w:p w14:paraId="0BC9A8B7" w14:textId="77777777" w:rsidR="009F0928" w:rsidRDefault="002112BD">
            <w:pPr>
              <w:textAlignment w:val="bottom"/>
              <w:rPr>
                <w:rFonts w:ascii="Times New Roman" w:hAnsi="Times New Roman"/>
                <w:sz w:val="18"/>
                <w:szCs w:val="18"/>
              </w:rPr>
            </w:pPr>
            <w:r>
              <w:rPr>
                <w:rFonts w:ascii="Arial" w:eastAsia="宋体" w:hAnsi="Arial" w:cs="Arial"/>
                <w:sz w:val="18"/>
                <w:szCs w:val="18"/>
              </w:rPr>
              <w:t>Continuing operations</w:t>
            </w:r>
          </w:p>
        </w:tc>
        <w:tc>
          <w:tcPr>
            <w:tcW w:w="0" w:type="auto"/>
            <w:shd w:val="clear" w:color="auto" w:fill="auto"/>
            <w:tcMar>
              <w:top w:w="40" w:type="dxa"/>
              <w:left w:w="40" w:type="dxa"/>
              <w:bottom w:w="40" w:type="dxa"/>
            </w:tcMar>
            <w:vAlign w:val="bottom"/>
          </w:tcPr>
          <w:p w14:paraId="0BC9A8B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8B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0.58</w:t>
            </w:r>
          </w:p>
        </w:tc>
        <w:tc>
          <w:tcPr>
            <w:tcW w:w="0" w:type="auto"/>
            <w:shd w:val="clear" w:color="auto" w:fill="auto"/>
            <w:vAlign w:val="bottom"/>
          </w:tcPr>
          <w:p w14:paraId="0BC9A8B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8B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8B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8B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0.47</w:t>
            </w:r>
          </w:p>
        </w:tc>
        <w:tc>
          <w:tcPr>
            <w:tcW w:w="0" w:type="auto"/>
            <w:shd w:val="clear" w:color="auto" w:fill="auto"/>
            <w:vAlign w:val="bottom"/>
          </w:tcPr>
          <w:p w14:paraId="0BC9A8B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8B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8C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8C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0.37</w:t>
            </w:r>
          </w:p>
        </w:tc>
        <w:tc>
          <w:tcPr>
            <w:tcW w:w="0" w:type="auto"/>
            <w:shd w:val="clear" w:color="auto" w:fill="auto"/>
            <w:vAlign w:val="bottom"/>
          </w:tcPr>
          <w:p w14:paraId="0BC9A8C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8C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8C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8C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0.69</w:t>
            </w:r>
          </w:p>
        </w:tc>
        <w:tc>
          <w:tcPr>
            <w:tcW w:w="0" w:type="auto"/>
            <w:shd w:val="clear" w:color="auto" w:fill="auto"/>
            <w:vAlign w:val="bottom"/>
          </w:tcPr>
          <w:p w14:paraId="0BC9A8C6" w14:textId="77777777" w:rsidR="009F0928" w:rsidRDefault="009F0928">
            <w:pPr>
              <w:textAlignment w:val="bottom"/>
              <w:rPr>
                <w:rFonts w:ascii="Times New Roman" w:hAnsi="Times New Roman"/>
                <w:sz w:val="20"/>
                <w:szCs w:val="20"/>
              </w:rPr>
            </w:pPr>
          </w:p>
        </w:tc>
      </w:tr>
      <w:tr w:rsidR="009F0928" w14:paraId="0BC9A8D4" w14:textId="77777777">
        <w:trPr>
          <w:jc w:val="center"/>
        </w:trPr>
        <w:tc>
          <w:tcPr>
            <w:tcW w:w="0" w:type="auto"/>
            <w:shd w:val="clear" w:color="auto" w:fill="E2E2E2"/>
            <w:tcMar>
              <w:top w:w="40" w:type="dxa"/>
              <w:left w:w="560" w:type="dxa"/>
              <w:bottom w:w="40" w:type="dxa"/>
              <w:right w:w="40" w:type="dxa"/>
            </w:tcMar>
            <w:vAlign w:val="bottom"/>
          </w:tcPr>
          <w:p w14:paraId="0BC9A8C8" w14:textId="77777777" w:rsidR="009F0928" w:rsidRDefault="002112BD">
            <w:pPr>
              <w:textAlignment w:val="bottom"/>
              <w:rPr>
                <w:rFonts w:ascii="Times New Roman" w:hAnsi="Times New Roman"/>
                <w:sz w:val="18"/>
                <w:szCs w:val="18"/>
              </w:rPr>
            </w:pPr>
            <w:r>
              <w:rPr>
                <w:rFonts w:ascii="Arial" w:eastAsia="宋体" w:hAnsi="Arial" w:cs="Arial"/>
                <w:sz w:val="18"/>
                <w:szCs w:val="18"/>
              </w:rPr>
              <w:t>Discontinued operations</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8C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E2E2E2"/>
            <w:vAlign w:val="bottom"/>
          </w:tcPr>
          <w:p w14:paraId="0BC9A8C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8C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8C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E2E2E2"/>
            <w:vAlign w:val="bottom"/>
          </w:tcPr>
          <w:p w14:paraId="0BC9A8C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8C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8C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8D0"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8D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8D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8D3" w14:textId="77777777" w:rsidR="009F0928" w:rsidRDefault="009F0928">
            <w:pPr>
              <w:textAlignment w:val="bottom"/>
              <w:rPr>
                <w:rFonts w:ascii="Times New Roman" w:hAnsi="Times New Roman"/>
                <w:sz w:val="20"/>
                <w:szCs w:val="20"/>
              </w:rPr>
            </w:pPr>
          </w:p>
        </w:tc>
      </w:tr>
      <w:tr w:rsidR="009F0928" w14:paraId="0BC9A8E5" w14:textId="77777777">
        <w:trPr>
          <w:jc w:val="center"/>
        </w:trPr>
        <w:tc>
          <w:tcPr>
            <w:tcW w:w="0" w:type="auto"/>
            <w:shd w:val="clear" w:color="auto" w:fill="auto"/>
            <w:tcMar>
              <w:top w:w="40" w:type="dxa"/>
              <w:left w:w="40" w:type="dxa"/>
              <w:bottom w:w="40" w:type="dxa"/>
              <w:right w:w="40" w:type="dxa"/>
            </w:tcMar>
            <w:vAlign w:val="bottom"/>
          </w:tcPr>
          <w:p w14:paraId="0BC9A8D5" w14:textId="77777777" w:rsidR="009F0928" w:rsidRDefault="002112BD">
            <w:pPr>
              <w:textAlignment w:val="bottom"/>
              <w:rPr>
                <w:rFonts w:ascii="Times New Roman" w:hAnsi="Times New Roman"/>
                <w:sz w:val="18"/>
                <w:szCs w:val="18"/>
              </w:rPr>
            </w:pPr>
            <w:r>
              <w:rPr>
                <w:rFonts w:ascii="Arial" w:eastAsia="宋体" w:hAnsi="Arial" w:cs="Arial"/>
                <w:sz w:val="18"/>
                <w:szCs w:val="18"/>
              </w:rPr>
              <w:t>Net income (loss) per share - basic</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8D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8D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0.58</w:t>
            </w:r>
          </w:p>
        </w:tc>
        <w:tc>
          <w:tcPr>
            <w:tcW w:w="0" w:type="auto"/>
            <w:tcBorders>
              <w:top w:val="single" w:sz="8" w:space="0" w:color="000000"/>
              <w:bottom w:val="double" w:sz="6" w:space="0" w:color="000000"/>
            </w:tcBorders>
            <w:shd w:val="clear" w:color="auto" w:fill="auto"/>
            <w:vAlign w:val="bottom"/>
          </w:tcPr>
          <w:p w14:paraId="0BC9A8D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8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8D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8D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0.47</w:t>
            </w:r>
          </w:p>
        </w:tc>
        <w:tc>
          <w:tcPr>
            <w:tcW w:w="0" w:type="auto"/>
            <w:tcBorders>
              <w:top w:val="single" w:sz="8" w:space="0" w:color="000000"/>
              <w:bottom w:val="double" w:sz="6" w:space="0" w:color="000000"/>
            </w:tcBorders>
            <w:shd w:val="clear" w:color="auto" w:fill="auto"/>
            <w:vAlign w:val="bottom"/>
          </w:tcPr>
          <w:p w14:paraId="0BC9A8D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8D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8D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8D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0.37</w:t>
            </w:r>
          </w:p>
        </w:tc>
        <w:tc>
          <w:tcPr>
            <w:tcW w:w="0" w:type="auto"/>
            <w:tcBorders>
              <w:top w:val="single" w:sz="8" w:space="0" w:color="000000"/>
              <w:bottom w:val="double" w:sz="6" w:space="0" w:color="000000"/>
            </w:tcBorders>
            <w:shd w:val="clear" w:color="auto" w:fill="auto"/>
            <w:vAlign w:val="bottom"/>
          </w:tcPr>
          <w:p w14:paraId="0BC9A8E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8E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8E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8E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0.69</w:t>
            </w:r>
          </w:p>
        </w:tc>
        <w:tc>
          <w:tcPr>
            <w:tcW w:w="0" w:type="auto"/>
            <w:tcBorders>
              <w:top w:val="single" w:sz="8" w:space="0" w:color="000000"/>
              <w:bottom w:val="double" w:sz="6" w:space="0" w:color="000000"/>
            </w:tcBorders>
            <w:shd w:val="clear" w:color="auto" w:fill="auto"/>
            <w:vAlign w:val="bottom"/>
          </w:tcPr>
          <w:p w14:paraId="0BC9A8E4" w14:textId="77777777" w:rsidR="009F0928" w:rsidRDefault="009F0928">
            <w:pPr>
              <w:textAlignment w:val="bottom"/>
              <w:rPr>
                <w:rFonts w:ascii="Times New Roman" w:hAnsi="Times New Roman"/>
                <w:sz w:val="20"/>
                <w:szCs w:val="20"/>
              </w:rPr>
            </w:pPr>
          </w:p>
        </w:tc>
      </w:tr>
      <w:tr w:rsidR="009F0928" w14:paraId="0BC9A8EE" w14:textId="77777777">
        <w:trPr>
          <w:jc w:val="center"/>
        </w:trPr>
        <w:tc>
          <w:tcPr>
            <w:tcW w:w="0" w:type="auto"/>
            <w:shd w:val="clear" w:color="auto" w:fill="E2E2E2"/>
            <w:tcMar>
              <w:top w:w="40" w:type="dxa"/>
              <w:left w:w="40" w:type="dxa"/>
              <w:bottom w:w="40" w:type="dxa"/>
              <w:right w:w="40" w:type="dxa"/>
            </w:tcMar>
            <w:vAlign w:val="bottom"/>
          </w:tcPr>
          <w:p w14:paraId="0BC9A8E6" w14:textId="77777777" w:rsidR="009F0928" w:rsidRDefault="002112BD">
            <w:pPr>
              <w:textAlignment w:val="bottom"/>
              <w:rPr>
                <w:rFonts w:ascii="Times New Roman" w:hAnsi="Times New Roman"/>
                <w:sz w:val="18"/>
                <w:szCs w:val="18"/>
              </w:rPr>
            </w:pPr>
            <w:r>
              <w:rPr>
                <w:rFonts w:ascii="Arial" w:eastAsia="宋体" w:hAnsi="Arial" w:cs="Arial"/>
                <w:sz w:val="18"/>
                <w:szCs w:val="18"/>
              </w:rPr>
              <w:t>Income (loss) per share - diluted:</w:t>
            </w:r>
          </w:p>
        </w:tc>
        <w:tc>
          <w:tcPr>
            <w:tcW w:w="0" w:type="auto"/>
            <w:gridSpan w:val="3"/>
            <w:shd w:val="clear" w:color="auto" w:fill="E2E2E2"/>
            <w:tcMar>
              <w:top w:w="40" w:type="dxa"/>
              <w:left w:w="40" w:type="dxa"/>
              <w:bottom w:w="40" w:type="dxa"/>
              <w:right w:w="40" w:type="dxa"/>
            </w:tcMar>
            <w:vAlign w:val="bottom"/>
          </w:tcPr>
          <w:p w14:paraId="0BC9A8E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8E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8E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8E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8E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8E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8E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8FF" w14:textId="77777777">
        <w:trPr>
          <w:jc w:val="center"/>
        </w:trPr>
        <w:tc>
          <w:tcPr>
            <w:tcW w:w="0" w:type="auto"/>
            <w:shd w:val="clear" w:color="auto" w:fill="auto"/>
            <w:tcMar>
              <w:top w:w="40" w:type="dxa"/>
              <w:left w:w="560" w:type="dxa"/>
              <w:bottom w:w="40" w:type="dxa"/>
              <w:right w:w="40" w:type="dxa"/>
            </w:tcMar>
            <w:vAlign w:val="bottom"/>
          </w:tcPr>
          <w:p w14:paraId="0BC9A8EF" w14:textId="77777777" w:rsidR="009F0928" w:rsidRDefault="002112BD">
            <w:pPr>
              <w:textAlignment w:val="bottom"/>
              <w:rPr>
                <w:rFonts w:ascii="Times New Roman" w:hAnsi="Times New Roman"/>
                <w:sz w:val="18"/>
                <w:szCs w:val="18"/>
              </w:rPr>
            </w:pPr>
            <w:r>
              <w:rPr>
                <w:rFonts w:ascii="Arial" w:eastAsia="宋体" w:hAnsi="Arial" w:cs="Arial"/>
                <w:sz w:val="18"/>
                <w:szCs w:val="18"/>
              </w:rPr>
              <w:t>Continuing operations</w:t>
            </w:r>
          </w:p>
        </w:tc>
        <w:tc>
          <w:tcPr>
            <w:tcW w:w="0" w:type="auto"/>
            <w:shd w:val="clear" w:color="auto" w:fill="auto"/>
            <w:tcMar>
              <w:top w:w="40" w:type="dxa"/>
              <w:left w:w="40" w:type="dxa"/>
              <w:bottom w:w="40" w:type="dxa"/>
            </w:tcMar>
            <w:vAlign w:val="bottom"/>
          </w:tcPr>
          <w:p w14:paraId="0BC9A8F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8F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0.57</w:t>
            </w:r>
          </w:p>
        </w:tc>
        <w:tc>
          <w:tcPr>
            <w:tcW w:w="0" w:type="auto"/>
            <w:shd w:val="clear" w:color="auto" w:fill="auto"/>
            <w:vAlign w:val="bottom"/>
          </w:tcPr>
          <w:p w14:paraId="0BC9A8F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8F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8F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8F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0.46</w:t>
            </w:r>
          </w:p>
        </w:tc>
        <w:tc>
          <w:tcPr>
            <w:tcW w:w="0" w:type="auto"/>
            <w:shd w:val="clear" w:color="auto" w:fill="auto"/>
            <w:vAlign w:val="bottom"/>
          </w:tcPr>
          <w:p w14:paraId="0BC9A8F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8F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8F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8F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0.37</w:t>
            </w:r>
          </w:p>
        </w:tc>
        <w:tc>
          <w:tcPr>
            <w:tcW w:w="0" w:type="auto"/>
            <w:shd w:val="clear" w:color="auto" w:fill="auto"/>
            <w:vAlign w:val="bottom"/>
          </w:tcPr>
          <w:p w14:paraId="0BC9A8F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8F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8F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8F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0.69</w:t>
            </w:r>
          </w:p>
        </w:tc>
        <w:tc>
          <w:tcPr>
            <w:tcW w:w="0" w:type="auto"/>
            <w:shd w:val="clear" w:color="auto" w:fill="auto"/>
            <w:vAlign w:val="bottom"/>
          </w:tcPr>
          <w:p w14:paraId="0BC9A8FE" w14:textId="77777777" w:rsidR="009F0928" w:rsidRDefault="009F0928">
            <w:pPr>
              <w:textAlignment w:val="bottom"/>
              <w:rPr>
                <w:rFonts w:ascii="Times New Roman" w:hAnsi="Times New Roman"/>
                <w:sz w:val="20"/>
                <w:szCs w:val="20"/>
              </w:rPr>
            </w:pPr>
          </w:p>
        </w:tc>
      </w:tr>
      <w:tr w:rsidR="009F0928" w14:paraId="0BC9A90C" w14:textId="77777777">
        <w:trPr>
          <w:jc w:val="center"/>
        </w:trPr>
        <w:tc>
          <w:tcPr>
            <w:tcW w:w="0" w:type="auto"/>
            <w:shd w:val="clear" w:color="auto" w:fill="E2E2E2"/>
            <w:tcMar>
              <w:top w:w="40" w:type="dxa"/>
              <w:left w:w="560" w:type="dxa"/>
              <w:bottom w:w="40" w:type="dxa"/>
              <w:right w:w="40" w:type="dxa"/>
            </w:tcMar>
            <w:vAlign w:val="bottom"/>
          </w:tcPr>
          <w:p w14:paraId="0BC9A900" w14:textId="77777777" w:rsidR="009F0928" w:rsidRDefault="002112BD">
            <w:pPr>
              <w:textAlignment w:val="bottom"/>
              <w:rPr>
                <w:rFonts w:ascii="Times New Roman" w:hAnsi="Times New Roman"/>
                <w:sz w:val="18"/>
                <w:szCs w:val="18"/>
              </w:rPr>
            </w:pPr>
            <w:r>
              <w:rPr>
                <w:rFonts w:ascii="Arial" w:eastAsia="宋体" w:hAnsi="Arial" w:cs="Arial"/>
                <w:sz w:val="18"/>
                <w:szCs w:val="18"/>
              </w:rPr>
              <w:t>Discontinued operations</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90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E2E2E2"/>
            <w:vAlign w:val="bottom"/>
          </w:tcPr>
          <w:p w14:paraId="0BC9A90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90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90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90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90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90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908"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90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90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90B" w14:textId="77777777" w:rsidR="009F0928" w:rsidRDefault="009F0928">
            <w:pPr>
              <w:textAlignment w:val="bottom"/>
              <w:rPr>
                <w:rFonts w:ascii="Times New Roman" w:hAnsi="Times New Roman"/>
                <w:sz w:val="20"/>
                <w:szCs w:val="20"/>
              </w:rPr>
            </w:pPr>
          </w:p>
        </w:tc>
      </w:tr>
      <w:tr w:rsidR="009F0928" w14:paraId="0BC9A91D" w14:textId="77777777">
        <w:trPr>
          <w:jc w:val="center"/>
        </w:trPr>
        <w:tc>
          <w:tcPr>
            <w:tcW w:w="0" w:type="auto"/>
            <w:shd w:val="clear" w:color="auto" w:fill="auto"/>
            <w:tcMar>
              <w:top w:w="40" w:type="dxa"/>
              <w:left w:w="40" w:type="dxa"/>
              <w:bottom w:w="40" w:type="dxa"/>
              <w:right w:w="40" w:type="dxa"/>
            </w:tcMar>
            <w:vAlign w:val="bottom"/>
          </w:tcPr>
          <w:p w14:paraId="0BC9A90D" w14:textId="77777777" w:rsidR="009F0928" w:rsidRDefault="002112BD">
            <w:pPr>
              <w:textAlignment w:val="bottom"/>
              <w:rPr>
                <w:rFonts w:ascii="Times New Roman" w:hAnsi="Times New Roman"/>
                <w:sz w:val="18"/>
                <w:szCs w:val="18"/>
              </w:rPr>
            </w:pPr>
            <w:r>
              <w:rPr>
                <w:rFonts w:ascii="Arial" w:eastAsia="宋体" w:hAnsi="Arial" w:cs="Arial"/>
                <w:sz w:val="18"/>
                <w:szCs w:val="18"/>
              </w:rPr>
              <w:t>Net income (loss) per share - diluted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90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90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0.57</w:t>
            </w:r>
          </w:p>
        </w:tc>
        <w:tc>
          <w:tcPr>
            <w:tcW w:w="0" w:type="auto"/>
            <w:tcBorders>
              <w:top w:val="single" w:sz="8" w:space="0" w:color="000000"/>
              <w:bottom w:val="double" w:sz="6" w:space="0" w:color="000000"/>
            </w:tcBorders>
            <w:shd w:val="clear" w:color="auto" w:fill="auto"/>
            <w:vAlign w:val="bottom"/>
          </w:tcPr>
          <w:p w14:paraId="0BC9A910"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1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912"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91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0.46</w:t>
            </w:r>
          </w:p>
        </w:tc>
        <w:tc>
          <w:tcPr>
            <w:tcW w:w="0" w:type="auto"/>
            <w:tcBorders>
              <w:top w:val="single" w:sz="8" w:space="0" w:color="000000"/>
              <w:bottom w:val="double" w:sz="6" w:space="0" w:color="000000"/>
            </w:tcBorders>
            <w:shd w:val="clear" w:color="auto" w:fill="auto"/>
            <w:vAlign w:val="bottom"/>
          </w:tcPr>
          <w:p w14:paraId="0BC9A91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1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91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91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0.37</w:t>
            </w:r>
          </w:p>
        </w:tc>
        <w:tc>
          <w:tcPr>
            <w:tcW w:w="0" w:type="auto"/>
            <w:tcBorders>
              <w:top w:val="single" w:sz="8" w:space="0" w:color="000000"/>
              <w:bottom w:val="double" w:sz="6" w:space="0" w:color="000000"/>
            </w:tcBorders>
            <w:shd w:val="clear" w:color="auto" w:fill="auto"/>
            <w:vAlign w:val="bottom"/>
          </w:tcPr>
          <w:p w14:paraId="0BC9A918"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1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91A"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91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0.69</w:t>
            </w:r>
          </w:p>
        </w:tc>
        <w:tc>
          <w:tcPr>
            <w:tcW w:w="0" w:type="auto"/>
            <w:tcBorders>
              <w:top w:val="single" w:sz="8" w:space="0" w:color="000000"/>
              <w:bottom w:val="double" w:sz="6" w:space="0" w:color="000000"/>
            </w:tcBorders>
            <w:shd w:val="clear" w:color="auto" w:fill="auto"/>
            <w:vAlign w:val="bottom"/>
          </w:tcPr>
          <w:p w14:paraId="0BC9A91C" w14:textId="77777777" w:rsidR="009F0928" w:rsidRDefault="009F0928">
            <w:pPr>
              <w:textAlignment w:val="bottom"/>
              <w:rPr>
                <w:rFonts w:ascii="Times New Roman" w:hAnsi="Times New Roman"/>
                <w:sz w:val="20"/>
                <w:szCs w:val="20"/>
              </w:rPr>
            </w:pPr>
          </w:p>
        </w:tc>
      </w:tr>
      <w:tr w:rsidR="009F0928" w14:paraId="0BC9A926" w14:textId="77777777">
        <w:trPr>
          <w:jc w:val="center"/>
        </w:trPr>
        <w:tc>
          <w:tcPr>
            <w:tcW w:w="0" w:type="auto"/>
            <w:shd w:val="clear" w:color="auto" w:fill="E2E2E2"/>
            <w:tcMar>
              <w:top w:w="40" w:type="dxa"/>
              <w:left w:w="40" w:type="dxa"/>
              <w:bottom w:w="40" w:type="dxa"/>
              <w:right w:w="40" w:type="dxa"/>
            </w:tcMar>
            <w:vAlign w:val="bottom"/>
          </w:tcPr>
          <w:p w14:paraId="0BC9A91E" w14:textId="77777777" w:rsidR="009F0928" w:rsidRDefault="002112BD">
            <w:pPr>
              <w:textAlignment w:val="bottom"/>
              <w:rPr>
                <w:rFonts w:ascii="Times New Roman" w:hAnsi="Times New Roman"/>
                <w:sz w:val="18"/>
                <w:szCs w:val="18"/>
              </w:rPr>
            </w:pPr>
            <w:r>
              <w:rPr>
                <w:rFonts w:ascii="Arial" w:eastAsia="宋体" w:hAnsi="Arial" w:cs="Arial"/>
                <w:sz w:val="18"/>
                <w:szCs w:val="18"/>
              </w:rPr>
              <w:t>Weighted-average shares:</w:t>
            </w:r>
          </w:p>
        </w:tc>
        <w:tc>
          <w:tcPr>
            <w:tcW w:w="0" w:type="auto"/>
            <w:gridSpan w:val="3"/>
            <w:shd w:val="clear" w:color="auto" w:fill="E2E2E2"/>
            <w:tcMar>
              <w:top w:w="40" w:type="dxa"/>
              <w:left w:w="40" w:type="dxa"/>
              <w:bottom w:w="40" w:type="dxa"/>
              <w:right w:w="40" w:type="dxa"/>
            </w:tcMar>
            <w:vAlign w:val="bottom"/>
          </w:tcPr>
          <w:p w14:paraId="0BC9A91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92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92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92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92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92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92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933" w14:textId="77777777">
        <w:trPr>
          <w:jc w:val="center"/>
        </w:trPr>
        <w:tc>
          <w:tcPr>
            <w:tcW w:w="0" w:type="auto"/>
            <w:shd w:val="clear" w:color="auto" w:fill="auto"/>
            <w:tcMar>
              <w:top w:w="40" w:type="dxa"/>
              <w:left w:w="720" w:type="dxa"/>
              <w:bottom w:w="40" w:type="dxa"/>
              <w:right w:w="40" w:type="dxa"/>
            </w:tcMar>
            <w:vAlign w:val="bottom"/>
          </w:tcPr>
          <w:p w14:paraId="0BC9A927" w14:textId="77777777" w:rsidR="009F0928" w:rsidRDefault="002112BD">
            <w:pPr>
              <w:textAlignment w:val="bottom"/>
              <w:rPr>
                <w:rFonts w:ascii="Times New Roman" w:hAnsi="Times New Roman"/>
                <w:sz w:val="18"/>
                <w:szCs w:val="18"/>
              </w:rPr>
            </w:pPr>
            <w:r>
              <w:rPr>
                <w:rFonts w:ascii="Arial" w:eastAsia="宋体" w:hAnsi="Arial" w:cs="Arial"/>
                <w:sz w:val="18"/>
                <w:szCs w:val="18"/>
              </w:rPr>
              <w:t>Basic</w:t>
            </w:r>
          </w:p>
        </w:tc>
        <w:tc>
          <w:tcPr>
            <w:tcW w:w="0" w:type="auto"/>
            <w:gridSpan w:val="2"/>
            <w:shd w:val="clear" w:color="auto" w:fill="auto"/>
            <w:tcMar>
              <w:top w:w="40" w:type="dxa"/>
              <w:left w:w="40" w:type="dxa"/>
              <w:bottom w:w="40" w:type="dxa"/>
            </w:tcMar>
            <w:vAlign w:val="bottom"/>
          </w:tcPr>
          <w:p w14:paraId="0BC9A92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900</w:t>
            </w:r>
          </w:p>
        </w:tc>
        <w:tc>
          <w:tcPr>
            <w:tcW w:w="0" w:type="auto"/>
            <w:shd w:val="clear" w:color="auto" w:fill="auto"/>
            <w:vAlign w:val="bottom"/>
          </w:tcPr>
          <w:p w14:paraId="0BC9A92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2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92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860</w:t>
            </w:r>
          </w:p>
        </w:tc>
        <w:tc>
          <w:tcPr>
            <w:tcW w:w="0" w:type="auto"/>
            <w:shd w:val="clear" w:color="auto" w:fill="auto"/>
            <w:vAlign w:val="bottom"/>
          </w:tcPr>
          <w:p w14:paraId="0BC9A92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2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92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830</w:t>
            </w:r>
          </w:p>
        </w:tc>
        <w:tc>
          <w:tcPr>
            <w:tcW w:w="0" w:type="auto"/>
            <w:shd w:val="clear" w:color="auto" w:fill="auto"/>
            <w:vAlign w:val="bottom"/>
          </w:tcPr>
          <w:p w14:paraId="0BC9A92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3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93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807</w:t>
            </w:r>
          </w:p>
        </w:tc>
        <w:tc>
          <w:tcPr>
            <w:tcW w:w="0" w:type="auto"/>
            <w:shd w:val="clear" w:color="auto" w:fill="auto"/>
            <w:vAlign w:val="bottom"/>
          </w:tcPr>
          <w:p w14:paraId="0BC9A932" w14:textId="77777777" w:rsidR="009F0928" w:rsidRDefault="009F0928">
            <w:pPr>
              <w:textAlignment w:val="bottom"/>
              <w:rPr>
                <w:rFonts w:ascii="Times New Roman" w:hAnsi="Times New Roman"/>
                <w:sz w:val="20"/>
                <w:szCs w:val="20"/>
              </w:rPr>
            </w:pPr>
          </w:p>
        </w:tc>
      </w:tr>
      <w:tr w:rsidR="009F0928" w14:paraId="0BC9A940" w14:textId="77777777">
        <w:trPr>
          <w:jc w:val="center"/>
        </w:trPr>
        <w:tc>
          <w:tcPr>
            <w:tcW w:w="0" w:type="auto"/>
            <w:shd w:val="clear" w:color="auto" w:fill="E2E2E2"/>
            <w:tcMar>
              <w:top w:w="40" w:type="dxa"/>
              <w:left w:w="720" w:type="dxa"/>
              <w:bottom w:w="40" w:type="dxa"/>
              <w:right w:w="40" w:type="dxa"/>
            </w:tcMar>
            <w:vAlign w:val="bottom"/>
          </w:tcPr>
          <w:p w14:paraId="0BC9A934" w14:textId="77777777" w:rsidR="009F0928" w:rsidRDefault="002112BD">
            <w:pPr>
              <w:textAlignment w:val="bottom"/>
              <w:rPr>
                <w:rFonts w:ascii="Times New Roman" w:hAnsi="Times New Roman"/>
                <w:sz w:val="18"/>
                <w:szCs w:val="18"/>
              </w:rPr>
            </w:pPr>
            <w:r>
              <w:rPr>
                <w:rFonts w:ascii="Arial" w:eastAsia="宋体" w:hAnsi="Arial" w:cs="Arial"/>
                <w:sz w:val="18"/>
                <w:szCs w:val="18"/>
              </w:rPr>
              <w:t>Diluted</w:t>
            </w:r>
          </w:p>
        </w:tc>
        <w:tc>
          <w:tcPr>
            <w:tcW w:w="0" w:type="auto"/>
            <w:gridSpan w:val="2"/>
            <w:shd w:val="clear" w:color="auto" w:fill="E2E2E2"/>
            <w:tcMar>
              <w:top w:w="40" w:type="dxa"/>
              <w:left w:w="40" w:type="dxa"/>
              <w:bottom w:w="40" w:type="dxa"/>
            </w:tcMar>
            <w:vAlign w:val="bottom"/>
          </w:tcPr>
          <w:p w14:paraId="0BC9A93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908</w:t>
            </w:r>
          </w:p>
        </w:tc>
        <w:tc>
          <w:tcPr>
            <w:tcW w:w="0" w:type="auto"/>
            <w:shd w:val="clear" w:color="auto" w:fill="E2E2E2"/>
            <w:vAlign w:val="bottom"/>
          </w:tcPr>
          <w:p w14:paraId="0BC9A93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9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93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867</w:t>
            </w:r>
          </w:p>
        </w:tc>
        <w:tc>
          <w:tcPr>
            <w:tcW w:w="0" w:type="auto"/>
            <w:shd w:val="clear" w:color="auto" w:fill="E2E2E2"/>
            <w:vAlign w:val="bottom"/>
          </w:tcPr>
          <w:p w14:paraId="0BC9A93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9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93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837</w:t>
            </w:r>
          </w:p>
        </w:tc>
        <w:tc>
          <w:tcPr>
            <w:tcW w:w="0" w:type="auto"/>
            <w:shd w:val="clear" w:color="auto" w:fill="E2E2E2"/>
            <w:vAlign w:val="bottom"/>
          </w:tcPr>
          <w:p w14:paraId="0BC9A93C"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9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93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812</w:t>
            </w:r>
          </w:p>
        </w:tc>
        <w:tc>
          <w:tcPr>
            <w:tcW w:w="0" w:type="auto"/>
            <w:shd w:val="clear" w:color="auto" w:fill="E2E2E2"/>
            <w:vAlign w:val="bottom"/>
          </w:tcPr>
          <w:p w14:paraId="0BC9A93F" w14:textId="77777777" w:rsidR="009F0928" w:rsidRDefault="009F0928">
            <w:pPr>
              <w:textAlignment w:val="bottom"/>
              <w:rPr>
                <w:rFonts w:ascii="Times New Roman" w:hAnsi="Times New Roman"/>
                <w:sz w:val="20"/>
                <w:szCs w:val="20"/>
              </w:rPr>
            </w:pPr>
          </w:p>
        </w:tc>
      </w:tr>
    </w:tbl>
    <w:p w14:paraId="0BC9A941" w14:textId="77777777" w:rsidR="009F0928" w:rsidRDefault="009F0928">
      <w:pPr>
        <w:spacing w:line="288" w:lineRule="auto"/>
        <w:jc w:val="both"/>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3626"/>
        <w:gridCol w:w="142"/>
        <w:gridCol w:w="802"/>
        <w:gridCol w:w="59"/>
        <w:gridCol w:w="130"/>
        <w:gridCol w:w="141"/>
        <w:gridCol w:w="755"/>
        <w:gridCol w:w="52"/>
        <w:gridCol w:w="130"/>
        <w:gridCol w:w="142"/>
        <w:gridCol w:w="957"/>
        <w:gridCol w:w="86"/>
        <w:gridCol w:w="130"/>
        <w:gridCol w:w="142"/>
        <w:gridCol w:w="912"/>
        <w:gridCol w:w="100"/>
      </w:tblGrid>
      <w:tr w:rsidR="009F0928" w14:paraId="0BC9A943" w14:textId="77777777">
        <w:tc>
          <w:tcPr>
            <w:tcW w:w="0" w:type="auto"/>
            <w:gridSpan w:val="16"/>
            <w:shd w:val="clear" w:color="auto" w:fill="auto"/>
            <w:vAlign w:val="center"/>
          </w:tcPr>
          <w:p w14:paraId="0BC9A942" w14:textId="77777777" w:rsidR="009F0928" w:rsidRDefault="009F0928">
            <w:pPr>
              <w:rPr>
                <w:rFonts w:ascii="Times New Roman" w:hAnsi="Times New Roman"/>
                <w:sz w:val="20"/>
                <w:szCs w:val="20"/>
              </w:rPr>
            </w:pPr>
          </w:p>
        </w:tc>
      </w:tr>
      <w:tr w:rsidR="009F0928" w14:paraId="0BC9A954" w14:textId="77777777">
        <w:tc>
          <w:tcPr>
            <w:tcW w:w="2250" w:type="pct"/>
            <w:shd w:val="clear" w:color="auto" w:fill="auto"/>
            <w:vAlign w:val="center"/>
          </w:tcPr>
          <w:p w14:paraId="0BC9A944" w14:textId="77777777" w:rsidR="009F0928" w:rsidRDefault="009F0928">
            <w:pPr>
              <w:rPr>
                <w:rFonts w:ascii="Times New Roman" w:hAnsi="Times New Roman"/>
                <w:sz w:val="20"/>
                <w:szCs w:val="20"/>
              </w:rPr>
            </w:pPr>
          </w:p>
        </w:tc>
        <w:tc>
          <w:tcPr>
            <w:tcW w:w="50" w:type="pct"/>
            <w:shd w:val="clear" w:color="auto" w:fill="auto"/>
            <w:vAlign w:val="center"/>
          </w:tcPr>
          <w:p w14:paraId="0BC9A945" w14:textId="77777777" w:rsidR="009F0928" w:rsidRDefault="009F0928">
            <w:pPr>
              <w:rPr>
                <w:rFonts w:ascii="Times New Roman" w:hAnsi="Times New Roman"/>
                <w:sz w:val="20"/>
                <w:szCs w:val="20"/>
              </w:rPr>
            </w:pPr>
          </w:p>
        </w:tc>
        <w:tc>
          <w:tcPr>
            <w:tcW w:w="550" w:type="pct"/>
            <w:shd w:val="clear" w:color="auto" w:fill="auto"/>
            <w:vAlign w:val="center"/>
          </w:tcPr>
          <w:p w14:paraId="0BC9A946" w14:textId="77777777" w:rsidR="009F0928" w:rsidRDefault="009F0928">
            <w:pPr>
              <w:rPr>
                <w:rFonts w:ascii="Times New Roman" w:hAnsi="Times New Roman"/>
                <w:sz w:val="20"/>
                <w:szCs w:val="20"/>
              </w:rPr>
            </w:pPr>
          </w:p>
        </w:tc>
        <w:tc>
          <w:tcPr>
            <w:tcW w:w="50" w:type="pct"/>
            <w:shd w:val="clear" w:color="auto" w:fill="auto"/>
            <w:vAlign w:val="center"/>
          </w:tcPr>
          <w:p w14:paraId="0BC9A947" w14:textId="77777777" w:rsidR="009F0928" w:rsidRDefault="009F0928">
            <w:pPr>
              <w:rPr>
                <w:rFonts w:ascii="Times New Roman" w:hAnsi="Times New Roman"/>
                <w:sz w:val="20"/>
                <w:szCs w:val="20"/>
              </w:rPr>
            </w:pPr>
          </w:p>
        </w:tc>
        <w:tc>
          <w:tcPr>
            <w:tcW w:w="50" w:type="pct"/>
            <w:shd w:val="clear" w:color="auto" w:fill="auto"/>
            <w:vAlign w:val="center"/>
          </w:tcPr>
          <w:p w14:paraId="0BC9A948" w14:textId="77777777" w:rsidR="009F0928" w:rsidRDefault="009F0928">
            <w:pPr>
              <w:rPr>
                <w:rFonts w:ascii="Times New Roman" w:hAnsi="Times New Roman"/>
                <w:sz w:val="20"/>
                <w:szCs w:val="20"/>
              </w:rPr>
            </w:pPr>
          </w:p>
        </w:tc>
        <w:tc>
          <w:tcPr>
            <w:tcW w:w="50" w:type="pct"/>
            <w:shd w:val="clear" w:color="auto" w:fill="auto"/>
            <w:vAlign w:val="center"/>
          </w:tcPr>
          <w:p w14:paraId="0BC9A949" w14:textId="77777777" w:rsidR="009F0928" w:rsidRDefault="009F0928">
            <w:pPr>
              <w:rPr>
                <w:rFonts w:ascii="Times New Roman" w:hAnsi="Times New Roman"/>
                <w:sz w:val="20"/>
                <w:szCs w:val="20"/>
              </w:rPr>
            </w:pPr>
          </w:p>
        </w:tc>
        <w:tc>
          <w:tcPr>
            <w:tcW w:w="550" w:type="pct"/>
            <w:shd w:val="clear" w:color="auto" w:fill="auto"/>
            <w:vAlign w:val="center"/>
          </w:tcPr>
          <w:p w14:paraId="0BC9A94A" w14:textId="77777777" w:rsidR="009F0928" w:rsidRDefault="009F0928">
            <w:pPr>
              <w:rPr>
                <w:rFonts w:ascii="Times New Roman" w:hAnsi="Times New Roman"/>
                <w:sz w:val="20"/>
                <w:szCs w:val="20"/>
              </w:rPr>
            </w:pPr>
          </w:p>
        </w:tc>
        <w:tc>
          <w:tcPr>
            <w:tcW w:w="50" w:type="pct"/>
            <w:shd w:val="clear" w:color="auto" w:fill="auto"/>
            <w:vAlign w:val="center"/>
          </w:tcPr>
          <w:p w14:paraId="0BC9A94B" w14:textId="77777777" w:rsidR="009F0928" w:rsidRDefault="009F0928">
            <w:pPr>
              <w:rPr>
                <w:rFonts w:ascii="Times New Roman" w:hAnsi="Times New Roman"/>
                <w:sz w:val="20"/>
                <w:szCs w:val="20"/>
              </w:rPr>
            </w:pPr>
          </w:p>
        </w:tc>
        <w:tc>
          <w:tcPr>
            <w:tcW w:w="50" w:type="pct"/>
            <w:shd w:val="clear" w:color="auto" w:fill="auto"/>
            <w:vAlign w:val="center"/>
          </w:tcPr>
          <w:p w14:paraId="0BC9A94C" w14:textId="77777777" w:rsidR="009F0928" w:rsidRDefault="009F0928">
            <w:pPr>
              <w:rPr>
                <w:rFonts w:ascii="Times New Roman" w:hAnsi="Times New Roman"/>
                <w:sz w:val="20"/>
                <w:szCs w:val="20"/>
              </w:rPr>
            </w:pPr>
          </w:p>
        </w:tc>
        <w:tc>
          <w:tcPr>
            <w:tcW w:w="50" w:type="pct"/>
            <w:shd w:val="clear" w:color="auto" w:fill="auto"/>
            <w:vAlign w:val="center"/>
          </w:tcPr>
          <w:p w14:paraId="0BC9A94D" w14:textId="77777777" w:rsidR="009F0928" w:rsidRDefault="009F0928">
            <w:pPr>
              <w:rPr>
                <w:rFonts w:ascii="Times New Roman" w:hAnsi="Times New Roman"/>
                <w:sz w:val="20"/>
                <w:szCs w:val="20"/>
              </w:rPr>
            </w:pPr>
          </w:p>
        </w:tc>
        <w:tc>
          <w:tcPr>
            <w:tcW w:w="550" w:type="pct"/>
            <w:shd w:val="clear" w:color="auto" w:fill="auto"/>
            <w:vAlign w:val="center"/>
          </w:tcPr>
          <w:p w14:paraId="0BC9A94E" w14:textId="77777777" w:rsidR="009F0928" w:rsidRDefault="009F0928">
            <w:pPr>
              <w:rPr>
                <w:rFonts w:ascii="Times New Roman" w:hAnsi="Times New Roman"/>
                <w:sz w:val="20"/>
                <w:szCs w:val="20"/>
              </w:rPr>
            </w:pPr>
          </w:p>
        </w:tc>
        <w:tc>
          <w:tcPr>
            <w:tcW w:w="50" w:type="pct"/>
            <w:shd w:val="clear" w:color="auto" w:fill="auto"/>
            <w:vAlign w:val="center"/>
          </w:tcPr>
          <w:p w14:paraId="0BC9A94F" w14:textId="77777777" w:rsidR="009F0928" w:rsidRDefault="009F0928">
            <w:pPr>
              <w:rPr>
                <w:rFonts w:ascii="Times New Roman" w:hAnsi="Times New Roman"/>
                <w:sz w:val="20"/>
                <w:szCs w:val="20"/>
              </w:rPr>
            </w:pPr>
          </w:p>
        </w:tc>
        <w:tc>
          <w:tcPr>
            <w:tcW w:w="50" w:type="pct"/>
            <w:shd w:val="clear" w:color="auto" w:fill="auto"/>
            <w:vAlign w:val="center"/>
          </w:tcPr>
          <w:p w14:paraId="0BC9A950" w14:textId="77777777" w:rsidR="009F0928" w:rsidRDefault="009F0928">
            <w:pPr>
              <w:rPr>
                <w:rFonts w:ascii="Times New Roman" w:hAnsi="Times New Roman"/>
                <w:sz w:val="20"/>
                <w:szCs w:val="20"/>
              </w:rPr>
            </w:pPr>
          </w:p>
        </w:tc>
        <w:tc>
          <w:tcPr>
            <w:tcW w:w="50" w:type="pct"/>
            <w:shd w:val="clear" w:color="auto" w:fill="auto"/>
            <w:vAlign w:val="center"/>
          </w:tcPr>
          <w:p w14:paraId="0BC9A951" w14:textId="77777777" w:rsidR="009F0928" w:rsidRDefault="009F0928">
            <w:pPr>
              <w:rPr>
                <w:rFonts w:ascii="Times New Roman" w:hAnsi="Times New Roman"/>
                <w:sz w:val="20"/>
                <w:szCs w:val="20"/>
              </w:rPr>
            </w:pPr>
          </w:p>
        </w:tc>
        <w:tc>
          <w:tcPr>
            <w:tcW w:w="550" w:type="pct"/>
            <w:shd w:val="clear" w:color="auto" w:fill="auto"/>
            <w:vAlign w:val="center"/>
          </w:tcPr>
          <w:p w14:paraId="0BC9A952" w14:textId="77777777" w:rsidR="009F0928" w:rsidRDefault="009F0928">
            <w:pPr>
              <w:rPr>
                <w:rFonts w:ascii="Times New Roman" w:hAnsi="Times New Roman"/>
                <w:sz w:val="20"/>
                <w:szCs w:val="20"/>
              </w:rPr>
            </w:pPr>
          </w:p>
        </w:tc>
        <w:tc>
          <w:tcPr>
            <w:tcW w:w="50" w:type="pct"/>
            <w:shd w:val="clear" w:color="auto" w:fill="auto"/>
            <w:vAlign w:val="center"/>
          </w:tcPr>
          <w:p w14:paraId="0BC9A953" w14:textId="77777777" w:rsidR="009F0928" w:rsidRDefault="009F0928">
            <w:pPr>
              <w:rPr>
                <w:rFonts w:ascii="Times New Roman" w:hAnsi="Times New Roman"/>
                <w:sz w:val="20"/>
                <w:szCs w:val="20"/>
              </w:rPr>
            </w:pPr>
          </w:p>
        </w:tc>
      </w:tr>
      <w:tr w:rsidR="009F0928" w14:paraId="0BC9A957" w14:textId="77777777">
        <w:tc>
          <w:tcPr>
            <w:tcW w:w="0" w:type="auto"/>
            <w:shd w:val="clear" w:color="auto" w:fill="auto"/>
            <w:tcMar>
              <w:top w:w="40" w:type="dxa"/>
              <w:left w:w="40" w:type="dxa"/>
              <w:bottom w:w="40" w:type="dxa"/>
              <w:right w:w="40" w:type="dxa"/>
            </w:tcMar>
            <w:vAlign w:val="bottom"/>
          </w:tcPr>
          <w:p w14:paraId="0BC9A95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shd w:val="clear" w:color="auto" w:fill="auto"/>
            <w:tcMar>
              <w:top w:w="40" w:type="dxa"/>
              <w:left w:w="40" w:type="dxa"/>
              <w:bottom w:w="40" w:type="dxa"/>
            </w:tcMar>
            <w:vAlign w:val="bottom"/>
          </w:tcPr>
          <w:p w14:paraId="0BC9A956"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Quarter Ended</w:t>
            </w:r>
          </w:p>
        </w:tc>
      </w:tr>
      <w:tr w:rsidR="009F0928" w14:paraId="0BC9A960" w14:textId="77777777">
        <w:tc>
          <w:tcPr>
            <w:tcW w:w="0" w:type="auto"/>
            <w:shd w:val="clear" w:color="auto" w:fill="auto"/>
            <w:tcMar>
              <w:top w:w="40" w:type="dxa"/>
              <w:left w:w="40" w:type="dxa"/>
              <w:bottom w:w="40" w:type="dxa"/>
              <w:right w:w="40" w:type="dxa"/>
            </w:tcMar>
            <w:vAlign w:val="bottom"/>
          </w:tcPr>
          <w:p w14:paraId="0BC9A95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959"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March 31</w:t>
            </w:r>
          </w:p>
        </w:tc>
        <w:tc>
          <w:tcPr>
            <w:tcW w:w="0" w:type="auto"/>
            <w:shd w:val="clear" w:color="auto" w:fill="auto"/>
            <w:tcMar>
              <w:top w:w="40" w:type="dxa"/>
              <w:left w:w="40" w:type="dxa"/>
              <w:bottom w:w="40" w:type="dxa"/>
              <w:right w:w="40" w:type="dxa"/>
            </w:tcMar>
            <w:vAlign w:val="bottom"/>
          </w:tcPr>
          <w:p w14:paraId="0BC9A95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95B"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June 30</w:t>
            </w:r>
          </w:p>
        </w:tc>
        <w:tc>
          <w:tcPr>
            <w:tcW w:w="0" w:type="auto"/>
            <w:shd w:val="clear" w:color="auto" w:fill="auto"/>
            <w:tcMar>
              <w:top w:w="40" w:type="dxa"/>
              <w:left w:w="40" w:type="dxa"/>
              <w:bottom w:w="40" w:type="dxa"/>
              <w:right w:w="40" w:type="dxa"/>
            </w:tcMar>
            <w:vAlign w:val="bottom"/>
          </w:tcPr>
          <w:p w14:paraId="0BC9A95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95D"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September 30</w:t>
            </w:r>
          </w:p>
        </w:tc>
        <w:tc>
          <w:tcPr>
            <w:tcW w:w="0" w:type="auto"/>
            <w:shd w:val="clear" w:color="auto" w:fill="auto"/>
            <w:tcMar>
              <w:top w:w="40" w:type="dxa"/>
              <w:left w:w="40" w:type="dxa"/>
              <w:bottom w:w="40" w:type="dxa"/>
              <w:right w:w="40" w:type="dxa"/>
            </w:tcMar>
            <w:vAlign w:val="bottom"/>
          </w:tcPr>
          <w:p w14:paraId="0BC9A95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95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December 31</w:t>
            </w:r>
          </w:p>
        </w:tc>
      </w:tr>
      <w:tr w:rsidR="009F0928" w14:paraId="0BC9A969" w14:textId="77777777">
        <w:tc>
          <w:tcPr>
            <w:tcW w:w="0" w:type="auto"/>
            <w:shd w:val="clear" w:color="auto" w:fill="E2E2E2"/>
            <w:tcMar>
              <w:top w:w="40" w:type="dxa"/>
              <w:left w:w="40" w:type="dxa"/>
              <w:bottom w:w="40" w:type="dxa"/>
              <w:right w:w="40" w:type="dxa"/>
            </w:tcMar>
            <w:vAlign w:val="bottom"/>
          </w:tcPr>
          <w:p w14:paraId="0BC9A961"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2018</w:t>
            </w:r>
          </w:p>
        </w:tc>
        <w:tc>
          <w:tcPr>
            <w:tcW w:w="0" w:type="auto"/>
            <w:gridSpan w:val="3"/>
            <w:shd w:val="clear" w:color="auto" w:fill="E2E2E2"/>
            <w:tcMar>
              <w:top w:w="40" w:type="dxa"/>
              <w:left w:w="40" w:type="dxa"/>
              <w:bottom w:w="40" w:type="dxa"/>
              <w:right w:w="40" w:type="dxa"/>
            </w:tcMar>
            <w:vAlign w:val="bottom"/>
          </w:tcPr>
          <w:p w14:paraId="0BC9A96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96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96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9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96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96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96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97A" w14:textId="77777777">
        <w:tc>
          <w:tcPr>
            <w:tcW w:w="0" w:type="auto"/>
            <w:shd w:val="clear" w:color="auto" w:fill="auto"/>
            <w:tcMar>
              <w:top w:w="40" w:type="dxa"/>
              <w:left w:w="40" w:type="dxa"/>
              <w:bottom w:w="40" w:type="dxa"/>
              <w:right w:w="40" w:type="dxa"/>
            </w:tcMar>
            <w:vAlign w:val="bottom"/>
          </w:tcPr>
          <w:p w14:paraId="0BC9A96A" w14:textId="77777777" w:rsidR="009F0928" w:rsidRDefault="002112BD">
            <w:pPr>
              <w:textAlignment w:val="bottom"/>
              <w:rPr>
                <w:rFonts w:ascii="Times New Roman" w:hAnsi="Times New Roman"/>
                <w:sz w:val="18"/>
                <w:szCs w:val="18"/>
              </w:rPr>
            </w:pPr>
            <w:r>
              <w:rPr>
                <w:rFonts w:ascii="Arial" w:eastAsia="宋体" w:hAnsi="Arial" w:cs="Arial"/>
                <w:sz w:val="18"/>
                <w:szCs w:val="18"/>
              </w:rPr>
              <w:t>Net revenues</w:t>
            </w:r>
          </w:p>
        </w:tc>
        <w:tc>
          <w:tcPr>
            <w:tcW w:w="0" w:type="auto"/>
            <w:tcBorders>
              <w:bottom w:val="double" w:sz="6" w:space="0" w:color="000000"/>
            </w:tcBorders>
            <w:shd w:val="clear" w:color="auto" w:fill="auto"/>
            <w:tcMar>
              <w:top w:w="40" w:type="dxa"/>
              <w:left w:w="40" w:type="dxa"/>
              <w:bottom w:w="40" w:type="dxa"/>
            </w:tcMar>
            <w:vAlign w:val="bottom"/>
          </w:tcPr>
          <w:p w14:paraId="0BC9A96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96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2,580</w:t>
            </w:r>
          </w:p>
        </w:tc>
        <w:tc>
          <w:tcPr>
            <w:tcW w:w="0" w:type="auto"/>
            <w:tcBorders>
              <w:bottom w:val="double" w:sz="6" w:space="0" w:color="000000"/>
            </w:tcBorders>
            <w:shd w:val="clear" w:color="auto" w:fill="auto"/>
            <w:vAlign w:val="bottom"/>
          </w:tcPr>
          <w:p w14:paraId="0BC9A96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6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A96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97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2,640</w:t>
            </w:r>
          </w:p>
        </w:tc>
        <w:tc>
          <w:tcPr>
            <w:tcW w:w="0" w:type="auto"/>
            <w:tcBorders>
              <w:bottom w:val="double" w:sz="6" w:space="0" w:color="000000"/>
            </w:tcBorders>
            <w:shd w:val="clear" w:color="auto" w:fill="auto"/>
            <w:vAlign w:val="bottom"/>
          </w:tcPr>
          <w:p w14:paraId="0BC9A97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7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A97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97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2,649</w:t>
            </w:r>
          </w:p>
        </w:tc>
        <w:tc>
          <w:tcPr>
            <w:tcW w:w="0" w:type="auto"/>
            <w:tcBorders>
              <w:bottom w:val="double" w:sz="6" w:space="0" w:color="000000"/>
            </w:tcBorders>
            <w:shd w:val="clear" w:color="auto" w:fill="auto"/>
            <w:vAlign w:val="bottom"/>
          </w:tcPr>
          <w:p w14:paraId="0BC9A97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7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A97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97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2,877</w:t>
            </w:r>
          </w:p>
        </w:tc>
        <w:tc>
          <w:tcPr>
            <w:tcW w:w="0" w:type="auto"/>
            <w:tcBorders>
              <w:bottom w:val="double" w:sz="6" w:space="0" w:color="000000"/>
            </w:tcBorders>
            <w:shd w:val="clear" w:color="auto" w:fill="auto"/>
            <w:vAlign w:val="bottom"/>
          </w:tcPr>
          <w:p w14:paraId="0BC9A979" w14:textId="77777777" w:rsidR="009F0928" w:rsidRDefault="009F0928">
            <w:pPr>
              <w:textAlignment w:val="bottom"/>
              <w:rPr>
                <w:rFonts w:ascii="Times New Roman" w:hAnsi="Times New Roman"/>
                <w:sz w:val="20"/>
                <w:szCs w:val="20"/>
              </w:rPr>
            </w:pPr>
          </w:p>
        </w:tc>
      </w:tr>
      <w:tr w:rsidR="009F0928" w14:paraId="0BC9A98B" w14:textId="77777777">
        <w:tc>
          <w:tcPr>
            <w:tcW w:w="0" w:type="auto"/>
            <w:shd w:val="clear" w:color="auto" w:fill="E2E2E2"/>
            <w:tcMar>
              <w:top w:w="40" w:type="dxa"/>
              <w:left w:w="40" w:type="dxa"/>
              <w:bottom w:w="40" w:type="dxa"/>
              <w:right w:w="40" w:type="dxa"/>
            </w:tcMar>
            <w:vAlign w:val="bottom"/>
          </w:tcPr>
          <w:p w14:paraId="0BC9A97B" w14:textId="77777777" w:rsidR="009F0928" w:rsidRDefault="002112BD">
            <w:pPr>
              <w:textAlignment w:val="bottom"/>
              <w:rPr>
                <w:rFonts w:ascii="Times New Roman" w:hAnsi="Times New Roman"/>
                <w:sz w:val="18"/>
                <w:szCs w:val="18"/>
              </w:rPr>
            </w:pPr>
            <w:r>
              <w:rPr>
                <w:rFonts w:ascii="Arial" w:eastAsia="宋体" w:hAnsi="Arial" w:cs="Arial"/>
                <w:sz w:val="18"/>
                <w:szCs w:val="18"/>
              </w:rPr>
              <w:t>Gross profit</w:t>
            </w:r>
          </w:p>
        </w:tc>
        <w:tc>
          <w:tcPr>
            <w:tcW w:w="0" w:type="auto"/>
            <w:tcBorders>
              <w:bottom w:val="double" w:sz="6" w:space="0" w:color="000000"/>
            </w:tcBorders>
            <w:shd w:val="clear" w:color="auto" w:fill="E2E2E2"/>
            <w:tcMar>
              <w:top w:w="40" w:type="dxa"/>
              <w:left w:w="40" w:type="dxa"/>
              <w:bottom w:w="40" w:type="dxa"/>
            </w:tcMar>
            <w:vAlign w:val="bottom"/>
          </w:tcPr>
          <w:p w14:paraId="0BC9A97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A97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2,021</w:t>
            </w:r>
          </w:p>
        </w:tc>
        <w:tc>
          <w:tcPr>
            <w:tcW w:w="0" w:type="auto"/>
            <w:tcBorders>
              <w:bottom w:val="double" w:sz="6" w:space="0" w:color="000000"/>
            </w:tcBorders>
            <w:shd w:val="clear" w:color="auto" w:fill="E2E2E2"/>
            <w:vAlign w:val="bottom"/>
          </w:tcPr>
          <w:p w14:paraId="0BC9A97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97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A98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A98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2,043</w:t>
            </w:r>
          </w:p>
        </w:tc>
        <w:tc>
          <w:tcPr>
            <w:tcW w:w="0" w:type="auto"/>
            <w:tcBorders>
              <w:bottom w:val="double" w:sz="6" w:space="0" w:color="000000"/>
            </w:tcBorders>
            <w:shd w:val="clear" w:color="auto" w:fill="E2E2E2"/>
            <w:vAlign w:val="bottom"/>
          </w:tcPr>
          <w:p w14:paraId="0BC9A98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98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A98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A98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2,041</w:t>
            </w:r>
          </w:p>
        </w:tc>
        <w:tc>
          <w:tcPr>
            <w:tcW w:w="0" w:type="auto"/>
            <w:tcBorders>
              <w:bottom w:val="double" w:sz="6" w:space="0" w:color="000000"/>
            </w:tcBorders>
            <w:shd w:val="clear" w:color="auto" w:fill="E2E2E2"/>
            <w:vAlign w:val="bottom"/>
          </w:tcPr>
          <w:p w14:paraId="0BC9A98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98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2E2"/>
            <w:tcMar>
              <w:top w:w="40" w:type="dxa"/>
              <w:left w:w="40" w:type="dxa"/>
              <w:bottom w:w="40" w:type="dxa"/>
            </w:tcMar>
            <w:vAlign w:val="bottom"/>
          </w:tcPr>
          <w:p w14:paraId="0BC9A98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tcMar>
              <w:top w:w="40" w:type="dxa"/>
              <w:bottom w:w="40" w:type="dxa"/>
            </w:tcMar>
            <w:vAlign w:val="bottom"/>
          </w:tcPr>
          <w:p w14:paraId="0BC9A98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2,259</w:t>
            </w:r>
          </w:p>
        </w:tc>
        <w:tc>
          <w:tcPr>
            <w:tcW w:w="0" w:type="auto"/>
            <w:tcBorders>
              <w:bottom w:val="double" w:sz="6" w:space="0" w:color="000000"/>
            </w:tcBorders>
            <w:shd w:val="clear" w:color="auto" w:fill="E2E2E2"/>
            <w:vAlign w:val="bottom"/>
          </w:tcPr>
          <w:p w14:paraId="0BC9A98A" w14:textId="77777777" w:rsidR="009F0928" w:rsidRDefault="009F0928">
            <w:pPr>
              <w:textAlignment w:val="bottom"/>
              <w:rPr>
                <w:rFonts w:ascii="Times New Roman" w:hAnsi="Times New Roman"/>
                <w:sz w:val="20"/>
                <w:szCs w:val="20"/>
              </w:rPr>
            </w:pPr>
          </w:p>
        </w:tc>
      </w:tr>
      <w:tr w:rsidR="009F0928" w14:paraId="0BC9A99C" w14:textId="77777777">
        <w:tc>
          <w:tcPr>
            <w:tcW w:w="0" w:type="auto"/>
            <w:shd w:val="clear" w:color="auto" w:fill="auto"/>
            <w:tcMar>
              <w:top w:w="40" w:type="dxa"/>
              <w:left w:w="40" w:type="dxa"/>
              <w:bottom w:w="40" w:type="dxa"/>
              <w:right w:w="40" w:type="dxa"/>
            </w:tcMar>
            <w:vAlign w:val="bottom"/>
          </w:tcPr>
          <w:p w14:paraId="0BC9A98C" w14:textId="77777777" w:rsidR="009F0928" w:rsidRDefault="002112BD">
            <w:pPr>
              <w:textAlignment w:val="bottom"/>
              <w:rPr>
                <w:rFonts w:ascii="Times New Roman" w:hAnsi="Times New Roman"/>
                <w:sz w:val="18"/>
                <w:szCs w:val="18"/>
              </w:rPr>
            </w:pPr>
            <w:r>
              <w:rPr>
                <w:rFonts w:ascii="Arial" w:eastAsia="宋体" w:hAnsi="Arial" w:cs="Arial"/>
                <w:sz w:val="18"/>
                <w:szCs w:val="18"/>
              </w:rPr>
              <w:t>Income from continuing operations</w:t>
            </w:r>
          </w:p>
        </w:tc>
        <w:tc>
          <w:tcPr>
            <w:tcW w:w="0" w:type="auto"/>
            <w:tcBorders>
              <w:bottom w:val="double" w:sz="6" w:space="0" w:color="000000"/>
            </w:tcBorders>
            <w:shd w:val="clear" w:color="auto" w:fill="auto"/>
            <w:tcMar>
              <w:top w:w="40" w:type="dxa"/>
              <w:left w:w="40" w:type="dxa"/>
              <w:bottom w:w="40" w:type="dxa"/>
            </w:tcMar>
            <w:vAlign w:val="bottom"/>
          </w:tcPr>
          <w:p w14:paraId="0BC9A98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98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407</w:t>
            </w:r>
          </w:p>
        </w:tc>
        <w:tc>
          <w:tcPr>
            <w:tcW w:w="0" w:type="auto"/>
            <w:tcBorders>
              <w:bottom w:val="double" w:sz="6" w:space="0" w:color="000000"/>
            </w:tcBorders>
            <w:shd w:val="clear" w:color="auto" w:fill="auto"/>
            <w:vAlign w:val="bottom"/>
          </w:tcPr>
          <w:p w14:paraId="0BC9A98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A99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99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638</w:t>
            </w:r>
          </w:p>
        </w:tc>
        <w:tc>
          <w:tcPr>
            <w:tcW w:w="0" w:type="auto"/>
            <w:tcBorders>
              <w:bottom w:val="double" w:sz="6" w:space="0" w:color="000000"/>
            </w:tcBorders>
            <w:shd w:val="clear" w:color="auto" w:fill="auto"/>
            <w:vAlign w:val="bottom"/>
          </w:tcPr>
          <w:p w14:paraId="0BC9A99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9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A99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99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720</w:t>
            </w:r>
          </w:p>
        </w:tc>
        <w:tc>
          <w:tcPr>
            <w:tcW w:w="0" w:type="auto"/>
            <w:tcBorders>
              <w:bottom w:val="double" w:sz="6" w:space="0" w:color="000000"/>
            </w:tcBorders>
            <w:shd w:val="clear" w:color="auto" w:fill="auto"/>
            <w:vAlign w:val="bottom"/>
          </w:tcPr>
          <w:p w14:paraId="0BC9A99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9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A99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99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763</w:t>
            </w:r>
          </w:p>
        </w:tc>
        <w:tc>
          <w:tcPr>
            <w:tcW w:w="0" w:type="auto"/>
            <w:tcBorders>
              <w:bottom w:val="double" w:sz="6" w:space="0" w:color="000000"/>
            </w:tcBorders>
            <w:shd w:val="clear" w:color="auto" w:fill="auto"/>
            <w:vAlign w:val="bottom"/>
          </w:tcPr>
          <w:p w14:paraId="0BC9A99B" w14:textId="77777777" w:rsidR="009F0928" w:rsidRDefault="009F0928">
            <w:pPr>
              <w:textAlignment w:val="bottom"/>
              <w:rPr>
                <w:rFonts w:ascii="Times New Roman" w:hAnsi="Times New Roman"/>
                <w:sz w:val="20"/>
                <w:szCs w:val="20"/>
              </w:rPr>
            </w:pPr>
          </w:p>
        </w:tc>
      </w:tr>
      <w:tr w:rsidR="009F0928" w14:paraId="0BC9A9A9" w14:textId="77777777">
        <w:tc>
          <w:tcPr>
            <w:tcW w:w="0" w:type="auto"/>
            <w:shd w:val="clear" w:color="auto" w:fill="E2E2E2"/>
            <w:tcMar>
              <w:top w:w="40" w:type="dxa"/>
              <w:left w:w="40" w:type="dxa"/>
              <w:bottom w:w="40" w:type="dxa"/>
              <w:right w:w="40" w:type="dxa"/>
            </w:tcMar>
            <w:vAlign w:val="bottom"/>
          </w:tcPr>
          <w:p w14:paraId="0BC9A99D" w14:textId="77777777" w:rsidR="009F0928" w:rsidRDefault="002112BD">
            <w:pPr>
              <w:ind w:hanging="360"/>
              <w:textAlignment w:val="bottom"/>
              <w:rPr>
                <w:rFonts w:ascii="Times New Roman" w:hAnsi="Times New Roman"/>
                <w:sz w:val="18"/>
                <w:szCs w:val="18"/>
              </w:rPr>
            </w:pPr>
            <w:r>
              <w:rPr>
                <w:rFonts w:ascii="Arial" w:eastAsia="宋体" w:hAnsi="Arial" w:cs="Arial"/>
                <w:sz w:val="18"/>
                <w:szCs w:val="18"/>
              </w:rPr>
              <w:t>Income (loss) from discontinued operations, net of income taxes</w:t>
            </w:r>
          </w:p>
        </w:tc>
        <w:tc>
          <w:tcPr>
            <w:tcW w:w="0" w:type="auto"/>
            <w:gridSpan w:val="2"/>
            <w:tcBorders>
              <w:bottom w:val="double" w:sz="6" w:space="0" w:color="000000"/>
            </w:tcBorders>
            <w:shd w:val="clear" w:color="auto" w:fill="E2E2E2"/>
            <w:tcMar>
              <w:top w:w="40" w:type="dxa"/>
              <w:left w:w="40" w:type="dxa"/>
              <w:bottom w:w="40" w:type="dxa"/>
            </w:tcMar>
            <w:vAlign w:val="bottom"/>
          </w:tcPr>
          <w:p w14:paraId="0BC9A99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E2E2E2"/>
            <w:vAlign w:val="bottom"/>
          </w:tcPr>
          <w:p w14:paraId="0BC9A99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9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E2E2E2"/>
            <w:tcMar>
              <w:top w:w="40" w:type="dxa"/>
              <w:left w:w="40" w:type="dxa"/>
              <w:bottom w:w="40" w:type="dxa"/>
            </w:tcMar>
            <w:vAlign w:val="bottom"/>
          </w:tcPr>
          <w:p w14:paraId="0BC9A9A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w:t>
            </w:r>
          </w:p>
        </w:tc>
        <w:tc>
          <w:tcPr>
            <w:tcW w:w="0" w:type="auto"/>
            <w:tcBorders>
              <w:top w:val="double" w:sz="6" w:space="0" w:color="000000"/>
              <w:bottom w:val="double" w:sz="6" w:space="0" w:color="000000"/>
            </w:tcBorders>
            <w:shd w:val="clear" w:color="auto" w:fill="E2E2E2"/>
            <w:vAlign w:val="bottom"/>
          </w:tcPr>
          <w:p w14:paraId="0BC9A9A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9A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E2E2E2"/>
            <w:tcMar>
              <w:top w:w="40" w:type="dxa"/>
              <w:left w:w="40" w:type="dxa"/>
              <w:bottom w:w="40" w:type="dxa"/>
            </w:tcMar>
            <w:vAlign w:val="bottom"/>
          </w:tcPr>
          <w:p w14:paraId="0BC9A9A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w:t>
            </w:r>
          </w:p>
        </w:tc>
        <w:tc>
          <w:tcPr>
            <w:tcW w:w="0" w:type="auto"/>
            <w:tcBorders>
              <w:top w:val="double" w:sz="6" w:space="0" w:color="000000"/>
              <w:bottom w:val="double" w:sz="6" w:space="0" w:color="000000"/>
            </w:tcBorders>
            <w:shd w:val="clear" w:color="auto" w:fill="E2E2E2"/>
            <w:vAlign w:val="bottom"/>
          </w:tcPr>
          <w:p w14:paraId="0BC9A9A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9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E2E2E2"/>
            <w:tcMar>
              <w:top w:w="40" w:type="dxa"/>
              <w:left w:w="40" w:type="dxa"/>
              <w:bottom w:w="40" w:type="dxa"/>
            </w:tcMar>
            <w:vAlign w:val="bottom"/>
          </w:tcPr>
          <w:p w14:paraId="0BC9A9A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w:t>
            </w:r>
          </w:p>
        </w:tc>
        <w:tc>
          <w:tcPr>
            <w:tcW w:w="0" w:type="auto"/>
            <w:tcBorders>
              <w:top w:val="double" w:sz="6" w:space="0" w:color="000000"/>
              <w:bottom w:val="double" w:sz="6" w:space="0" w:color="000000"/>
            </w:tcBorders>
            <w:shd w:val="clear" w:color="auto" w:fill="E2E2E2"/>
            <w:tcMar>
              <w:top w:w="40" w:type="dxa"/>
              <w:bottom w:w="40" w:type="dxa"/>
              <w:right w:w="40" w:type="dxa"/>
            </w:tcMar>
            <w:vAlign w:val="bottom"/>
          </w:tcPr>
          <w:p w14:paraId="0BC9A9A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r>
      <w:tr w:rsidR="009F0928" w14:paraId="0BC9A9BA" w14:textId="77777777">
        <w:tc>
          <w:tcPr>
            <w:tcW w:w="0" w:type="auto"/>
            <w:shd w:val="clear" w:color="auto" w:fill="auto"/>
            <w:tcMar>
              <w:top w:w="40" w:type="dxa"/>
              <w:left w:w="40" w:type="dxa"/>
              <w:bottom w:w="40" w:type="dxa"/>
              <w:right w:w="40" w:type="dxa"/>
            </w:tcMar>
            <w:vAlign w:val="bottom"/>
          </w:tcPr>
          <w:p w14:paraId="0BC9A9AA" w14:textId="77777777" w:rsidR="009F0928" w:rsidRDefault="002112BD">
            <w:pPr>
              <w:textAlignment w:val="bottom"/>
              <w:rPr>
                <w:rFonts w:ascii="Times New Roman" w:hAnsi="Times New Roman"/>
                <w:sz w:val="18"/>
                <w:szCs w:val="18"/>
              </w:rPr>
            </w:pPr>
            <w:r>
              <w:rPr>
                <w:rFonts w:ascii="Arial" w:eastAsia="宋体" w:hAnsi="Arial" w:cs="Arial"/>
                <w:sz w:val="18"/>
                <w:szCs w:val="18"/>
              </w:rPr>
              <w:t>Net income (loss)</w:t>
            </w:r>
          </w:p>
        </w:tc>
        <w:tc>
          <w:tcPr>
            <w:tcW w:w="0" w:type="auto"/>
            <w:tcBorders>
              <w:bottom w:val="double" w:sz="6" w:space="0" w:color="000000"/>
            </w:tcBorders>
            <w:shd w:val="clear" w:color="auto" w:fill="auto"/>
            <w:tcMar>
              <w:top w:w="40" w:type="dxa"/>
              <w:left w:w="40" w:type="dxa"/>
              <w:bottom w:w="40" w:type="dxa"/>
            </w:tcMar>
            <w:vAlign w:val="bottom"/>
          </w:tcPr>
          <w:p w14:paraId="0BC9A9A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9A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407</w:t>
            </w:r>
          </w:p>
        </w:tc>
        <w:tc>
          <w:tcPr>
            <w:tcW w:w="0" w:type="auto"/>
            <w:tcBorders>
              <w:bottom w:val="double" w:sz="6" w:space="0" w:color="000000"/>
            </w:tcBorders>
            <w:shd w:val="clear" w:color="auto" w:fill="auto"/>
            <w:vAlign w:val="bottom"/>
          </w:tcPr>
          <w:p w14:paraId="0BC9A9A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A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A9A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9B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642</w:t>
            </w:r>
          </w:p>
        </w:tc>
        <w:tc>
          <w:tcPr>
            <w:tcW w:w="0" w:type="auto"/>
            <w:tcBorders>
              <w:bottom w:val="double" w:sz="6" w:space="0" w:color="000000"/>
            </w:tcBorders>
            <w:shd w:val="clear" w:color="auto" w:fill="auto"/>
            <w:vAlign w:val="bottom"/>
          </w:tcPr>
          <w:p w14:paraId="0BC9A9B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B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A9B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9B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721</w:t>
            </w:r>
          </w:p>
        </w:tc>
        <w:tc>
          <w:tcPr>
            <w:tcW w:w="0" w:type="auto"/>
            <w:tcBorders>
              <w:bottom w:val="double" w:sz="6" w:space="0" w:color="000000"/>
            </w:tcBorders>
            <w:shd w:val="clear" w:color="auto" w:fill="auto"/>
            <w:vAlign w:val="bottom"/>
          </w:tcPr>
          <w:p w14:paraId="0BC9A9B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0BC9A9B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auto"/>
            <w:tcMar>
              <w:top w:w="40" w:type="dxa"/>
              <w:bottom w:w="40" w:type="dxa"/>
            </w:tcMar>
            <w:vAlign w:val="bottom"/>
          </w:tcPr>
          <w:p w14:paraId="0BC9A9B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760</w:t>
            </w:r>
          </w:p>
        </w:tc>
        <w:tc>
          <w:tcPr>
            <w:tcW w:w="0" w:type="auto"/>
            <w:tcBorders>
              <w:bottom w:val="double" w:sz="6" w:space="0" w:color="000000"/>
            </w:tcBorders>
            <w:shd w:val="clear" w:color="auto" w:fill="auto"/>
            <w:vAlign w:val="bottom"/>
          </w:tcPr>
          <w:p w14:paraId="0BC9A9B9" w14:textId="77777777" w:rsidR="009F0928" w:rsidRDefault="009F0928">
            <w:pPr>
              <w:textAlignment w:val="bottom"/>
              <w:rPr>
                <w:rFonts w:ascii="Times New Roman" w:hAnsi="Times New Roman"/>
                <w:sz w:val="20"/>
                <w:szCs w:val="20"/>
              </w:rPr>
            </w:pPr>
          </w:p>
        </w:tc>
      </w:tr>
      <w:tr w:rsidR="009F0928" w14:paraId="0BC9A9C3" w14:textId="77777777">
        <w:tc>
          <w:tcPr>
            <w:tcW w:w="0" w:type="auto"/>
            <w:shd w:val="clear" w:color="auto" w:fill="E2E2E2"/>
            <w:tcMar>
              <w:top w:w="40" w:type="dxa"/>
              <w:left w:w="40" w:type="dxa"/>
              <w:bottom w:w="40" w:type="dxa"/>
              <w:right w:w="40" w:type="dxa"/>
            </w:tcMar>
            <w:vAlign w:val="bottom"/>
          </w:tcPr>
          <w:p w14:paraId="0BC9A9BB" w14:textId="77777777" w:rsidR="009F0928" w:rsidRDefault="002112BD">
            <w:pPr>
              <w:textAlignment w:val="bottom"/>
              <w:rPr>
                <w:rFonts w:ascii="Times New Roman" w:hAnsi="Times New Roman"/>
                <w:sz w:val="18"/>
                <w:szCs w:val="18"/>
              </w:rPr>
            </w:pPr>
            <w:r>
              <w:rPr>
                <w:rFonts w:ascii="Arial" w:eastAsia="宋体" w:hAnsi="Arial" w:cs="Arial"/>
                <w:sz w:val="18"/>
                <w:szCs w:val="18"/>
              </w:rPr>
              <w:t>Income per share - basic:</w:t>
            </w:r>
          </w:p>
        </w:tc>
        <w:tc>
          <w:tcPr>
            <w:tcW w:w="0" w:type="auto"/>
            <w:gridSpan w:val="3"/>
            <w:shd w:val="clear" w:color="auto" w:fill="E2E2E2"/>
            <w:tcMar>
              <w:top w:w="40" w:type="dxa"/>
              <w:left w:w="40" w:type="dxa"/>
              <w:bottom w:w="40" w:type="dxa"/>
              <w:right w:w="40" w:type="dxa"/>
            </w:tcMar>
            <w:vAlign w:val="bottom"/>
          </w:tcPr>
          <w:p w14:paraId="0BC9A9B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9B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9B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9B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9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9C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9C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9D4" w14:textId="77777777">
        <w:tc>
          <w:tcPr>
            <w:tcW w:w="0" w:type="auto"/>
            <w:shd w:val="clear" w:color="auto" w:fill="auto"/>
            <w:tcMar>
              <w:top w:w="40" w:type="dxa"/>
              <w:left w:w="560" w:type="dxa"/>
              <w:bottom w:w="40" w:type="dxa"/>
              <w:right w:w="40" w:type="dxa"/>
            </w:tcMar>
            <w:vAlign w:val="bottom"/>
          </w:tcPr>
          <w:p w14:paraId="0BC9A9C4" w14:textId="77777777" w:rsidR="009F0928" w:rsidRDefault="002112BD">
            <w:pPr>
              <w:textAlignment w:val="bottom"/>
              <w:rPr>
                <w:rFonts w:ascii="Times New Roman" w:hAnsi="Times New Roman"/>
                <w:sz w:val="18"/>
                <w:szCs w:val="18"/>
              </w:rPr>
            </w:pPr>
            <w:r>
              <w:rPr>
                <w:rFonts w:ascii="Arial" w:eastAsia="宋体" w:hAnsi="Arial" w:cs="Arial"/>
                <w:sz w:val="18"/>
                <w:szCs w:val="18"/>
              </w:rPr>
              <w:t>Continuing operations</w:t>
            </w:r>
          </w:p>
        </w:tc>
        <w:tc>
          <w:tcPr>
            <w:tcW w:w="0" w:type="auto"/>
            <w:shd w:val="clear" w:color="auto" w:fill="auto"/>
            <w:tcMar>
              <w:top w:w="40" w:type="dxa"/>
              <w:left w:w="40" w:type="dxa"/>
              <w:bottom w:w="40" w:type="dxa"/>
            </w:tcMar>
            <w:vAlign w:val="bottom"/>
          </w:tcPr>
          <w:p w14:paraId="0BC9A9C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9C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0.40</w:t>
            </w:r>
          </w:p>
        </w:tc>
        <w:tc>
          <w:tcPr>
            <w:tcW w:w="0" w:type="auto"/>
            <w:shd w:val="clear" w:color="auto" w:fill="auto"/>
            <w:vAlign w:val="bottom"/>
          </w:tcPr>
          <w:p w14:paraId="0BC9A9C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C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9C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9C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0.64</w:t>
            </w:r>
          </w:p>
        </w:tc>
        <w:tc>
          <w:tcPr>
            <w:tcW w:w="0" w:type="auto"/>
            <w:shd w:val="clear" w:color="auto" w:fill="auto"/>
            <w:vAlign w:val="bottom"/>
          </w:tcPr>
          <w:p w14:paraId="0BC9A9CB"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C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9C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9C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0.74</w:t>
            </w:r>
          </w:p>
        </w:tc>
        <w:tc>
          <w:tcPr>
            <w:tcW w:w="0" w:type="auto"/>
            <w:shd w:val="clear" w:color="auto" w:fill="auto"/>
            <w:vAlign w:val="bottom"/>
          </w:tcPr>
          <w:p w14:paraId="0BC9A9C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9D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9D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0.81</w:t>
            </w:r>
          </w:p>
        </w:tc>
        <w:tc>
          <w:tcPr>
            <w:tcW w:w="0" w:type="auto"/>
            <w:shd w:val="clear" w:color="auto" w:fill="auto"/>
            <w:vAlign w:val="bottom"/>
          </w:tcPr>
          <w:p w14:paraId="0BC9A9D3" w14:textId="77777777" w:rsidR="009F0928" w:rsidRDefault="009F0928">
            <w:pPr>
              <w:textAlignment w:val="bottom"/>
              <w:rPr>
                <w:rFonts w:ascii="Times New Roman" w:hAnsi="Times New Roman"/>
                <w:sz w:val="20"/>
                <w:szCs w:val="20"/>
              </w:rPr>
            </w:pPr>
          </w:p>
        </w:tc>
      </w:tr>
      <w:tr w:rsidR="009F0928" w14:paraId="0BC9A9E1" w14:textId="77777777">
        <w:tc>
          <w:tcPr>
            <w:tcW w:w="0" w:type="auto"/>
            <w:shd w:val="clear" w:color="auto" w:fill="E2E2E2"/>
            <w:tcMar>
              <w:top w:w="40" w:type="dxa"/>
              <w:left w:w="560" w:type="dxa"/>
              <w:bottom w:w="40" w:type="dxa"/>
              <w:right w:w="40" w:type="dxa"/>
            </w:tcMar>
            <w:vAlign w:val="bottom"/>
          </w:tcPr>
          <w:p w14:paraId="0BC9A9D5" w14:textId="77777777" w:rsidR="009F0928" w:rsidRDefault="002112BD">
            <w:pPr>
              <w:textAlignment w:val="bottom"/>
              <w:rPr>
                <w:rFonts w:ascii="Times New Roman" w:hAnsi="Times New Roman"/>
                <w:sz w:val="18"/>
                <w:szCs w:val="18"/>
              </w:rPr>
            </w:pPr>
            <w:r>
              <w:rPr>
                <w:rFonts w:ascii="Arial" w:eastAsia="宋体" w:hAnsi="Arial" w:cs="Arial"/>
                <w:sz w:val="18"/>
                <w:szCs w:val="18"/>
              </w:rPr>
              <w:t>Discontinued operations</w:t>
            </w:r>
          </w:p>
        </w:tc>
        <w:tc>
          <w:tcPr>
            <w:tcW w:w="0" w:type="auto"/>
            <w:gridSpan w:val="2"/>
            <w:tcBorders>
              <w:bottom w:val="single" w:sz="8" w:space="0" w:color="000000"/>
            </w:tcBorders>
            <w:shd w:val="clear" w:color="auto" w:fill="E2E2E2"/>
            <w:tcMar>
              <w:top w:w="40" w:type="dxa"/>
              <w:left w:w="40" w:type="dxa"/>
              <w:bottom w:w="40" w:type="dxa"/>
            </w:tcMar>
            <w:vAlign w:val="bottom"/>
          </w:tcPr>
          <w:p w14:paraId="0BC9A9D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E2E2E2"/>
            <w:vAlign w:val="bottom"/>
          </w:tcPr>
          <w:p w14:paraId="0BC9A9D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9D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9D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9D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9D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9D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9DD"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9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9DF"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9E0" w14:textId="77777777" w:rsidR="009F0928" w:rsidRDefault="009F0928">
            <w:pPr>
              <w:textAlignment w:val="bottom"/>
              <w:rPr>
                <w:rFonts w:ascii="Times New Roman" w:hAnsi="Times New Roman"/>
                <w:sz w:val="20"/>
                <w:szCs w:val="20"/>
              </w:rPr>
            </w:pPr>
          </w:p>
        </w:tc>
      </w:tr>
      <w:tr w:rsidR="009F0928" w14:paraId="0BC9A9F2" w14:textId="77777777">
        <w:tc>
          <w:tcPr>
            <w:tcW w:w="0" w:type="auto"/>
            <w:shd w:val="clear" w:color="auto" w:fill="auto"/>
            <w:tcMar>
              <w:top w:w="40" w:type="dxa"/>
              <w:left w:w="40" w:type="dxa"/>
              <w:bottom w:w="40" w:type="dxa"/>
              <w:right w:w="40" w:type="dxa"/>
            </w:tcMar>
            <w:vAlign w:val="bottom"/>
          </w:tcPr>
          <w:p w14:paraId="0BC9A9E2" w14:textId="77777777" w:rsidR="009F0928" w:rsidRDefault="002112BD">
            <w:pPr>
              <w:textAlignment w:val="bottom"/>
              <w:rPr>
                <w:rFonts w:ascii="Times New Roman" w:hAnsi="Times New Roman"/>
                <w:sz w:val="18"/>
                <w:szCs w:val="18"/>
              </w:rPr>
            </w:pPr>
            <w:r>
              <w:rPr>
                <w:rFonts w:ascii="Arial" w:eastAsia="宋体" w:hAnsi="Arial" w:cs="Arial"/>
                <w:sz w:val="18"/>
                <w:szCs w:val="18"/>
              </w:rPr>
              <w:t>Net income (loss) per share - basic</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9E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9E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0.40</w:t>
            </w:r>
          </w:p>
        </w:tc>
        <w:tc>
          <w:tcPr>
            <w:tcW w:w="0" w:type="auto"/>
            <w:tcBorders>
              <w:top w:val="single" w:sz="8" w:space="0" w:color="000000"/>
              <w:bottom w:val="double" w:sz="6" w:space="0" w:color="000000"/>
            </w:tcBorders>
            <w:shd w:val="clear" w:color="auto" w:fill="auto"/>
            <w:vAlign w:val="bottom"/>
          </w:tcPr>
          <w:p w14:paraId="0BC9A9E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9E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9E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0.64</w:t>
            </w:r>
          </w:p>
        </w:tc>
        <w:tc>
          <w:tcPr>
            <w:tcW w:w="0" w:type="auto"/>
            <w:tcBorders>
              <w:top w:val="single" w:sz="8" w:space="0" w:color="000000"/>
              <w:bottom w:val="double" w:sz="6" w:space="0" w:color="000000"/>
            </w:tcBorders>
            <w:shd w:val="clear" w:color="auto" w:fill="auto"/>
            <w:vAlign w:val="bottom"/>
          </w:tcPr>
          <w:p w14:paraId="0BC9A9E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E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9E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9E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0.74</w:t>
            </w:r>
          </w:p>
        </w:tc>
        <w:tc>
          <w:tcPr>
            <w:tcW w:w="0" w:type="auto"/>
            <w:tcBorders>
              <w:top w:val="single" w:sz="8" w:space="0" w:color="000000"/>
              <w:bottom w:val="double" w:sz="6" w:space="0" w:color="000000"/>
            </w:tcBorders>
            <w:shd w:val="clear" w:color="auto" w:fill="auto"/>
            <w:vAlign w:val="bottom"/>
          </w:tcPr>
          <w:p w14:paraId="0BC9A9E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9E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9E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9F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0.81</w:t>
            </w:r>
          </w:p>
        </w:tc>
        <w:tc>
          <w:tcPr>
            <w:tcW w:w="0" w:type="auto"/>
            <w:tcBorders>
              <w:top w:val="single" w:sz="8" w:space="0" w:color="000000"/>
              <w:bottom w:val="double" w:sz="6" w:space="0" w:color="000000"/>
            </w:tcBorders>
            <w:shd w:val="clear" w:color="auto" w:fill="auto"/>
            <w:vAlign w:val="bottom"/>
          </w:tcPr>
          <w:p w14:paraId="0BC9A9F1" w14:textId="77777777" w:rsidR="009F0928" w:rsidRDefault="009F0928">
            <w:pPr>
              <w:textAlignment w:val="bottom"/>
              <w:rPr>
                <w:rFonts w:ascii="Times New Roman" w:hAnsi="Times New Roman"/>
                <w:sz w:val="20"/>
                <w:szCs w:val="20"/>
              </w:rPr>
            </w:pPr>
          </w:p>
        </w:tc>
      </w:tr>
      <w:tr w:rsidR="009F0928" w14:paraId="0BC9A9FB" w14:textId="77777777">
        <w:tc>
          <w:tcPr>
            <w:tcW w:w="0" w:type="auto"/>
            <w:shd w:val="clear" w:color="auto" w:fill="E2E2E2"/>
            <w:tcMar>
              <w:top w:w="40" w:type="dxa"/>
              <w:left w:w="40" w:type="dxa"/>
              <w:bottom w:w="40" w:type="dxa"/>
              <w:right w:w="40" w:type="dxa"/>
            </w:tcMar>
            <w:vAlign w:val="bottom"/>
          </w:tcPr>
          <w:p w14:paraId="0BC9A9F3" w14:textId="77777777" w:rsidR="009F0928" w:rsidRDefault="002112BD">
            <w:pPr>
              <w:textAlignment w:val="bottom"/>
              <w:rPr>
                <w:rFonts w:ascii="Times New Roman" w:hAnsi="Times New Roman"/>
                <w:sz w:val="18"/>
                <w:szCs w:val="18"/>
              </w:rPr>
            </w:pPr>
            <w:r>
              <w:rPr>
                <w:rFonts w:ascii="Arial" w:eastAsia="宋体" w:hAnsi="Arial" w:cs="Arial"/>
                <w:sz w:val="18"/>
                <w:szCs w:val="18"/>
              </w:rPr>
              <w:t>Income (loss) per share - diluted:</w:t>
            </w:r>
          </w:p>
        </w:tc>
        <w:tc>
          <w:tcPr>
            <w:tcW w:w="0" w:type="auto"/>
            <w:gridSpan w:val="3"/>
            <w:shd w:val="clear" w:color="auto" w:fill="E2E2E2"/>
            <w:tcMar>
              <w:top w:w="40" w:type="dxa"/>
              <w:left w:w="40" w:type="dxa"/>
              <w:bottom w:w="40" w:type="dxa"/>
              <w:right w:w="40" w:type="dxa"/>
            </w:tcMar>
            <w:vAlign w:val="bottom"/>
          </w:tcPr>
          <w:p w14:paraId="0BC9A9F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9F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9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9F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9F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9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9F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A0C" w14:textId="77777777">
        <w:tc>
          <w:tcPr>
            <w:tcW w:w="0" w:type="auto"/>
            <w:shd w:val="clear" w:color="auto" w:fill="auto"/>
            <w:tcMar>
              <w:top w:w="40" w:type="dxa"/>
              <w:left w:w="560" w:type="dxa"/>
              <w:bottom w:w="40" w:type="dxa"/>
              <w:right w:w="40" w:type="dxa"/>
            </w:tcMar>
            <w:vAlign w:val="bottom"/>
          </w:tcPr>
          <w:p w14:paraId="0BC9A9FC" w14:textId="77777777" w:rsidR="009F0928" w:rsidRDefault="002112BD">
            <w:pPr>
              <w:textAlignment w:val="bottom"/>
              <w:rPr>
                <w:rFonts w:ascii="Times New Roman" w:hAnsi="Times New Roman"/>
                <w:sz w:val="18"/>
                <w:szCs w:val="18"/>
              </w:rPr>
            </w:pPr>
            <w:r>
              <w:rPr>
                <w:rFonts w:ascii="Arial" w:eastAsia="宋体" w:hAnsi="Arial" w:cs="Arial"/>
                <w:sz w:val="18"/>
                <w:szCs w:val="18"/>
              </w:rPr>
              <w:t>Continuing operations</w:t>
            </w:r>
          </w:p>
        </w:tc>
        <w:tc>
          <w:tcPr>
            <w:tcW w:w="0" w:type="auto"/>
            <w:shd w:val="clear" w:color="auto" w:fill="auto"/>
            <w:tcMar>
              <w:top w:w="40" w:type="dxa"/>
              <w:left w:w="40" w:type="dxa"/>
              <w:bottom w:w="40" w:type="dxa"/>
            </w:tcMar>
            <w:vAlign w:val="bottom"/>
          </w:tcPr>
          <w:p w14:paraId="0BC9A9F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9F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0.40</w:t>
            </w:r>
          </w:p>
        </w:tc>
        <w:tc>
          <w:tcPr>
            <w:tcW w:w="0" w:type="auto"/>
            <w:shd w:val="clear" w:color="auto" w:fill="auto"/>
            <w:vAlign w:val="bottom"/>
          </w:tcPr>
          <w:p w14:paraId="0BC9A9F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A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A0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A0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0.64</w:t>
            </w:r>
          </w:p>
        </w:tc>
        <w:tc>
          <w:tcPr>
            <w:tcW w:w="0" w:type="auto"/>
            <w:shd w:val="clear" w:color="auto" w:fill="auto"/>
            <w:vAlign w:val="bottom"/>
          </w:tcPr>
          <w:p w14:paraId="0BC9AA0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A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A0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A0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0.73</w:t>
            </w:r>
          </w:p>
        </w:tc>
        <w:tc>
          <w:tcPr>
            <w:tcW w:w="0" w:type="auto"/>
            <w:shd w:val="clear" w:color="auto" w:fill="auto"/>
            <w:vAlign w:val="bottom"/>
          </w:tcPr>
          <w:p w14:paraId="0BC9AA0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A0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A0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A0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0.80</w:t>
            </w:r>
          </w:p>
        </w:tc>
        <w:tc>
          <w:tcPr>
            <w:tcW w:w="0" w:type="auto"/>
            <w:shd w:val="clear" w:color="auto" w:fill="auto"/>
            <w:vAlign w:val="bottom"/>
          </w:tcPr>
          <w:p w14:paraId="0BC9AA0B" w14:textId="77777777" w:rsidR="009F0928" w:rsidRDefault="009F0928">
            <w:pPr>
              <w:textAlignment w:val="bottom"/>
              <w:rPr>
                <w:rFonts w:ascii="Times New Roman" w:hAnsi="Times New Roman"/>
                <w:sz w:val="20"/>
                <w:szCs w:val="20"/>
              </w:rPr>
            </w:pPr>
          </w:p>
        </w:tc>
      </w:tr>
      <w:tr w:rsidR="009F0928" w14:paraId="0BC9AA19" w14:textId="77777777">
        <w:tc>
          <w:tcPr>
            <w:tcW w:w="0" w:type="auto"/>
            <w:shd w:val="clear" w:color="auto" w:fill="E2E2E2"/>
            <w:tcMar>
              <w:top w:w="40" w:type="dxa"/>
              <w:left w:w="560" w:type="dxa"/>
              <w:bottom w:w="40" w:type="dxa"/>
              <w:right w:w="40" w:type="dxa"/>
            </w:tcMar>
            <w:vAlign w:val="bottom"/>
          </w:tcPr>
          <w:p w14:paraId="0BC9AA0D" w14:textId="77777777" w:rsidR="009F0928" w:rsidRDefault="002112BD">
            <w:pPr>
              <w:textAlignment w:val="bottom"/>
              <w:rPr>
                <w:rFonts w:ascii="Times New Roman" w:hAnsi="Times New Roman"/>
                <w:sz w:val="18"/>
                <w:szCs w:val="18"/>
              </w:rPr>
            </w:pPr>
            <w:r>
              <w:rPr>
                <w:rFonts w:ascii="Arial" w:eastAsia="宋体" w:hAnsi="Arial" w:cs="Arial"/>
                <w:sz w:val="18"/>
                <w:szCs w:val="18"/>
              </w:rPr>
              <w:t>Discontinued operations</w:t>
            </w:r>
          </w:p>
        </w:tc>
        <w:tc>
          <w:tcPr>
            <w:tcW w:w="0" w:type="auto"/>
            <w:gridSpan w:val="2"/>
            <w:shd w:val="clear" w:color="auto" w:fill="E2E2E2"/>
            <w:tcMar>
              <w:top w:w="40" w:type="dxa"/>
              <w:left w:w="40" w:type="dxa"/>
              <w:bottom w:w="40" w:type="dxa"/>
            </w:tcMar>
            <w:vAlign w:val="bottom"/>
          </w:tcPr>
          <w:p w14:paraId="0BC9AA0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A0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A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A1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A1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A1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A1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A15"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A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A17"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A18" w14:textId="77777777" w:rsidR="009F0928" w:rsidRDefault="009F0928">
            <w:pPr>
              <w:textAlignment w:val="bottom"/>
              <w:rPr>
                <w:rFonts w:ascii="Times New Roman" w:hAnsi="Times New Roman"/>
                <w:sz w:val="20"/>
                <w:szCs w:val="20"/>
              </w:rPr>
            </w:pPr>
          </w:p>
        </w:tc>
      </w:tr>
      <w:tr w:rsidR="009F0928" w14:paraId="0BC9AA2A" w14:textId="77777777">
        <w:tc>
          <w:tcPr>
            <w:tcW w:w="0" w:type="auto"/>
            <w:shd w:val="clear" w:color="auto" w:fill="auto"/>
            <w:tcMar>
              <w:top w:w="40" w:type="dxa"/>
              <w:left w:w="40" w:type="dxa"/>
              <w:bottom w:w="40" w:type="dxa"/>
              <w:right w:w="40" w:type="dxa"/>
            </w:tcMar>
            <w:vAlign w:val="bottom"/>
          </w:tcPr>
          <w:p w14:paraId="0BC9AA1A" w14:textId="77777777" w:rsidR="009F0928" w:rsidRDefault="002112BD">
            <w:pPr>
              <w:textAlignment w:val="bottom"/>
              <w:rPr>
                <w:rFonts w:ascii="Times New Roman" w:hAnsi="Times New Roman"/>
                <w:sz w:val="18"/>
                <w:szCs w:val="18"/>
              </w:rPr>
            </w:pPr>
            <w:r>
              <w:rPr>
                <w:rFonts w:ascii="Arial" w:eastAsia="宋体" w:hAnsi="Arial" w:cs="Arial"/>
                <w:sz w:val="18"/>
                <w:szCs w:val="18"/>
              </w:rPr>
              <w:t>Net income (loss) per share - diluted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A1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A1C"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0.40</w:t>
            </w:r>
          </w:p>
        </w:tc>
        <w:tc>
          <w:tcPr>
            <w:tcW w:w="0" w:type="auto"/>
            <w:tcBorders>
              <w:top w:val="single" w:sz="8" w:space="0" w:color="000000"/>
              <w:bottom w:val="double" w:sz="6" w:space="0" w:color="000000"/>
            </w:tcBorders>
            <w:shd w:val="clear" w:color="auto" w:fill="auto"/>
            <w:vAlign w:val="bottom"/>
          </w:tcPr>
          <w:p w14:paraId="0BC9AA1D"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A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A1F"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A2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0.64</w:t>
            </w:r>
          </w:p>
        </w:tc>
        <w:tc>
          <w:tcPr>
            <w:tcW w:w="0" w:type="auto"/>
            <w:tcBorders>
              <w:top w:val="single" w:sz="8" w:space="0" w:color="000000"/>
              <w:bottom w:val="double" w:sz="6" w:space="0" w:color="000000"/>
            </w:tcBorders>
            <w:shd w:val="clear" w:color="auto" w:fill="auto"/>
            <w:vAlign w:val="bottom"/>
          </w:tcPr>
          <w:p w14:paraId="0BC9AA2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A2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A23"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A24"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0.73</w:t>
            </w:r>
          </w:p>
        </w:tc>
        <w:tc>
          <w:tcPr>
            <w:tcW w:w="0" w:type="auto"/>
            <w:tcBorders>
              <w:top w:val="single" w:sz="8" w:space="0" w:color="000000"/>
              <w:bottom w:val="double" w:sz="6" w:space="0" w:color="000000"/>
            </w:tcBorders>
            <w:shd w:val="clear" w:color="auto" w:fill="auto"/>
            <w:vAlign w:val="bottom"/>
          </w:tcPr>
          <w:p w14:paraId="0BC9AA25"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A2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0BC9AA2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0BC9AA2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0.80</w:t>
            </w:r>
          </w:p>
        </w:tc>
        <w:tc>
          <w:tcPr>
            <w:tcW w:w="0" w:type="auto"/>
            <w:tcBorders>
              <w:top w:val="single" w:sz="8" w:space="0" w:color="000000"/>
              <w:bottom w:val="double" w:sz="6" w:space="0" w:color="000000"/>
            </w:tcBorders>
            <w:shd w:val="clear" w:color="auto" w:fill="auto"/>
            <w:vAlign w:val="bottom"/>
          </w:tcPr>
          <w:p w14:paraId="0BC9AA29" w14:textId="77777777" w:rsidR="009F0928" w:rsidRDefault="009F0928">
            <w:pPr>
              <w:textAlignment w:val="bottom"/>
              <w:rPr>
                <w:rFonts w:ascii="Times New Roman" w:hAnsi="Times New Roman"/>
                <w:sz w:val="20"/>
                <w:szCs w:val="20"/>
              </w:rPr>
            </w:pPr>
          </w:p>
        </w:tc>
      </w:tr>
      <w:tr w:rsidR="009F0928" w14:paraId="0BC9AA33" w14:textId="77777777">
        <w:tc>
          <w:tcPr>
            <w:tcW w:w="0" w:type="auto"/>
            <w:shd w:val="clear" w:color="auto" w:fill="E2E2E2"/>
            <w:tcMar>
              <w:top w:w="40" w:type="dxa"/>
              <w:left w:w="40" w:type="dxa"/>
              <w:bottom w:w="40" w:type="dxa"/>
              <w:right w:w="40" w:type="dxa"/>
            </w:tcMar>
            <w:vAlign w:val="bottom"/>
          </w:tcPr>
          <w:p w14:paraId="0BC9AA2B" w14:textId="77777777" w:rsidR="009F0928" w:rsidRDefault="002112BD">
            <w:pPr>
              <w:textAlignment w:val="bottom"/>
              <w:rPr>
                <w:rFonts w:ascii="Times New Roman" w:hAnsi="Times New Roman"/>
                <w:sz w:val="18"/>
                <w:szCs w:val="18"/>
              </w:rPr>
            </w:pPr>
            <w:r>
              <w:rPr>
                <w:rFonts w:ascii="Arial" w:eastAsia="宋体" w:hAnsi="Arial" w:cs="Arial"/>
                <w:sz w:val="18"/>
                <w:szCs w:val="18"/>
              </w:rPr>
              <w:t>Weighted-average shares:</w:t>
            </w:r>
          </w:p>
        </w:tc>
        <w:tc>
          <w:tcPr>
            <w:tcW w:w="0" w:type="auto"/>
            <w:gridSpan w:val="3"/>
            <w:shd w:val="clear" w:color="auto" w:fill="E2E2E2"/>
            <w:tcMar>
              <w:top w:w="40" w:type="dxa"/>
              <w:left w:w="40" w:type="dxa"/>
              <w:bottom w:w="40" w:type="dxa"/>
              <w:right w:w="40" w:type="dxa"/>
            </w:tcMar>
            <w:vAlign w:val="bottom"/>
          </w:tcPr>
          <w:p w14:paraId="0BC9AA2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A2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A2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A2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A3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A3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A3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A40" w14:textId="77777777">
        <w:tc>
          <w:tcPr>
            <w:tcW w:w="0" w:type="auto"/>
            <w:shd w:val="clear" w:color="auto" w:fill="auto"/>
            <w:tcMar>
              <w:top w:w="40" w:type="dxa"/>
              <w:left w:w="720" w:type="dxa"/>
              <w:bottom w:w="40" w:type="dxa"/>
              <w:right w:w="40" w:type="dxa"/>
            </w:tcMar>
            <w:vAlign w:val="bottom"/>
          </w:tcPr>
          <w:p w14:paraId="0BC9AA34" w14:textId="77777777" w:rsidR="009F0928" w:rsidRDefault="002112BD">
            <w:pPr>
              <w:textAlignment w:val="bottom"/>
              <w:rPr>
                <w:rFonts w:ascii="Times New Roman" w:hAnsi="Times New Roman"/>
                <w:sz w:val="18"/>
                <w:szCs w:val="18"/>
              </w:rPr>
            </w:pPr>
            <w:r>
              <w:rPr>
                <w:rFonts w:ascii="Arial" w:eastAsia="宋体" w:hAnsi="Arial" w:cs="Arial"/>
                <w:sz w:val="18"/>
                <w:szCs w:val="18"/>
              </w:rPr>
              <w:t>Basic</w:t>
            </w:r>
          </w:p>
        </w:tc>
        <w:tc>
          <w:tcPr>
            <w:tcW w:w="0" w:type="auto"/>
            <w:gridSpan w:val="2"/>
            <w:shd w:val="clear" w:color="auto" w:fill="auto"/>
            <w:tcMar>
              <w:top w:w="40" w:type="dxa"/>
              <w:left w:w="40" w:type="dxa"/>
              <w:bottom w:w="40" w:type="dxa"/>
            </w:tcMar>
            <w:vAlign w:val="bottom"/>
          </w:tcPr>
          <w:p w14:paraId="0BC9AA3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1,010</w:t>
            </w:r>
          </w:p>
        </w:tc>
        <w:tc>
          <w:tcPr>
            <w:tcW w:w="0" w:type="auto"/>
            <w:shd w:val="clear" w:color="auto" w:fill="auto"/>
            <w:vAlign w:val="bottom"/>
          </w:tcPr>
          <w:p w14:paraId="0BC9AA3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A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A3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992</w:t>
            </w:r>
          </w:p>
        </w:tc>
        <w:tc>
          <w:tcPr>
            <w:tcW w:w="0" w:type="auto"/>
            <w:shd w:val="clear" w:color="auto" w:fill="auto"/>
            <w:vAlign w:val="bottom"/>
          </w:tcPr>
          <w:p w14:paraId="0BC9AA39"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A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A3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974</w:t>
            </w:r>
          </w:p>
        </w:tc>
        <w:tc>
          <w:tcPr>
            <w:tcW w:w="0" w:type="auto"/>
            <w:shd w:val="clear" w:color="auto" w:fill="auto"/>
            <w:vAlign w:val="bottom"/>
          </w:tcPr>
          <w:p w14:paraId="0BC9AA3C"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A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A3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945</w:t>
            </w:r>
          </w:p>
        </w:tc>
        <w:tc>
          <w:tcPr>
            <w:tcW w:w="0" w:type="auto"/>
            <w:shd w:val="clear" w:color="auto" w:fill="auto"/>
            <w:vAlign w:val="bottom"/>
          </w:tcPr>
          <w:p w14:paraId="0BC9AA3F" w14:textId="77777777" w:rsidR="009F0928" w:rsidRDefault="009F0928">
            <w:pPr>
              <w:textAlignment w:val="bottom"/>
              <w:rPr>
                <w:rFonts w:ascii="Times New Roman" w:hAnsi="Times New Roman"/>
                <w:sz w:val="20"/>
                <w:szCs w:val="20"/>
              </w:rPr>
            </w:pPr>
          </w:p>
        </w:tc>
      </w:tr>
      <w:tr w:rsidR="009F0928" w14:paraId="0BC9AA4D" w14:textId="77777777">
        <w:tc>
          <w:tcPr>
            <w:tcW w:w="0" w:type="auto"/>
            <w:shd w:val="clear" w:color="auto" w:fill="E2E2E2"/>
            <w:tcMar>
              <w:top w:w="40" w:type="dxa"/>
              <w:left w:w="720" w:type="dxa"/>
              <w:bottom w:w="40" w:type="dxa"/>
              <w:right w:w="40" w:type="dxa"/>
            </w:tcMar>
            <w:vAlign w:val="bottom"/>
          </w:tcPr>
          <w:p w14:paraId="0BC9AA41" w14:textId="77777777" w:rsidR="009F0928" w:rsidRDefault="002112BD">
            <w:pPr>
              <w:textAlignment w:val="bottom"/>
              <w:rPr>
                <w:rFonts w:ascii="Times New Roman" w:hAnsi="Times New Roman"/>
                <w:sz w:val="18"/>
                <w:szCs w:val="18"/>
              </w:rPr>
            </w:pPr>
            <w:r>
              <w:rPr>
                <w:rFonts w:ascii="Arial" w:eastAsia="宋体" w:hAnsi="Arial" w:cs="Arial"/>
                <w:sz w:val="18"/>
                <w:szCs w:val="18"/>
              </w:rPr>
              <w:t>Diluted</w:t>
            </w:r>
          </w:p>
        </w:tc>
        <w:tc>
          <w:tcPr>
            <w:tcW w:w="0" w:type="auto"/>
            <w:gridSpan w:val="2"/>
            <w:shd w:val="clear" w:color="auto" w:fill="E2E2E2"/>
            <w:tcMar>
              <w:top w:w="40" w:type="dxa"/>
              <w:left w:w="40" w:type="dxa"/>
              <w:bottom w:w="40" w:type="dxa"/>
            </w:tcMar>
            <w:vAlign w:val="bottom"/>
          </w:tcPr>
          <w:p w14:paraId="0BC9AA4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1,029</w:t>
            </w:r>
          </w:p>
        </w:tc>
        <w:tc>
          <w:tcPr>
            <w:tcW w:w="0" w:type="auto"/>
            <w:shd w:val="clear" w:color="auto" w:fill="E2E2E2"/>
            <w:vAlign w:val="bottom"/>
          </w:tcPr>
          <w:p w14:paraId="0BC9AA4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A4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A4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1,004</w:t>
            </w:r>
          </w:p>
        </w:tc>
        <w:tc>
          <w:tcPr>
            <w:tcW w:w="0" w:type="auto"/>
            <w:shd w:val="clear" w:color="auto" w:fill="E2E2E2"/>
            <w:vAlign w:val="bottom"/>
          </w:tcPr>
          <w:p w14:paraId="0BC9AA46"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A4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A48"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983</w:t>
            </w:r>
          </w:p>
        </w:tc>
        <w:tc>
          <w:tcPr>
            <w:tcW w:w="0" w:type="auto"/>
            <w:shd w:val="clear" w:color="auto" w:fill="E2E2E2"/>
            <w:vAlign w:val="bottom"/>
          </w:tcPr>
          <w:p w14:paraId="0BC9AA49"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A4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A4B"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950</w:t>
            </w:r>
          </w:p>
        </w:tc>
        <w:tc>
          <w:tcPr>
            <w:tcW w:w="0" w:type="auto"/>
            <w:shd w:val="clear" w:color="auto" w:fill="E2E2E2"/>
            <w:vAlign w:val="bottom"/>
          </w:tcPr>
          <w:p w14:paraId="0BC9AA4C" w14:textId="77777777" w:rsidR="009F0928" w:rsidRDefault="009F0928">
            <w:pPr>
              <w:textAlignment w:val="bottom"/>
              <w:rPr>
                <w:rFonts w:ascii="Times New Roman" w:hAnsi="Times New Roman"/>
                <w:sz w:val="20"/>
                <w:szCs w:val="20"/>
              </w:rPr>
            </w:pPr>
          </w:p>
        </w:tc>
      </w:tr>
    </w:tbl>
    <w:p w14:paraId="0BC9AA4E" w14:textId="77777777" w:rsidR="009F0928" w:rsidRDefault="009F0928">
      <w:pPr>
        <w:spacing w:line="288" w:lineRule="auto"/>
        <w:jc w:val="both"/>
        <w:rPr>
          <w:rFonts w:ascii="Times New Roman" w:hAnsi="Times New Roman"/>
          <w:sz w:val="20"/>
          <w:szCs w:val="20"/>
        </w:rPr>
      </w:pPr>
    </w:p>
    <w:p w14:paraId="0BC9AA4F" w14:textId="77777777" w:rsidR="009F0928" w:rsidRDefault="009F0928">
      <w:pPr>
        <w:rPr>
          <w:rFonts w:ascii="Times New Roman" w:hAnsi="Times New Roman"/>
          <w:sz w:val="20"/>
          <w:szCs w:val="20"/>
        </w:rPr>
      </w:pPr>
    </w:p>
    <w:p w14:paraId="0BC9AA50"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F-45</w:t>
      </w:r>
    </w:p>
    <w:p w14:paraId="0BC9AA51" w14:textId="77777777" w:rsidR="009F0928" w:rsidRDefault="002112BD">
      <w:r>
        <w:rPr>
          <w:rFonts w:ascii="Times New Roman" w:hAnsi="Times New Roman"/>
          <w:sz w:val="18"/>
          <w:szCs w:val="18"/>
        </w:rPr>
        <w:pict w14:anchorId="0BC9B527">
          <v:rect id="_x0000_i1131" style="width:415.3pt;height:1.5pt" o:hralign="center" o:hrstd="t" o:hr="t" fillcolor="#a0a0a0" stroked="f"/>
        </w:pict>
      </w:r>
    </w:p>
    <w:p w14:paraId="0BC9AA52" w14:textId="77777777" w:rsidR="009F0928" w:rsidRDefault="009F0928">
      <w:pPr>
        <w:spacing w:line="288" w:lineRule="auto"/>
        <w:rPr>
          <w:rFonts w:ascii="Times New Roman" w:hAnsi="Times New Roman"/>
          <w:sz w:val="20"/>
          <w:szCs w:val="20"/>
        </w:rPr>
      </w:pPr>
    </w:p>
    <w:p w14:paraId="0BC9AA53" w14:textId="77777777" w:rsidR="009F0928" w:rsidRDefault="009F0928">
      <w:pPr>
        <w:rPr>
          <w:rFonts w:ascii="Times New Roman" w:hAnsi="Times New Roman"/>
          <w:sz w:val="20"/>
          <w:szCs w:val="20"/>
        </w:rPr>
      </w:pPr>
    </w:p>
    <w:p w14:paraId="0BC9AA54"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 xml:space="preserve">eBay Inc. </w:t>
      </w:r>
    </w:p>
    <w:p w14:paraId="0BC9AA55" w14:textId="77777777" w:rsidR="009F0928" w:rsidRDefault="002112BD">
      <w:pPr>
        <w:spacing w:line="288" w:lineRule="auto"/>
        <w:jc w:val="both"/>
        <w:rPr>
          <w:rFonts w:ascii="Times New Roman" w:hAnsi="Times New Roman"/>
          <w:sz w:val="20"/>
          <w:szCs w:val="20"/>
        </w:rPr>
      </w:pPr>
      <w:r>
        <w:rPr>
          <w:rFonts w:ascii="Arial" w:eastAsia="宋体" w:hAnsi="Arial" w:cs="Arial"/>
          <w:b/>
          <w:bCs/>
          <w:sz w:val="20"/>
          <w:szCs w:val="20"/>
        </w:rPr>
        <w:t xml:space="preserve">FINANCIAL STATEMENT SCHEDULE </w:t>
      </w:r>
    </w:p>
    <w:p w14:paraId="0BC9AA56" w14:textId="77777777" w:rsidR="009F0928" w:rsidRDefault="002112BD">
      <w:pPr>
        <w:spacing w:line="288" w:lineRule="auto"/>
        <w:jc w:val="both"/>
        <w:rPr>
          <w:rFonts w:ascii="Times New Roman" w:hAnsi="Times New Roman"/>
          <w:sz w:val="20"/>
          <w:szCs w:val="20"/>
        </w:rPr>
      </w:pPr>
      <w:r>
        <w:rPr>
          <w:rFonts w:ascii="Arial" w:eastAsia="宋体" w:hAnsi="Arial" w:cs="Arial"/>
          <w:sz w:val="20"/>
          <w:szCs w:val="20"/>
        </w:rPr>
        <w:t xml:space="preserve">The Financial Statement Schedule II — VALUATION AND QUALIFYING ACCOUNTS as of and for the years ended December 31, 2019, 2018 and 2017. </w:t>
      </w:r>
    </w:p>
    <w:tbl>
      <w:tblPr>
        <w:tblW w:w="5000" w:type="pct"/>
        <w:tblCellMar>
          <w:left w:w="0" w:type="dxa"/>
          <w:right w:w="0" w:type="dxa"/>
        </w:tblCellMar>
        <w:tblLook w:val="04A0" w:firstRow="1" w:lastRow="0" w:firstColumn="1" w:lastColumn="0" w:noHBand="0" w:noVBand="1"/>
      </w:tblPr>
      <w:tblGrid>
        <w:gridCol w:w="2318"/>
        <w:gridCol w:w="142"/>
        <w:gridCol w:w="720"/>
        <w:gridCol w:w="71"/>
        <w:gridCol w:w="130"/>
        <w:gridCol w:w="142"/>
        <w:gridCol w:w="1186"/>
        <w:gridCol w:w="118"/>
        <w:gridCol w:w="130"/>
        <w:gridCol w:w="142"/>
        <w:gridCol w:w="608"/>
        <w:gridCol w:w="100"/>
        <w:gridCol w:w="130"/>
        <w:gridCol w:w="141"/>
        <w:gridCol w:w="1200"/>
        <w:gridCol w:w="120"/>
        <w:gridCol w:w="130"/>
        <w:gridCol w:w="142"/>
        <w:gridCol w:w="579"/>
        <w:gridCol w:w="57"/>
      </w:tblGrid>
      <w:tr w:rsidR="009F0928" w14:paraId="0BC9AA58" w14:textId="77777777">
        <w:tc>
          <w:tcPr>
            <w:tcW w:w="0" w:type="auto"/>
            <w:gridSpan w:val="20"/>
            <w:shd w:val="clear" w:color="auto" w:fill="auto"/>
            <w:vAlign w:val="center"/>
          </w:tcPr>
          <w:p w14:paraId="0BC9AA57" w14:textId="77777777" w:rsidR="009F0928" w:rsidRDefault="009F0928">
            <w:pPr>
              <w:rPr>
                <w:rFonts w:ascii="Times New Roman" w:hAnsi="Times New Roman"/>
                <w:sz w:val="20"/>
                <w:szCs w:val="20"/>
              </w:rPr>
            </w:pPr>
          </w:p>
        </w:tc>
      </w:tr>
      <w:tr w:rsidR="009F0928" w14:paraId="0BC9AA6D" w14:textId="77777777">
        <w:tc>
          <w:tcPr>
            <w:tcW w:w="1800" w:type="pct"/>
            <w:shd w:val="clear" w:color="auto" w:fill="auto"/>
            <w:vAlign w:val="center"/>
          </w:tcPr>
          <w:p w14:paraId="0BC9AA59" w14:textId="77777777" w:rsidR="009F0928" w:rsidRDefault="009F0928">
            <w:pPr>
              <w:rPr>
                <w:rFonts w:ascii="Times New Roman" w:hAnsi="Times New Roman"/>
                <w:sz w:val="20"/>
                <w:szCs w:val="20"/>
              </w:rPr>
            </w:pPr>
          </w:p>
        </w:tc>
        <w:tc>
          <w:tcPr>
            <w:tcW w:w="50" w:type="pct"/>
            <w:shd w:val="clear" w:color="auto" w:fill="auto"/>
            <w:vAlign w:val="center"/>
          </w:tcPr>
          <w:p w14:paraId="0BC9AA5A" w14:textId="77777777" w:rsidR="009F0928" w:rsidRDefault="009F0928">
            <w:pPr>
              <w:rPr>
                <w:rFonts w:ascii="Times New Roman" w:hAnsi="Times New Roman"/>
                <w:sz w:val="20"/>
                <w:szCs w:val="20"/>
              </w:rPr>
            </w:pPr>
          </w:p>
        </w:tc>
        <w:tc>
          <w:tcPr>
            <w:tcW w:w="500" w:type="pct"/>
            <w:shd w:val="clear" w:color="auto" w:fill="auto"/>
            <w:vAlign w:val="center"/>
          </w:tcPr>
          <w:p w14:paraId="0BC9AA5B" w14:textId="77777777" w:rsidR="009F0928" w:rsidRDefault="009F0928">
            <w:pPr>
              <w:rPr>
                <w:rFonts w:ascii="Times New Roman" w:hAnsi="Times New Roman"/>
                <w:sz w:val="20"/>
                <w:szCs w:val="20"/>
              </w:rPr>
            </w:pPr>
          </w:p>
        </w:tc>
        <w:tc>
          <w:tcPr>
            <w:tcW w:w="50" w:type="pct"/>
            <w:shd w:val="clear" w:color="auto" w:fill="auto"/>
            <w:vAlign w:val="center"/>
          </w:tcPr>
          <w:p w14:paraId="0BC9AA5C" w14:textId="77777777" w:rsidR="009F0928" w:rsidRDefault="009F0928">
            <w:pPr>
              <w:rPr>
                <w:rFonts w:ascii="Times New Roman" w:hAnsi="Times New Roman"/>
                <w:sz w:val="20"/>
                <w:szCs w:val="20"/>
              </w:rPr>
            </w:pPr>
          </w:p>
        </w:tc>
        <w:tc>
          <w:tcPr>
            <w:tcW w:w="50" w:type="pct"/>
            <w:shd w:val="clear" w:color="auto" w:fill="auto"/>
            <w:vAlign w:val="center"/>
          </w:tcPr>
          <w:p w14:paraId="0BC9AA5D" w14:textId="77777777" w:rsidR="009F0928" w:rsidRDefault="009F0928">
            <w:pPr>
              <w:rPr>
                <w:rFonts w:ascii="Times New Roman" w:hAnsi="Times New Roman"/>
                <w:sz w:val="20"/>
                <w:szCs w:val="20"/>
              </w:rPr>
            </w:pPr>
          </w:p>
        </w:tc>
        <w:tc>
          <w:tcPr>
            <w:tcW w:w="50" w:type="pct"/>
            <w:shd w:val="clear" w:color="auto" w:fill="auto"/>
            <w:vAlign w:val="center"/>
          </w:tcPr>
          <w:p w14:paraId="0BC9AA5E" w14:textId="77777777" w:rsidR="009F0928" w:rsidRDefault="009F0928">
            <w:pPr>
              <w:rPr>
                <w:rFonts w:ascii="Times New Roman" w:hAnsi="Times New Roman"/>
                <w:sz w:val="20"/>
                <w:szCs w:val="20"/>
              </w:rPr>
            </w:pPr>
          </w:p>
        </w:tc>
        <w:tc>
          <w:tcPr>
            <w:tcW w:w="500" w:type="pct"/>
            <w:shd w:val="clear" w:color="auto" w:fill="auto"/>
            <w:vAlign w:val="center"/>
          </w:tcPr>
          <w:p w14:paraId="0BC9AA5F" w14:textId="77777777" w:rsidR="009F0928" w:rsidRDefault="009F0928">
            <w:pPr>
              <w:rPr>
                <w:rFonts w:ascii="Times New Roman" w:hAnsi="Times New Roman"/>
                <w:sz w:val="20"/>
                <w:szCs w:val="20"/>
              </w:rPr>
            </w:pPr>
          </w:p>
        </w:tc>
        <w:tc>
          <w:tcPr>
            <w:tcW w:w="50" w:type="pct"/>
            <w:shd w:val="clear" w:color="auto" w:fill="auto"/>
            <w:vAlign w:val="center"/>
          </w:tcPr>
          <w:p w14:paraId="0BC9AA60" w14:textId="77777777" w:rsidR="009F0928" w:rsidRDefault="009F0928">
            <w:pPr>
              <w:rPr>
                <w:rFonts w:ascii="Times New Roman" w:hAnsi="Times New Roman"/>
                <w:sz w:val="20"/>
                <w:szCs w:val="20"/>
              </w:rPr>
            </w:pPr>
          </w:p>
        </w:tc>
        <w:tc>
          <w:tcPr>
            <w:tcW w:w="50" w:type="pct"/>
            <w:shd w:val="clear" w:color="auto" w:fill="auto"/>
            <w:vAlign w:val="center"/>
          </w:tcPr>
          <w:p w14:paraId="0BC9AA61" w14:textId="77777777" w:rsidR="009F0928" w:rsidRDefault="009F0928">
            <w:pPr>
              <w:rPr>
                <w:rFonts w:ascii="Times New Roman" w:hAnsi="Times New Roman"/>
                <w:sz w:val="20"/>
                <w:szCs w:val="20"/>
              </w:rPr>
            </w:pPr>
          </w:p>
        </w:tc>
        <w:tc>
          <w:tcPr>
            <w:tcW w:w="50" w:type="pct"/>
            <w:shd w:val="clear" w:color="auto" w:fill="auto"/>
            <w:vAlign w:val="center"/>
          </w:tcPr>
          <w:p w14:paraId="0BC9AA62" w14:textId="77777777" w:rsidR="009F0928" w:rsidRDefault="009F0928">
            <w:pPr>
              <w:rPr>
                <w:rFonts w:ascii="Times New Roman" w:hAnsi="Times New Roman"/>
                <w:sz w:val="20"/>
                <w:szCs w:val="20"/>
              </w:rPr>
            </w:pPr>
          </w:p>
        </w:tc>
        <w:tc>
          <w:tcPr>
            <w:tcW w:w="500" w:type="pct"/>
            <w:shd w:val="clear" w:color="auto" w:fill="auto"/>
            <w:vAlign w:val="center"/>
          </w:tcPr>
          <w:p w14:paraId="0BC9AA63" w14:textId="77777777" w:rsidR="009F0928" w:rsidRDefault="009F0928">
            <w:pPr>
              <w:rPr>
                <w:rFonts w:ascii="Times New Roman" w:hAnsi="Times New Roman"/>
                <w:sz w:val="20"/>
                <w:szCs w:val="20"/>
              </w:rPr>
            </w:pPr>
          </w:p>
        </w:tc>
        <w:tc>
          <w:tcPr>
            <w:tcW w:w="50" w:type="pct"/>
            <w:shd w:val="clear" w:color="auto" w:fill="auto"/>
            <w:vAlign w:val="center"/>
          </w:tcPr>
          <w:p w14:paraId="0BC9AA64" w14:textId="77777777" w:rsidR="009F0928" w:rsidRDefault="009F0928">
            <w:pPr>
              <w:rPr>
                <w:rFonts w:ascii="Times New Roman" w:hAnsi="Times New Roman"/>
                <w:sz w:val="20"/>
                <w:szCs w:val="20"/>
              </w:rPr>
            </w:pPr>
          </w:p>
        </w:tc>
        <w:tc>
          <w:tcPr>
            <w:tcW w:w="50" w:type="pct"/>
            <w:shd w:val="clear" w:color="auto" w:fill="auto"/>
            <w:vAlign w:val="center"/>
          </w:tcPr>
          <w:p w14:paraId="0BC9AA65" w14:textId="77777777" w:rsidR="009F0928" w:rsidRDefault="009F0928">
            <w:pPr>
              <w:rPr>
                <w:rFonts w:ascii="Times New Roman" w:hAnsi="Times New Roman"/>
                <w:sz w:val="20"/>
                <w:szCs w:val="20"/>
              </w:rPr>
            </w:pPr>
          </w:p>
        </w:tc>
        <w:tc>
          <w:tcPr>
            <w:tcW w:w="50" w:type="pct"/>
            <w:shd w:val="clear" w:color="auto" w:fill="auto"/>
            <w:vAlign w:val="center"/>
          </w:tcPr>
          <w:p w14:paraId="0BC9AA66" w14:textId="77777777" w:rsidR="009F0928" w:rsidRDefault="009F0928">
            <w:pPr>
              <w:rPr>
                <w:rFonts w:ascii="Times New Roman" w:hAnsi="Times New Roman"/>
                <w:sz w:val="20"/>
                <w:szCs w:val="20"/>
              </w:rPr>
            </w:pPr>
          </w:p>
        </w:tc>
        <w:tc>
          <w:tcPr>
            <w:tcW w:w="500" w:type="pct"/>
            <w:shd w:val="clear" w:color="auto" w:fill="auto"/>
            <w:vAlign w:val="center"/>
          </w:tcPr>
          <w:p w14:paraId="0BC9AA67" w14:textId="77777777" w:rsidR="009F0928" w:rsidRDefault="009F0928">
            <w:pPr>
              <w:rPr>
                <w:rFonts w:ascii="Times New Roman" w:hAnsi="Times New Roman"/>
                <w:sz w:val="20"/>
                <w:szCs w:val="20"/>
              </w:rPr>
            </w:pPr>
          </w:p>
        </w:tc>
        <w:tc>
          <w:tcPr>
            <w:tcW w:w="50" w:type="pct"/>
            <w:shd w:val="clear" w:color="auto" w:fill="auto"/>
            <w:vAlign w:val="center"/>
          </w:tcPr>
          <w:p w14:paraId="0BC9AA68" w14:textId="77777777" w:rsidR="009F0928" w:rsidRDefault="009F0928">
            <w:pPr>
              <w:rPr>
                <w:rFonts w:ascii="Times New Roman" w:hAnsi="Times New Roman"/>
                <w:sz w:val="20"/>
                <w:szCs w:val="20"/>
              </w:rPr>
            </w:pPr>
          </w:p>
        </w:tc>
        <w:tc>
          <w:tcPr>
            <w:tcW w:w="50" w:type="pct"/>
            <w:shd w:val="clear" w:color="auto" w:fill="auto"/>
            <w:vAlign w:val="center"/>
          </w:tcPr>
          <w:p w14:paraId="0BC9AA69" w14:textId="77777777" w:rsidR="009F0928" w:rsidRDefault="009F0928">
            <w:pPr>
              <w:rPr>
                <w:rFonts w:ascii="Times New Roman" w:hAnsi="Times New Roman"/>
                <w:sz w:val="20"/>
                <w:szCs w:val="20"/>
              </w:rPr>
            </w:pPr>
          </w:p>
        </w:tc>
        <w:tc>
          <w:tcPr>
            <w:tcW w:w="50" w:type="pct"/>
            <w:shd w:val="clear" w:color="auto" w:fill="auto"/>
            <w:vAlign w:val="center"/>
          </w:tcPr>
          <w:p w14:paraId="0BC9AA6A" w14:textId="77777777" w:rsidR="009F0928" w:rsidRDefault="009F0928">
            <w:pPr>
              <w:rPr>
                <w:rFonts w:ascii="Times New Roman" w:hAnsi="Times New Roman"/>
                <w:sz w:val="20"/>
                <w:szCs w:val="20"/>
              </w:rPr>
            </w:pPr>
          </w:p>
        </w:tc>
        <w:tc>
          <w:tcPr>
            <w:tcW w:w="500" w:type="pct"/>
            <w:shd w:val="clear" w:color="auto" w:fill="auto"/>
            <w:vAlign w:val="center"/>
          </w:tcPr>
          <w:p w14:paraId="0BC9AA6B" w14:textId="77777777" w:rsidR="009F0928" w:rsidRDefault="009F0928">
            <w:pPr>
              <w:rPr>
                <w:rFonts w:ascii="Times New Roman" w:hAnsi="Times New Roman"/>
                <w:sz w:val="20"/>
                <w:szCs w:val="20"/>
              </w:rPr>
            </w:pPr>
          </w:p>
        </w:tc>
        <w:tc>
          <w:tcPr>
            <w:tcW w:w="50" w:type="pct"/>
            <w:shd w:val="clear" w:color="auto" w:fill="auto"/>
            <w:vAlign w:val="center"/>
          </w:tcPr>
          <w:p w14:paraId="0BC9AA6C" w14:textId="77777777" w:rsidR="009F0928" w:rsidRDefault="009F0928">
            <w:pPr>
              <w:rPr>
                <w:rFonts w:ascii="Times New Roman" w:hAnsi="Times New Roman"/>
                <w:sz w:val="20"/>
                <w:szCs w:val="20"/>
              </w:rPr>
            </w:pPr>
          </w:p>
        </w:tc>
      </w:tr>
      <w:tr w:rsidR="009F0928" w14:paraId="0BC9AA78" w14:textId="77777777">
        <w:tc>
          <w:tcPr>
            <w:tcW w:w="0" w:type="auto"/>
            <w:shd w:val="clear" w:color="auto" w:fill="auto"/>
            <w:tcMar>
              <w:top w:w="40" w:type="dxa"/>
              <w:left w:w="40" w:type="dxa"/>
              <w:bottom w:w="40" w:type="dxa"/>
              <w:right w:w="40" w:type="dxa"/>
            </w:tcMar>
            <w:vAlign w:val="bottom"/>
          </w:tcPr>
          <w:p w14:paraId="0BC9AA6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A6F"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Balance at Beginning of Period</w:t>
            </w:r>
          </w:p>
        </w:tc>
        <w:tc>
          <w:tcPr>
            <w:tcW w:w="0" w:type="auto"/>
            <w:shd w:val="clear" w:color="auto" w:fill="auto"/>
            <w:tcMar>
              <w:top w:w="40" w:type="dxa"/>
              <w:left w:w="40" w:type="dxa"/>
              <w:bottom w:w="40" w:type="dxa"/>
              <w:right w:w="40" w:type="dxa"/>
            </w:tcMar>
            <w:vAlign w:val="bottom"/>
          </w:tcPr>
          <w:p w14:paraId="0BC9AA7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A71"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Charged/Credited to Net Income</w:t>
            </w:r>
          </w:p>
        </w:tc>
        <w:tc>
          <w:tcPr>
            <w:tcW w:w="0" w:type="auto"/>
            <w:shd w:val="clear" w:color="auto" w:fill="auto"/>
            <w:tcMar>
              <w:top w:w="40" w:type="dxa"/>
              <w:left w:w="40" w:type="dxa"/>
              <w:bottom w:w="40" w:type="dxa"/>
              <w:right w:w="40" w:type="dxa"/>
            </w:tcMar>
            <w:vAlign w:val="bottom"/>
          </w:tcPr>
          <w:p w14:paraId="0BC9AA7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A73"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 xml:space="preserve">Charged to Other </w:t>
            </w:r>
            <w:r>
              <w:rPr>
                <w:rFonts w:ascii="Arial" w:eastAsia="宋体" w:hAnsi="Arial" w:cs="Arial"/>
                <w:b/>
                <w:bCs/>
                <w:sz w:val="16"/>
                <w:szCs w:val="16"/>
              </w:rPr>
              <w:t>Account</w:t>
            </w:r>
          </w:p>
        </w:tc>
        <w:tc>
          <w:tcPr>
            <w:tcW w:w="0" w:type="auto"/>
            <w:shd w:val="clear" w:color="auto" w:fill="auto"/>
            <w:tcMar>
              <w:top w:w="40" w:type="dxa"/>
              <w:left w:w="40" w:type="dxa"/>
              <w:bottom w:w="40" w:type="dxa"/>
              <w:right w:w="40" w:type="dxa"/>
            </w:tcMar>
            <w:vAlign w:val="bottom"/>
          </w:tcPr>
          <w:p w14:paraId="0BC9AA7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A75"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Charges Utilized/Write-offs</w:t>
            </w:r>
          </w:p>
        </w:tc>
        <w:tc>
          <w:tcPr>
            <w:tcW w:w="0" w:type="auto"/>
            <w:shd w:val="clear" w:color="auto" w:fill="auto"/>
            <w:tcMar>
              <w:top w:w="40" w:type="dxa"/>
              <w:left w:w="40" w:type="dxa"/>
              <w:bottom w:w="40" w:type="dxa"/>
              <w:right w:w="40" w:type="dxa"/>
            </w:tcMar>
            <w:vAlign w:val="bottom"/>
          </w:tcPr>
          <w:p w14:paraId="0BC9AA7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0BC9AA77"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Balance at End of Period</w:t>
            </w:r>
          </w:p>
        </w:tc>
      </w:tr>
      <w:tr w:rsidR="009F0928" w14:paraId="0BC9AA7B" w14:textId="77777777">
        <w:tc>
          <w:tcPr>
            <w:tcW w:w="0" w:type="auto"/>
            <w:shd w:val="clear" w:color="auto" w:fill="auto"/>
            <w:tcMar>
              <w:top w:w="40" w:type="dxa"/>
              <w:left w:w="40" w:type="dxa"/>
              <w:bottom w:w="40" w:type="dxa"/>
              <w:right w:w="40" w:type="dxa"/>
            </w:tcMar>
            <w:vAlign w:val="bottom"/>
          </w:tcPr>
          <w:p w14:paraId="0BC9AA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shd w:val="clear" w:color="auto" w:fill="auto"/>
            <w:tcMar>
              <w:top w:w="40" w:type="dxa"/>
              <w:left w:w="40" w:type="dxa"/>
              <w:bottom w:w="40" w:type="dxa"/>
            </w:tcMar>
            <w:vAlign w:val="bottom"/>
          </w:tcPr>
          <w:p w14:paraId="0BC9AA7A" w14:textId="77777777" w:rsidR="009F0928" w:rsidRDefault="002112BD">
            <w:pPr>
              <w:jc w:val="center"/>
              <w:textAlignment w:val="bottom"/>
              <w:rPr>
                <w:rFonts w:ascii="Times New Roman" w:hAnsi="Times New Roman"/>
                <w:sz w:val="16"/>
                <w:szCs w:val="16"/>
              </w:rPr>
            </w:pPr>
            <w:r>
              <w:rPr>
                <w:rFonts w:ascii="Arial" w:eastAsia="宋体" w:hAnsi="Arial" w:cs="Arial"/>
                <w:b/>
                <w:bCs/>
                <w:sz w:val="16"/>
                <w:szCs w:val="16"/>
              </w:rPr>
              <w:t>(In millions)</w:t>
            </w:r>
          </w:p>
        </w:tc>
      </w:tr>
      <w:tr w:rsidR="009F0928" w14:paraId="0BC9AA86" w14:textId="77777777">
        <w:tc>
          <w:tcPr>
            <w:tcW w:w="0" w:type="auto"/>
            <w:shd w:val="clear" w:color="auto" w:fill="E2E2E2"/>
            <w:tcMar>
              <w:top w:w="40" w:type="dxa"/>
              <w:left w:w="40" w:type="dxa"/>
              <w:bottom w:w="40" w:type="dxa"/>
              <w:right w:w="40" w:type="dxa"/>
            </w:tcMar>
            <w:vAlign w:val="bottom"/>
          </w:tcPr>
          <w:p w14:paraId="0BC9AA7C"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Allowances for Doubtful Accounts and Authorized Credits</w:t>
            </w:r>
          </w:p>
        </w:tc>
        <w:tc>
          <w:tcPr>
            <w:tcW w:w="0" w:type="auto"/>
            <w:gridSpan w:val="3"/>
            <w:shd w:val="clear" w:color="auto" w:fill="E2E2E2"/>
            <w:tcMar>
              <w:top w:w="40" w:type="dxa"/>
              <w:left w:w="40" w:type="dxa"/>
              <w:bottom w:w="40" w:type="dxa"/>
              <w:right w:w="40" w:type="dxa"/>
            </w:tcMar>
            <w:vAlign w:val="bottom"/>
          </w:tcPr>
          <w:p w14:paraId="0BC9AA7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A7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A7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A8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A8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A8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A8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A8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A8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A9B" w14:textId="77777777">
        <w:tc>
          <w:tcPr>
            <w:tcW w:w="0" w:type="auto"/>
            <w:shd w:val="clear" w:color="auto" w:fill="auto"/>
            <w:tcMar>
              <w:top w:w="40" w:type="dxa"/>
              <w:left w:w="720" w:type="dxa"/>
              <w:bottom w:w="40" w:type="dxa"/>
              <w:right w:w="40" w:type="dxa"/>
            </w:tcMar>
            <w:vAlign w:val="bottom"/>
          </w:tcPr>
          <w:p w14:paraId="0BC9AA87" w14:textId="77777777" w:rsidR="009F0928" w:rsidRDefault="002112BD">
            <w:pPr>
              <w:textAlignment w:val="bottom"/>
              <w:rPr>
                <w:rFonts w:ascii="Times New Roman" w:hAnsi="Times New Roman"/>
                <w:sz w:val="18"/>
                <w:szCs w:val="18"/>
              </w:rPr>
            </w:pPr>
            <w:r>
              <w:rPr>
                <w:rFonts w:ascii="Arial" w:eastAsia="宋体" w:hAnsi="Arial" w:cs="Arial"/>
                <w:sz w:val="18"/>
                <w:szCs w:val="18"/>
              </w:rPr>
              <w:t>Year Ended December 31, 2017</w:t>
            </w:r>
          </w:p>
        </w:tc>
        <w:tc>
          <w:tcPr>
            <w:tcW w:w="0" w:type="auto"/>
            <w:shd w:val="clear" w:color="auto" w:fill="auto"/>
            <w:tcMar>
              <w:top w:w="40" w:type="dxa"/>
              <w:left w:w="40" w:type="dxa"/>
              <w:bottom w:w="40" w:type="dxa"/>
            </w:tcMar>
            <w:vAlign w:val="bottom"/>
          </w:tcPr>
          <w:p w14:paraId="0BC9AA8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A8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81</w:t>
            </w:r>
          </w:p>
        </w:tc>
        <w:tc>
          <w:tcPr>
            <w:tcW w:w="0" w:type="auto"/>
            <w:shd w:val="clear" w:color="auto" w:fill="auto"/>
            <w:vAlign w:val="bottom"/>
          </w:tcPr>
          <w:p w14:paraId="0BC9AA8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A8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A8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A8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91</w:t>
            </w:r>
          </w:p>
        </w:tc>
        <w:tc>
          <w:tcPr>
            <w:tcW w:w="0" w:type="auto"/>
            <w:shd w:val="clear" w:color="auto" w:fill="auto"/>
            <w:vAlign w:val="bottom"/>
          </w:tcPr>
          <w:p w14:paraId="0BC9AA8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A8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A9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A9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AA9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A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A9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A9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(70</w:t>
            </w:r>
          </w:p>
        </w:tc>
        <w:tc>
          <w:tcPr>
            <w:tcW w:w="0" w:type="auto"/>
            <w:shd w:val="clear" w:color="auto" w:fill="auto"/>
            <w:tcMar>
              <w:top w:w="40" w:type="dxa"/>
              <w:bottom w:w="40" w:type="dxa"/>
              <w:right w:w="40" w:type="dxa"/>
            </w:tcMar>
            <w:vAlign w:val="bottom"/>
          </w:tcPr>
          <w:p w14:paraId="0BC9AA9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A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A9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A9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102</w:t>
            </w:r>
          </w:p>
        </w:tc>
        <w:tc>
          <w:tcPr>
            <w:tcW w:w="0" w:type="auto"/>
            <w:shd w:val="clear" w:color="auto" w:fill="auto"/>
            <w:vAlign w:val="bottom"/>
          </w:tcPr>
          <w:p w14:paraId="0BC9AA9A" w14:textId="77777777" w:rsidR="009F0928" w:rsidRDefault="009F0928">
            <w:pPr>
              <w:textAlignment w:val="bottom"/>
              <w:rPr>
                <w:rFonts w:ascii="Times New Roman" w:hAnsi="Times New Roman"/>
                <w:sz w:val="20"/>
                <w:szCs w:val="20"/>
              </w:rPr>
            </w:pPr>
          </w:p>
        </w:tc>
      </w:tr>
      <w:tr w:rsidR="009F0928" w14:paraId="0BC9AAAB" w14:textId="77777777">
        <w:tc>
          <w:tcPr>
            <w:tcW w:w="0" w:type="auto"/>
            <w:shd w:val="clear" w:color="auto" w:fill="E2E2E2"/>
            <w:tcMar>
              <w:top w:w="40" w:type="dxa"/>
              <w:left w:w="720" w:type="dxa"/>
              <w:bottom w:w="40" w:type="dxa"/>
              <w:right w:w="40" w:type="dxa"/>
            </w:tcMar>
            <w:vAlign w:val="bottom"/>
          </w:tcPr>
          <w:p w14:paraId="0BC9AA9C" w14:textId="77777777" w:rsidR="009F0928" w:rsidRDefault="002112BD">
            <w:pPr>
              <w:textAlignment w:val="bottom"/>
              <w:rPr>
                <w:rFonts w:ascii="Times New Roman" w:hAnsi="Times New Roman"/>
                <w:sz w:val="18"/>
                <w:szCs w:val="18"/>
              </w:rPr>
            </w:pPr>
            <w:r>
              <w:rPr>
                <w:rFonts w:ascii="Arial" w:eastAsia="宋体" w:hAnsi="Arial" w:cs="Arial"/>
                <w:sz w:val="18"/>
                <w:szCs w:val="18"/>
              </w:rPr>
              <w:t>Year Ended December 31, 2018</w:t>
            </w:r>
          </w:p>
        </w:tc>
        <w:tc>
          <w:tcPr>
            <w:tcW w:w="0" w:type="auto"/>
            <w:gridSpan w:val="2"/>
            <w:shd w:val="clear" w:color="auto" w:fill="E2E2E2"/>
            <w:tcMar>
              <w:top w:w="40" w:type="dxa"/>
              <w:left w:w="40" w:type="dxa"/>
              <w:bottom w:w="40" w:type="dxa"/>
            </w:tcMar>
            <w:vAlign w:val="bottom"/>
          </w:tcPr>
          <w:p w14:paraId="0BC9AA9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102</w:t>
            </w:r>
          </w:p>
        </w:tc>
        <w:tc>
          <w:tcPr>
            <w:tcW w:w="0" w:type="auto"/>
            <w:shd w:val="clear" w:color="auto" w:fill="E2E2E2"/>
            <w:vAlign w:val="bottom"/>
          </w:tcPr>
          <w:p w14:paraId="0BC9AA9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A9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AA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92</w:t>
            </w:r>
          </w:p>
        </w:tc>
        <w:tc>
          <w:tcPr>
            <w:tcW w:w="0" w:type="auto"/>
            <w:shd w:val="clear" w:color="auto" w:fill="E2E2E2"/>
            <w:vAlign w:val="bottom"/>
          </w:tcPr>
          <w:p w14:paraId="0BC9AAA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AA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AA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AA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A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AA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(88</w:t>
            </w:r>
          </w:p>
        </w:tc>
        <w:tc>
          <w:tcPr>
            <w:tcW w:w="0" w:type="auto"/>
            <w:shd w:val="clear" w:color="auto" w:fill="E2E2E2"/>
            <w:tcMar>
              <w:top w:w="40" w:type="dxa"/>
              <w:bottom w:w="40" w:type="dxa"/>
              <w:right w:w="40" w:type="dxa"/>
            </w:tcMar>
            <w:vAlign w:val="bottom"/>
          </w:tcPr>
          <w:p w14:paraId="0BC9AAA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A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AA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106</w:t>
            </w:r>
          </w:p>
        </w:tc>
        <w:tc>
          <w:tcPr>
            <w:tcW w:w="0" w:type="auto"/>
            <w:shd w:val="clear" w:color="auto" w:fill="E2E2E2"/>
            <w:vAlign w:val="bottom"/>
          </w:tcPr>
          <w:p w14:paraId="0BC9AAAA" w14:textId="77777777" w:rsidR="009F0928" w:rsidRDefault="009F0928">
            <w:pPr>
              <w:textAlignment w:val="bottom"/>
              <w:rPr>
                <w:rFonts w:ascii="Times New Roman" w:hAnsi="Times New Roman"/>
                <w:sz w:val="20"/>
                <w:szCs w:val="20"/>
              </w:rPr>
            </w:pPr>
          </w:p>
        </w:tc>
      </w:tr>
      <w:tr w:rsidR="009F0928" w14:paraId="0BC9AAC0" w14:textId="77777777">
        <w:tc>
          <w:tcPr>
            <w:tcW w:w="0" w:type="auto"/>
            <w:shd w:val="clear" w:color="auto" w:fill="auto"/>
            <w:tcMar>
              <w:top w:w="40" w:type="dxa"/>
              <w:left w:w="720" w:type="dxa"/>
              <w:bottom w:w="40" w:type="dxa"/>
              <w:right w:w="40" w:type="dxa"/>
            </w:tcMar>
            <w:vAlign w:val="bottom"/>
          </w:tcPr>
          <w:p w14:paraId="0BC9AAAC" w14:textId="77777777" w:rsidR="009F0928" w:rsidRDefault="002112BD">
            <w:pPr>
              <w:textAlignment w:val="bottom"/>
              <w:rPr>
                <w:rFonts w:ascii="Times New Roman" w:hAnsi="Times New Roman"/>
                <w:sz w:val="18"/>
                <w:szCs w:val="18"/>
              </w:rPr>
            </w:pPr>
            <w:r>
              <w:rPr>
                <w:rFonts w:ascii="Arial" w:eastAsia="宋体" w:hAnsi="Arial" w:cs="Arial"/>
                <w:sz w:val="18"/>
                <w:szCs w:val="18"/>
              </w:rPr>
              <w:t>Year Ended December 31, 2019</w:t>
            </w:r>
          </w:p>
        </w:tc>
        <w:tc>
          <w:tcPr>
            <w:tcW w:w="0" w:type="auto"/>
            <w:shd w:val="clear" w:color="auto" w:fill="auto"/>
            <w:tcMar>
              <w:top w:w="40" w:type="dxa"/>
              <w:left w:w="40" w:type="dxa"/>
              <w:bottom w:w="40" w:type="dxa"/>
            </w:tcMar>
            <w:vAlign w:val="bottom"/>
          </w:tcPr>
          <w:p w14:paraId="0BC9AAA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AA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106</w:t>
            </w:r>
          </w:p>
        </w:tc>
        <w:tc>
          <w:tcPr>
            <w:tcW w:w="0" w:type="auto"/>
            <w:shd w:val="clear" w:color="auto" w:fill="auto"/>
            <w:vAlign w:val="bottom"/>
          </w:tcPr>
          <w:p w14:paraId="0BC9AAA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A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AB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AB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122</w:t>
            </w:r>
          </w:p>
        </w:tc>
        <w:tc>
          <w:tcPr>
            <w:tcW w:w="0" w:type="auto"/>
            <w:shd w:val="clear" w:color="auto" w:fill="auto"/>
            <w:vAlign w:val="bottom"/>
          </w:tcPr>
          <w:p w14:paraId="0BC9AAB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A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AB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AB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AAB7"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AB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AB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AB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(100</w:t>
            </w:r>
          </w:p>
        </w:tc>
        <w:tc>
          <w:tcPr>
            <w:tcW w:w="0" w:type="auto"/>
            <w:shd w:val="clear" w:color="auto" w:fill="auto"/>
            <w:tcMar>
              <w:top w:w="40" w:type="dxa"/>
              <w:bottom w:w="40" w:type="dxa"/>
              <w:right w:w="40" w:type="dxa"/>
            </w:tcMar>
            <w:vAlign w:val="bottom"/>
          </w:tcPr>
          <w:p w14:paraId="0BC9AAB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AB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AB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AB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128</w:t>
            </w:r>
          </w:p>
        </w:tc>
        <w:tc>
          <w:tcPr>
            <w:tcW w:w="0" w:type="auto"/>
            <w:shd w:val="clear" w:color="auto" w:fill="auto"/>
            <w:vAlign w:val="bottom"/>
          </w:tcPr>
          <w:p w14:paraId="0BC9AABF" w14:textId="77777777" w:rsidR="009F0928" w:rsidRDefault="009F0928">
            <w:pPr>
              <w:textAlignment w:val="bottom"/>
              <w:rPr>
                <w:rFonts w:ascii="Times New Roman" w:hAnsi="Times New Roman"/>
                <w:sz w:val="20"/>
                <w:szCs w:val="20"/>
              </w:rPr>
            </w:pPr>
          </w:p>
        </w:tc>
      </w:tr>
      <w:tr w:rsidR="009F0928" w14:paraId="0BC9AACB" w14:textId="77777777">
        <w:tc>
          <w:tcPr>
            <w:tcW w:w="0" w:type="auto"/>
            <w:shd w:val="clear" w:color="auto" w:fill="E2E2E2"/>
            <w:tcMar>
              <w:top w:w="40" w:type="dxa"/>
              <w:left w:w="40" w:type="dxa"/>
              <w:bottom w:w="40" w:type="dxa"/>
              <w:right w:w="40" w:type="dxa"/>
            </w:tcMar>
            <w:vAlign w:val="bottom"/>
          </w:tcPr>
          <w:p w14:paraId="0BC9AAC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AC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AC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AC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AC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AC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AC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AC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AC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AC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AD6" w14:textId="77777777">
        <w:tc>
          <w:tcPr>
            <w:tcW w:w="0" w:type="auto"/>
            <w:shd w:val="clear" w:color="auto" w:fill="auto"/>
            <w:tcMar>
              <w:top w:w="40" w:type="dxa"/>
              <w:left w:w="40" w:type="dxa"/>
              <w:bottom w:w="40" w:type="dxa"/>
              <w:right w:w="40" w:type="dxa"/>
            </w:tcMar>
            <w:vAlign w:val="bottom"/>
          </w:tcPr>
          <w:p w14:paraId="0BC9AACC"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Allowance for Transaction Losses</w:t>
            </w:r>
          </w:p>
        </w:tc>
        <w:tc>
          <w:tcPr>
            <w:tcW w:w="0" w:type="auto"/>
            <w:gridSpan w:val="3"/>
            <w:shd w:val="clear" w:color="auto" w:fill="auto"/>
            <w:tcMar>
              <w:top w:w="40" w:type="dxa"/>
              <w:left w:w="40" w:type="dxa"/>
              <w:bottom w:w="40" w:type="dxa"/>
              <w:right w:w="40" w:type="dxa"/>
            </w:tcMar>
            <w:vAlign w:val="bottom"/>
          </w:tcPr>
          <w:p w14:paraId="0BC9AAC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AC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AA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A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AAD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AD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AA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AD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AAD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AEB" w14:textId="77777777">
        <w:tc>
          <w:tcPr>
            <w:tcW w:w="0" w:type="auto"/>
            <w:shd w:val="clear" w:color="auto" w:fill="E2E2E2"/>
            <w:tcMar>
              <w:top w:w="40" w:type="dxa"/>
              <w:left w:w="720" w:type="dxa"/>
              <w:bottom w:w="40" w:type="dxa"/>
              <w:right w:w="40" w:type="dxa"/>
            </w:tcMar>
            <w:vAlign w:val="bottom"/>
          </w:tcPr>
          <w:p w14:paraId="0BC9AAD7" w14:textId="77777777" w:rsidR="009F0928" w:rsidRDefault="002112BD">
            <w:pPr>
              <w:textAlignment w:val="bottom"/>
              <w:rPr>
                <w:rFonts w:ascii="Times New Roman" w:hAnsi="Times New Roman"/>
                <w:sz w:val="18"/>
                <w:szCs w:val="18"/>
              </w:rPr>
            </w:pPr>
            <w:r>
              <w:rPr>
                <w:rFonts w:ascii="Arial" w:eastAsia="宋体" w:hAnsi="Arial" w:cs="Arial"/>
                <w:sz w:val="18"/>
                <w:szCs w:val="18"/>
              </w:rPr>
              <w:t>Year Ended December 31, 2017</w:t>
            </w:r>
          </w:p>
        </w:tc>
        <w:tc>
          <w:tcPr>
            <w:tcW w:w="0" w:type="auto"/>
            <w:shd w:val="clear" w:color="auto" w:fill="E2E2E2"/>
            <w:tcMar>
              <w:top w:w="40" w:type="dxa"/>
              <w:left w:w="40" w:type="dxa"/>
              <w:bottom w:w="40" w:type="dxa"/>
            </w:tcMar>
            <w:vAlign w:val="bottom"/>
          </w:tcPr>
          <w:p w14:paraId="0BC9AAD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AD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23</w:t>
            </w:r>
          </w:p>
        </w:tc>
        <w:tc>
          <w:tcPr>
            <w:tcW w:w="0" w:type="auto"/>
            <w:shd w:val="clear" w:color="auto" w:fill="E2E2E2"/>
            <w:vAlign w:val="bottom"/>
          </w:tcPr>
          <w:p w14:paraId="0BC9AADA"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AD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AD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AD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181</w:t>
            </w:r>
          </w:p>
        </w:tc>
        <w:tc>
          <w:tcPr>
            <w:tcW w:w="0" w:type="auto"/>
            <w:shd w:val="clear" w:color="auto" w:fill="E2E2E2"/>
            <w:vAlign w:val="bottom"/>
          </w:tcPr>
          <w:p w14:paraId="0BC9AAD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AD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AE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AE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AE2"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A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AE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AE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(179</w:t>
            </w:r>
          </w:p>
        </w:tc>
        <w:tc>
          <w:tcPr>
            <w:tcW w:w="0" w:type="auto"/>
            <w:shd w:val="clear" w:color="auto" w:fill="E2E2E2"/>
            <w:tcMar>
              <w:top w:w="40" w:type="dxa"/>
              <w:bottom w:w="40" w:type="dxa"/>
              <w:right w:w="40" w:type="dxa"/>
            </w:tcMar>
            <w:vAlign w:val="bottom"/>
          </w:tcPr>
          <w:p w14:paraId="0BC9AAE6"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AE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AE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AE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w:t>
            </w:r>
          </w:p>
        </w:tc>
        <w:tc>
          <w:tcPr>
            <w:tcW w:w="0" w:type="auto"/>
            <w:shd w:val="clear" w:color="auto" w:fill="E2E2E2"/>
            <w:vAlign w:val="bottom"/>
          </w:tcPr>
          <w:p w14:paraId="0BC9AAEA" w14:textId="77777777" w:rsidR="009F0928" w:rsidRDefault="009F0928">
            <w:pPr>
              <w:textAlignment w:val="bottom"/>
              <w:rPr>
                <w:rFonts w:ascii="Times New Roman" w:hAnsi="Times New Roman"/>
                <w:sz w:val="20"/>
                <w:szCs w:val="20"/>
              </w:rPr>
            </w:pPr>
          </w:p>
        </w:tc>
      </w:tr>
      <w:tr w:rsidR="009F0928" w14:paraId="0BC9AAFB" w14:textId="77777777">
        <w:tc>
          <w:tcPr>
            <w:tcW w:w="0" w:type="auto"/>
            <w:shd w:val="clear" w:color="auto" w:fill="auto"/>
            <w:tcMar>
              <w:top w:w="40" w:type="dxa"/>
              <w:left w:w="720" w:type="dxa"/>
              <w:bottom w:w="40" w:type="dxa"/>
              <w:right w:w="40" w:type="dxa"/>
            </w:tcMar>
            <w:vAlign w:val="bottom"/>
          </w:tcPr>
          <w:p w14:paraId="0BC9AAEC" w14:textId="77777777" w:rsidR="009F0928" w:rsidRDefault="002112BD">
            <w:pPr>
              <w:textAlignment w:val="bottom"/>
              <w:rPr>
                <w:rFonts w:ascii="Times New Roman" w:hAnsi="Times New Roman"/>
                <w:sz w:val="18"/>
                <w:szCs w:val="18"/>
              </w:rPr>
            </w:pPr>
            <w:r>
              <w:rPr>
                <w:rFonts w:ascii="Arial" w:eastAsia="宋体" w:hAnsi="Arial" w:cs="Arial"/>
                <w:sz w:val="18"/>
                <w:szCs w:val="18"/>
              </w:rPr>
              <w:t>Year Ended December 31, 2018</w:t>
            </w:r>
          </w:p>
        </w:tc>
        <w:tc>
          <w:tcPr>
            <w:tcW w:w="0" w:type="auto"/>
            <w:gridSpan w:val="2"/>
            <w:shd w:val="clear" w:color="auto" w:fill="auto"/>
            <w:tcMar>
              <w:top w:w="40" w:type="dxa"/>
              <w:left w:w="40" w:type="dxa"/>
              <w:bottom w:w="40" w:type="dxa"/>
            </w:tcMar>
            <w:vAlign w:val="bottom"/>
          </w:tcPr>
          <w:p w14:paraId="0BC9AAE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25</w:t>
            </w:r>
          </w:p>
        </w:tc>
        <w:tc>
          <w:tcPr>
            <w:tcW w:w="0" w:type="auto"/>
            <w:shd w:val="clear" w:color="auto" w:fill="auto"/>
            <w:vAlign w:val="bottom"/>
          </w:tcPr>
          <w:p w14:paraId="0BC9AAEE"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AE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AF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194</w:t>
            </w:r>
          </w:p>
        </w:tc>
        <w:tc>
          <w:tcPr>
            <w:tcW w:w="0" w:type="auto"/>
            <w:shd w:val="clear" w:color="auto" w:fill="auto"/>
            <w:vAlign w:val="bottom"/>
          </w:tcPr>
          <w:p w14:paraId="0BC9AAF1"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AF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AF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AAF4"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AF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AF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(191</w:t>
            </w:r>
          </w:p>
        </w:tc>
        <w:tc>
          <w:tcPr>
            <w:tcW w:w="0" w:type="auto"/>
            <w:shd w:val="clear" w:color="auto" w:fill="auto"/>
            <w:tcMar>
              <w:top w:w="40" w:type="dxa"/>
              <w:bottom w:w="40" w:type="dxa"/>
              <w:right w:w="40" w:type="dxa"/>
            </w:tcMar>
            <w:vAlign w:val="bottom"/>
          </w:tcPr>
          <w:p w14:paraId="0BC9AAF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AF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0BC9AAF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w:t>
            </w:r>
          </w:p>
        </w:tc>
        <w:tc>
          <w:tcPr>
            <w:tcW w:w="0" w:type="auto"/>
            <w:shd w:val="clear" w:color="auto" w:fill="auto"/>
            <w:vAlign w:val="bottom"/>
          </w:tcPr>
          <w:p w14:paraId="0BC9AAFA" w14:textId="77777777" w:rsidR="009F0928" w:rsidRDefault="009F0928">
            <w:pPr>
              <w:textAlignment w:val="bottom"/>
              <w:rPr>
                <w:rFonts w:ascii="Times New Roman" w:hAnsi="Times New Roman"/>
                <w:sz w:val="20"/>
                <w:szCs w:val="20"/>
              </w:rPr>
            </w:pPr>
          </w:p>
        </w:tc>
      </w:tr>
      <w:tr w:rsidR="009F0928" w14:paraId="0BC9AB10" w14:textId="77777777">
        <w:tc>
          <w:tcPr>
            <w:tcW w:w="0" w:type="auto"/>
            <w:shd w:val="clear" w:color="auto" w:fill="E2E2E2"/>
            <w:tcMar>
              <w:top w:w="40" w:type="dxa"/>
              <w:left w:w="720" w:type="dxa"/>
              <w:bottom w:w="40" w:type="dxa"/>
              <w:right w:w="40" w:type="dxa"/>
            </w:tcMar>
            <w:vAlign w:val="bottom"/>
          </w:tcPr>
          <w:p w14:paraId="0BC9AAFC" w14:textId="77777777" w:rsidR="009F0928" w:rsidRDefault="002112BD">
            <w:pPr>
              <w:textAlignment w:val="bottom"/>
              <w:rPr>
                <w:rFonts w:ascii="Times New Roman" w:hAnsi="Times New Roman"/>
                <w:sz w:val="18"/>
                <w:szCs w:val="18"/>
              </w:rPr>
            </w:pPr>
            <w:r>
              <w:rPr>
                <w:rFonts w:ascii="Arial" w:eastAsia="宋体" w:hAnsi="Arial" w:cs="Arial"/>
                <w:sz w:val="18"/>
                <w:szCs w:val="18"/>
              </w:rPr>
              <w:t>Year Ended December 31, 2019</w:t>
            </w:r>
          </w:p>
        </w:tc>
        <w:tc>
          <w:tcPr>
            <w:tcW w:w="0" w:type="auto"/>
            <w:shd w:val="clear" w:color="auto" w:fill="E2E2E2"/>
            <w:tcMar>
              <w:top w:w="40" w:type="dxa"/>
              <w:left w:w="40" w:type="dxa"/>
              <w:bottom w:w="40" w:type="dxa"/>
            </w:tcMar>
            <w:vAlign w:val="bottom"/>
          </w:tcPr>
          <w:p w14:paraId="0BC9AAF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AF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28</w:t>
            </w:r>
          </w:p>
        </w:tc>
        <w:tc>
          <w:tcPr>
            <w:tcW w:w="0" w:type="auto"/>
            <w:shd w:val="clear" w:color="auto" w:fill="E2E2E2"/>
            <w:vAlign w:val="bottom"/>
          </w:tcPr>
          <w:p w14:paraId="0BC9AAFF"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B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B0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B0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178</w:t>
            </w:r>
          </w:p>
        </w:tc>
        <w:tc>
          <w:tcPr>
            <w:tcW w:w="0" w:type="auto"/>
            <w:shd w:val="clear" w:color="auto" w:fill="E2E2E2"/>
            <w:vAlign w:val="bottom"/>
          </w:tcPr>
          <w:p w14:paraId="0BC9AB03"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B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B0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B0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B0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B0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B0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B0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(179</w:t>
            </w:r>
          </w:p>
        </w:tc>
        <w:tc>
          <w:tcPr>
            <w:tcW w:w="0" w:type="auto"/>
            <w:shd w:val="clear" w:color="auto" w:fill="E2E2E2"/>
            <w:tcMar>
              <w:top w:w="40" w:type="dxa"/>
              <w:bottom w:w="40" w:type="dxa"/>
              <w:right w:w="40" w:type="dxa"/>
            </w:tcMar>
            <w:vAlign w:val="bottom"/>
          </w:tcPr>
          <w:p w14:paraId="0BC9AB0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left w:w="40" w:type="dxa"/>
              <w:bottom w:w="40" w:type="dxa"/>
              <w:right w:w="40" w:type="dxa"/>
            </w:tcMar>
            <w:vAlign w:val="bottom"/>
          </w:tcPr>
          <w:p w14:paraId="0BC9AB0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tcMar>
            <w:vAlign w:val="bottom"/>
          </w:tcPr>
          <w:p w14:paraId="0BC9AB0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tcMar>
              <w:top w:w="40" w:type="dxa"/>
              <w:bottom w:w="40" w:type="dxa"/>
            </w:tcMar>
            <w:vAlign w:val="bottom"/>
          </w:tcPr>
          <w:p w14:paraId="0BC9AB0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27</w:t>
            </w:r>
          </w:p>
        </w:tc>
        <w:tc>
          <w:tcPr>
            <w:tcW w:w="0" w:type="auto"/>
            <w:shd w:val="clear" w:color="auto" w:fill="E2E2E2"/>
            <w:vAlign w:val="bottom"/>
          </w:tcPr>
          <w:p w14:paraId="0BC9AB0F" w14:textId="77777777" w:rsidR="009F0928" w:rsidRDefault="009F0928">
            <w:pPr>
              <w:textAlignment w:val="bottom"/>
              <w:rPr>
                <w:rFonts w:ascii="Times New Roman" w:hAnsi="Times New Roman"/>
                <w:sz w:val="20"/>
                <w:szCs w:val="20"/>
              </w:rPr>
            </w:pPr>
          </w:p>
        </w:tc>
      </w:tr>
      <w:tr w:rsidR="009F0928" w14:paraId="0BC9AB1B" w14:textId="77777777">
        <w:tc>
          <w:tcPr>
            <w:tcW w:w="0" w:type="auto"/>
            <w:shd w:val="clear" w:color="auto" w:fill="auto"/>
            <w:tcMar>
              <w:top w:w="40" w:type="dxa"/>
              <w:left w:w="40" w:type="dxa"/>
              <w:bottom w:w="40" w:type="dxa"/>
              <w:right w:w="40" w:type="dxa"/>
            </w:tcMar>
            <w:vAlign w:val="bottom"/>
          </w:tcPr>
          <w:p w14:paraId="0BC9AB1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AB1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1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AB1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1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AB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1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AB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1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0BC9AB1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B26" w14:textId="77777777">
        <w:tc>
          <w:tcPr>
            <w:tcW w:w="0" w:type="auto"/>
            <w:shd w:val="clear" w:color="auto" w:fill="E2E2E2"/>
            <w:tcMar>
              <w:top w:w="40" w:type="dxa"/>
              <w:left w:w="40" w:type="dxa"/>
              <w:bottom w:w="40" w:type="dxa"/>
              <w:right w:w="40" w:type="dxa"/>
            </w:tcMar>
            <w:vAlign w:val="bottom"/>
          </w:tcPr>
          <w:p w14:paraId="0BC9AB1C"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Tax Valuation Allowance</w:t>
            </w:r>
          </w:p>
        </w:tc>
        <w:tc>
          <w:tcPr>
            <w:tcW w:w="0" w:type="auto"/>
            <w:gridSpan w:val="3"/>
            <w:shd w:val="clear" w:color="auto" w:fill="E2E2E2"/>
            <w:tcMar>
              <w:top w:w="40" w:type="dxa"/>
              <w:left w:w="40" w:type="dxa"/>
              <w:bottom w:w="40" w:type="dxa"/>
              <w:right w:w="40" w:type="dxa"/>
            </w:tcMar>
            <w:vAlign w:val="bottom"/>
          </w:tcPr>
          <w:p w14:paraId="0BC9AB1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B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B1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B2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B2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B2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B2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2E2"/>
            <w:tcMar>
              <w:top w:w="40" w:type="dxa"/>
              <w:left w:w="40" w:type="dxa"/>
              <w:bottom w:w="40" w:type="dxa"/>
              <w:right w:w="40" w:type="dxa"/>
            </w:tcMar>
            <w:vAlign w:val="bottom"/>
          </w:tcPr>
          <w:p w14:paraId="0BC9AB2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2E2"/>
            <w:tcMar>
              <w:top w:w="40" w:type="dxa"/>
              <w:left w:w="40" w:type="dxa"/>
              <w:bottom w:w="40" w:type="dxa"/>
              <w:right w:w="40" w:type="dxa"/>
            </w:tcMar>
            <w:vAlign w:val="bottom"/>
          </w:tcPr>
          <w:p w14:paraId="0BC9AB2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B3B" w14:textId="77777777">
        <w:tc>
          <w:tcPr>
            <w:tcW w:w="0" w:type="auto"/>
            <w:shd w:val="clear" w:color="auto" w:fill="auto"/>
            <w:tcMar>
              <w:top w:w="40" w:type="dxa"/>
              <w:left w:w="720" w:type="dxa"/>
              <w:bottom w:w="40" w:type="dxa"/>
              <w:right w:w="40" w:type="dxa"/>
            </w:tcMar>
            <w:vAlign w:val="bottom"/>
          </w:tcPr>
          <w:p w14:paraId="0BC9AB27" w14:textId="77777777" w:rsidR="009F0928" w:rsidRDefault="002112BD">
            <w:pPr>
              <w:textAlignment w:val="bottom"/>
              <w:rPr>
                <w:rFonts w:ascii="Times New Roman" w:hAnsi="Times New Roman"/>
                <w:sz w:val="18"/>
                <w:szCs w:val="18"/>
              </w:rPr>
            </w:pPr>
            <w:r>
              <w:rPr>
                <w:rFonts w:ascii="Arial" w:eastAsia="宋体" w:hAnsi="Arial" w:cs="Arial"/>
                <w:sz w:val="18"/>
                <w:szCs w:val="18"/>
              </w:rPr>
              <w:t>Year Ended December 31, 2017</w:t>
            </w:r>
          </w:p>
        </w:tc>
        <w:tc>
          <w:tcPr>
            <w:tcW w:w="0" w:type="auto"/>
            <w:shd w:val="clear" w:color="auto" w:fill="auto"/>
            <w:tcMar>
              <w:top w:w="40" w:type="dxa"/>
              <w:left w:w="40" w:type="dxa"/>
              <w:bottom w:w="40" w:type="dxa"/>
            </w:tcMar>
            <w:vAlign w:val="bottom"/>
          </w:tcPr>
          <w:p w14:paraId="0BC9AB2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B2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37</w:t>
            </w:r>
          </w:p>
        </w:tc>
        <w:tc>
          <w:tcPr>
            <w:tcW w:w="0" w:type="auto"/>
            <w:shd w:val="clear" w:color="auto" w:fill="auto"/>
            <w:vAlign w:val="bottom"/>
          </w:tcPr>
          <w:p w14:paraId="0BC9AB2A"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B2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B2C"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B2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(20</w:t>
            </w:r>
          </w:p>
        </w:tc>
        <w:tc>
          <w:tcPr>
            <w:tcW w:w="0" w:type="auto"/>
            <w:shd w:val="clear" w:color="auto" w:fill="auto"/>
            <w:tcMar>
              <w:top w:w="40" w:type="dxa"/>
              <w:bottom w:w="40" w:type="dxa"/>
              <w:right w:w="40" w:type="dxa"/>
            </w:tcMar>
            <w:vAlign w:val="bottom"/>
          </w:tcPr>
          <w:p w14:paraId="0BC9AB2E"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B2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B30"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B31"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2</w:t>
            </w:r>
          </w:p>
        </w:tc>
        <w:tc>
          <w:tcPr>
            <w:tcW w:w="0" w:type="auto"/>
            <w:shd w:val="clear" w:color="auto" w:fill="auto"/>
            <w:vAlign w:val="bottom"/>
          </w:tcPr>
          <w:p w14:paraId="0BC9AB32"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B3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B34"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B35"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0BC9AB36"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B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B38"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B3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19</w:t>
            </w:r>
          </w:p>
        </w:tc>
        <w:tc>
          <w:tcPr>
            <w:tcW w:w="0" w:type="auto"/>
            <w:shd w:val="clear" w:color="auto" w:fill="auto"/>
            <w:vAlign w:val="bottom"/>
          </w:tcPr>
          <w:p w14:paraId="0BC9AB3A" w14:textId="77777777" w:rsidR="009F0928" w:rsidRDefault="009F0928">
            <w:pPr>
              <w:textAlignment w:val="bottom"/>
              <w:rPr>
                <w:rFonts w:ascii="Times New Roman" w:hAnsi="Times New Roman"/>
                <w:sz w:val="20"/>
                <w:szCs w:val="20"/>
              </w:rPr>
            </w:pPr>
          </w:p>
        </w:tc>
      </w:tr>
      <w:tr w:rsidR="009F0928" w14:paraId="0BC9AB4B" w14:textId="77777777">
        <w:tc>
          <w:tcPr>
            <w:tcW w:w="0" w:type="auto"/>
            <w:shd w:val="clear" w:color="auto" w:fill="E2E2E2"/>
            <w:tcMar>
              <w:top w:w="40" w:type="dxa"/>
              <w:left w:w="720" w:type="dxa"/>
              <w:bottom w:w="40" w:type="dxa"/>
              <w:right w:w="40" w:type="dxa"/>
            </w:tcMar>
            <w:vAlign w:val="bottom"/>
          </w:tcPr>
          <w:p w14:paraId="0BC9AB3C" w14:textId="77777777" w:rsidR="009F0928" w:rsidRDefault="002112BD">
            <w:pPr>
              <w:textAlignment w:val="bottom"/>
              <w:rPr>
                <w:rFonts w:ascii="Times New Roman" w:hAnsi="Times New Roman"/>
                <w:sz w:val="18"/>
                <w:szCs w:val="18"/>
              </w:rPr>
            </w:pPr>
            <w:r>
              <w:rPr>
                <w:rFonts w:ascii="Arial" w:eastAsia="宋体" w:hAnsi="Arial" w:cs="Arial"/>
                <w:sz w:val="18"/>
                <w:szCs w:val="18"/>
              </w:rPr>
              <w:t>Year Ended December 31, 2018</w:t>
            </w:r>
          </w:p>
        </w:tc>
        <w:tc>
          <w:tcPr>
            <w:tcW w:w="0" w:type="auto"/>
            <w:gridSpan w:val="2"/>
            <w:shd w:val="clear" w:color="auto" w:fill="E2E2E2"/>
            <w:tcMar>
              <w:top w:w="40" w:type="dxa"/>
              <w:left w:w="40" w:type="dxa"/>
              <w:bottom w:w="40" w:type="dxa"/>
            </w:tcMar>
            <w:vAlign w:val="bottom"/>
          </w:tcPr>
          <w:p w14:paraId="0BC9AB3D"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19</w:t>
            </w:r>
          </w:p>
        </w:tc>
        <w:tc>
          <w:tcPr>
            <w:tcW w:w="0" w:type="auto"/>
            <w:shd w:val="clear" w:color="auto" w:fill="E2E2E2"/>
            <w:vAlign w:val="bottom"/>
          </w:tcPr>
          <w:p w14:paraId="0BC9AB3E"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B3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B40"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33</w:t>
            </w:r>
          </w:p>
        </w:tc>
        <w:tc>
          <w:tcPr>
            <w:tcW w:w="0" w:type="auto"/>
            <w:shd w:val="clear" w:color="auto" w:fill="E2E2E2"/>
            <w:vAlign w:val="bottom"/>
          </w:tcPr>
          <w:p w14:paraId="0BC9AB41"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B4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B43"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13</w:t>
            </w:r>
          </w:p>
        </w:tc>
        <w:tc>
          <w:tcPr>
            <w:tcW w:w="0" w:type="auto"/>
            <w:shd w:val="clear" w:color="auto" w:fill="E2E2E2"/>
            <w:vAlign w:val="bottom"/>
          </w:tcPr>
          <w:p w14:paraId="0BC9AB44"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B4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B4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E2E2E2"/>
            <w:vAlign w:val="bottom"/>
          </w:tcPr>
          <w:p w14:paraId="0BC9AB47" w14:textId="77777777" w:rsidR="009F0928" w:rsidRDefault="009F0928">
            <w:pPr>
              <w:textAlignment w:val="bottom"/>
              <w:rPr>
                <w:rFonts w:ascii="Times New Roman" w:hAnsi="Times New Roman"/>
                <w:sz w:val="20"/>
                <w:szCs w:val="20"/>
              </w:rPr>
            </w:pPr>
          </w:p>
        </w:tc>
        <w:tc>
          <w:tcPr>
            <w:tcW w:w="0" w:type="auto"/>
            <w:shd w:val="clear" w:color="auto" w:fill="E2E2E2"/>
            <w:tcMar>
              <w:top w:w="40" w:type="dxa"/>
              <w:left w:w="40" w:type="dxa"/>
              <w:bottom w:w="40" w:type="dxa"/>
              <w:right w:w="40" w:type="dxa"/>
            </w:tcMar>
            <w:vAlign w:val="bottom"/>
          </w:tcPr>
          <w:p w14:paraId="0BC9AB4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2E2"/>
            <w:tcMar>
              <w:top w:w="40" w:type="dxa"/>
              <w:left w:w="40" w:type="dxa"/>
              <w:bottom w:w="40" w:type="dxa"/>
            </w:tcMar>
            <w:vAlign w:val="bottom"/>
          </w:tcPr>
          <w:p w14:paraId="0BC9AB49"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65</w:t>
            </w:r>
          </w:p>
        </w:tc>
        <w:tc>
          <w:tcPr>
            <w:tcW w:w="0" w:type="auto"/>
            <w:shd w:val="clear" w:color="auto" w:fill="E2E2E2"/>
            <w:vAlign w:val="bottom"/>
          </w:tcPr>
          <w:p w14:paraId="0BC9AB4A" w14:textId="77777777" w:rsidR="009F0928" w:rsidRDefault="009F0928">
            <w:pPr>
              <w:textAlignment w:val="bottom"/>
              <w:rPr>
                <w:rFonts w:ascii="Times New Roman" w:hAnsi="Times New Roman"/>
                <w:sz w:val="20"/>
                <w:szCs w:val="20"/>
              </w:rPr>
            </w:pPr>
          </w:p>
        </w:tc>
      </w:tr>
      <w:tr w:rsidR="009F0928" w14:paraId="0BC9AB60" w14:textId="77777777">
        <w:tc>
          <w:tcPr>
            <w:tcW w:w="0" w:type="auto"/>
            <w:shd w:val="clear" w:color="auto" w:fill="auto"/>
            <w:tcMar>
              <w:top w:w="40" w:type="dxa"/>
              <w:left w:w="720" w:type="dxa"/>
              <w:bottom w:w="40" w:type="dxa"/>
              <w:right w:w="40" w:type="dxa"/>
            </w:tcMar>
            <w:vAlign w:val="bottom"/>
          </w:tcPr>
          <w:p w14:paraId="0BC9AB4C" w14:textId="77777777" w:rsidR="009F0928" w:rsidRDefault="002112BD">
            <w:pPr>
              <w:textAlignment w:val="bottom"/>
              <w:rPr>
                <w:rFonts w:ascii="Times New Roman" w:hAnsi="Times New Roman"/>
                <w:sz w:val="18"/>
                <w:szCs w:val="18"/>
              </w:rPr>
            </w:pPr>
            <w:r>
              <w:rPr>
                <w:rFonts w:ascii="Arial" w:eastAsia="宋体" w:hAnsi="Arial" w:cs="Arial"/>
                <w:sz w:val="18"/>
                <w:szCs w:val="18"/>
              </w:rPr>
              <w:t>Year Ended December 31, 2019</w:t>
            </w:r>
          </w:p>
        </w:tc>
        <w:tc>
          <w:tcPr>
            <w:tcW w:w="0" w:type="auto"/>
            <w:shd w:val="clear" w:color="auto" w:fill="auto"/>
            <w:tcMar>
              <w:top w:w="40" w:type="dxa"/>
              <w:left w:w="40" w:type="dxa"/>
              <w:bottom w:w="40" w:type="dxa"/>
            </w:tcMar>
            <w:vAlign w:val="bottom"/>
          </w:tcPr>
          <w:p w14:paraId="0BC9AB4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B4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65</w:t>
            </w:r>
          </w:p>
        </w:tc>
        <w:tc>
          <w:tcPr>
            <w:tcW w:w="0" w:type="auto"/>
            <w:shd w:val="clear" w:color="auto" w:fill="auto"/>
            <w:vAlign w:val="bottom"/>
          </w:tcPr>
          <w:p w14:paraId="0BC9AB4F"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B5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B51"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B52"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45</w:t>
            </w:r>
          </w:p>
        </w:tc>
        <w:tc>
          <w:tcPr>
            <w:tcW w:w="0" w:type="auto"/>
            <w:shd w:val="clear" w:color="auto" w:fill="auto"/>
            <w:vAlign w:val="bottom"/>
          </w:tcPr>
          <w:p w14:paraId="0BC9AB53" w14:textId="77777777" w:rsidR="009F0928" w:rsidRDefault="009F0928">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B5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B55"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B56"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w:t>
            </w:r>
          </w:p>
        </w:tc>
        <w:tc>
          <w:tcPr>
            <w:tcW w:w="0" w:type="auto"/>
            <w:shd w:val="clear" w:color="auto" w:fill="auto"/>
            <w:tcMar>
              <w:top w:w="40" w:type="dxa"/>
              <w:bottom w:w="40" w:type="dxa"/>
              <w:right w:w="40" w:type="dxa"/>
            </w:tcMar>
            <w:vAlign w:val="bottom"/>
          </w:tcPr>
          <w:p w14:paraId="0BC9AB57"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B5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B59"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B5A"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(7</w:t>
            </w:r>
          </w:p>
        </w:tc>
        <w:tc>
          <w:tcPr>
            <w:tcW w:w="0" w:type="auto"/>
            <w:shd w:val="clear" w:color="auto" w:fill="auto"/>
            <w:tcMar>
              <w:top w:w="40" w:type="dxa"/>
              <w:bottom w:w="40" w:type="dxa"/>
              <w:right w:w="40" w:type="dxa"/>
            </w:tcMar>
            <w:vAlign w:val="bottom"/>
          </w:tcPr>
          <w:p w14:paraId="0BC9AB5B"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B5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0BC9AB5D" w14:textId="77777777" w:rsidR="009F0928" w:rsidRDefault="002112BD">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0BC9AB5E" w14:textId="77777777" w:rsidR="009F0928" w:rsidRDefault="002112BD">
            <w:pPr>
              <w:jc w:val="right"/>
              <w:textAlignment w:val="bottom"/>
              <w:rPr>
                <w:rFonts w:ascii="Times New Roman" w:hAnsi="Times New Roman"/>
                <w:sz w:val="18"/>
                <w:szCs w:val="18"/>
              </w:rPr>
            </w:pPr>
            <w:r>
              <w:rPr>
                <w:rFonts w:ascii="Arial" w:eastAsia="宋体" w:hAnsi="Arial" w:cs="Arial"/>
                <w:sz w:val="18"/>
                <w:szCs w:val="18"/>
              </w:rPr>
              <w:t>102</w:t>
            </w:r>
          </w:p>
        </w:tc>
        <w:tc>
          <w:tcPr>
            <w:tcW w:w="0" w:type="auto"/>
            <w:shd w:val="clear" w:color="auto" w:fill="auto"/>
            <w:vAlign w:val="bottom"/>
          </w:tcPr>
          <w:p w14:paraId="0BC9AB5F" w14:textId="77777777" w:rsidR="009F0928" w:rsidRDefault="009F0928">
            <w:pPr>
              <w:textAlignment w:val="bottom"/>
              <w:rPr>
                <w:rFonts w:ascii="Times New Roman" w:hAnsi="Times New Roman"/>
                <w:sz w:val="20"/>
                <w:szCs w:val="20"/>
              </w:rPr>
            </w:pPr>
          </w:p>
        </w:tc>
      </w:tr>
    </w:tbl>
    <w:p w14:paraId="0BC9AB61" w14:textId="77777777" w:rsidR="009F0928" w:rsidRDefault="009F0928">
      <w:pPr>
        <w:spacing w:line="288" w:lineRule="auto"/>
        <w:jc w:val="both"/>
        <w:rPr>
          <w:rFonts w:ascii="Times New Roman" w:hAnsi="Times New Roman"/>
          <w:sz w:val="20"/>
          <w:szCs w:val="20"/>
        </w:rPr>
      </w:pPr>
    </w:p>
    <w:p w14:paraId="0BC9AB62" w14:textId="77777777" w:rsidR="009F0928" w:rsidRDefault="009F0928">
      <w:pPr>
        <w:spacing w:line="288" w:lineRule="auto"/>
        <w:jc w:val="both"/>
        <w:rPr>
          <w:rFonts w:ascii="Times New Roman" w:hAnsi="Times New Roman"/>
          <w:sz w:val="20"/>
          <w:szCs w:val="20"/>
        </w:rPr>
      </w:pPr>
    </w:p>
    <w:p w14:paraId="0BC9AB63" w14:textId="77777777" w:rsidR="009F0928" w:rsidRDefault="009F0928">
      <w:pPr>
        <w:rPr>
          <w:rFonts w:ascii="Times New Roman" w:hAnsi="Times New Roman"/>
          <w:sz w:val="20"/>
          <w:szCs w:val="20"/>
        </w:rPr>
      </w:pPr>
    </w:p>
    <w:p w14:paraId="0BC9AB64"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F-46</w:t>
      </w:r>
    </w:p>
    <w:p w14:paraId="0BC9AB65" w14:textId="77777777" w:rsidR="009F0928" w:rsidRDefault="002112BD">
      <w:r>
        <w:rPr>
          <w:rFonts w:ascii="Times New Roman" w:hAnsi="Times New Roman"/>
          <w:sz w:val="18"/>
          <w:szCs w:val="18"/>
        </w:rPr>
        <w:pict w14:anchorId="0BC9B528">
          <v:rect id="_x0000_i1132" style="width:415.3pt;height:1.5pt" o:hralign="center" o:hrstd="t" o:hr="t" fillcolor="#a0a0a0" stroked="f"/>
        </w:pict>
      </w:r>
    </w:p>
    <w:p w14:paraId="0BC9AB66" w14:textId="77777777" w:rsidR="009F0928" w:rsidRDefault="009F0928">
      <w:pPr>
        <w:spacing w:line="288" w:lineRule="auto"/>
        <w:rPr>
          <w:rFonts w:ascii="Times New Roman" w:hAnsi="Times New Roman"/>
          <w:sz w:val="20"/>
          <w:szCs w:val="20"/>
        </w:rPr>
      </w:pPr>
    </w:p>
    <w:p w14:paraId="0BC9AB67" w14:textId="77777777" w:rsidR="009F0928" w:rsidRDefault="009F0928">
      <w:pPr>
        <w:rPr>
          <w:rFonts w:ascii="Times New Roman" w:hAnsi="Times New Roman"/>
          <w:sz w:val="20"/>
          <w:szCs w:val="20"/>
        </w:rPr>
      </w:pPr>
    </w:p>
    <w:p w14:paraId="0BC9AB68" w14:textId="77777777" w:rsidR="009F0928" w:rsidRDefault="002112BD">
      <w:pPr>
        <w:spacing w:line="288" w:lineRule="auto"/>
        <w:jc w:val="center"/>
        <w:rPr>
          <w:rFonts w:ascii="Times New Roman" w:hAnsi="Times New Roman"/>
          <w:sz w:val="20"/>
          <w:szCs w:val="20"/>
        </w:rPr>
      </w:pPr>
      <w:r>
        <w:rPr>
          <w:rFonts w:ascii="Arial" w:eastAsia="宋体" w:hAnsi="Arial" w:cs="Arial"/>
          <w:b/>
          <w:bCs/>
          <w:sz w:val="20"/>
          <w:szCs w:val="20"/>
        </w:rPr>
        <w:t>INDEX TO EXHIBITS</w:t>
      </w:r>
    </w:p>
    <w:tbl>
      <w:tblPr>
        <w:tblW w:w="4995" w:type="pct"/>
        <w:jc w:val="center"/>
        <w:tblCellMar>
          <w:left w:w="0" w:type="dxa"/>
          <w:right w:w="0" w:type="dxa"/>
        </w:tblCellMar>
        <w:tblLook w:val="04A0" w:firstRow="1" w:lastRow="0" w:firstColumn="1" w:lastColumn="0" w:noHBand="0" w:noVBand="1"/>
      </w:tblPr>
      <w:tblGrid>
        <w:gridCol w:w="636"/>
        <w:gridCol w:w="181"/>
        <w:gridCol w:w="3669"/>
        <w:gridCol w:w="131"/>
        <w:gridCol w:w="849"/>
        <w:gridCol w:w="131"/>
        <w:gridCol w:w="517"/>
        <w:gridCol w:w="131"/>
        <w:gridCol w:w="941"/>
        <w:gridCol w:w="131"/>
        <w:gridCol w:w="981"/>
      </w:tblGrid>
      <w:tr w:rsidR="009F0928" w14:paraId="0BC9AB6A" w14:textId="77777777">
        <w:trPr>
          <w:jc w:val="center"/>
        </w:trPr>
        <w:tc>
          <w:tcPr>
            <w:tcW w:w="0" w:type="auto"/>
            <w:gridSpan w:val="11"/>
            <w:shd w:val="clear" w:color="auto" w:fill="auto"/>
            <w:vAlign w:val="center"/>
          </w:tcPr>
          <w:p w14:paraId="0BC9AB69" w14:textId="77777777" w:rsidR="009F0928" w:rsidRDefault="009F0928">
            <w:pPr>
              <w:rPr>
                <w:rFonts w:ascii="Times New Roman" w:hAnsi="Times New Roman"/>
                <w:sz w:val="20"/>
                <w:szCs w:val="20"/>
              </w:rPr>
            </w:pPr>
          </w:p>
        </w:tc>
      </w:tr>
      <w:tr w:rsidR="009F0928" w14:paraId="0BC9AB76" w14:textId="77777777">
        <w:trPr>
          <w:jc w:val="center"/>
        </w:trPr>
        <w:tc>
          <w:tcPr>
            <w:tcW w:w="350" w:type="pct"/>
            <w:shd w:val="clear" w:color="auto" w:fill="auto"/>
            <w:vAlign w:val="center"/>
          </w:tcPr>
          <w:p w14:paraId="0BC9AB6B" w14:textId="77777777" w:rsidR="009F0928" w:rsidRDefault="009F0928">
            <w:pPr>
              <w:rPr>
                <w:rFonts w:ascii="Times New Roman" w:hAnsi="Times New Roman"/>
                <w:sz w:val="20"/>
                <w:szCs w:val="20"/>
              </w:rPr>
            </w:pPr>
          </w:p>
        </w:tc>
        <w:tc>
          <w:tcPr>
            <w:tcW w:w="50" w:type="pct"/>
            <w:shd w:val="clear" w:color="auto" w:fill="auto"/>
            <w:vAlign w:val="center"/>
          </w:tcPr>
          <w:p w14:paraId="0BC9AB6C" w14:textId="77777777" w:rsidR="009F0928" w:rsidRDefault="009F0928">
            <w:pPr>
              <w:rPr>
                <w:rFonts w:ascii="Times New Roman" w:hAnsi="Times New Roman"/>
                <w:sz w:val="20"/>
                <w:szCs w:val="20"/>
              </w:rPr>
            </w:pPr>
          </w:p>
        </w:tc>
        <w:tc>
          <w:tcPr>
            <w:tcW w:w="2300" w:type="pct"/>
            <w:shd w:val="clear" w:color="auto" w:fill="auto"/>
            <w:vAlign w:val="center"/>
          </w:tcPr>
          <w:p w14:paraId="0BC9AB6D" w14:textId="77777777" w:rsidR="009F0928" w:rsidRDefault="009F0928">
            <w:pPr>
              <w:rPr>
                <w:rFonts w:ascii="Times New Roman" w:hAnsi="Times New Roman"/>
                <w:sz w:val="20"/>
                <w:szCs w:val="20"/>
              </w:rPr>
            </w:pPr>
          </w:p>
        </w:tc>
        <w:tc>
          <w:tcPr>
            <w:tcW w:w="50" w:type="pct"/>
            <w:shd w:val="clear" w:color="auto" w:fill="auto"/>
            <w:vAlign w:val="center"/>
          </w:tcPr>
          <w:p w14:paraId="0BC9AB6E" w14:textId="77777777" w:rsidR="009F0928" w:rsidRDefault="009F0928">
            <w:pPr>
              <w:rPr>
                <w:rFonts w:ascii="Times New Roman" w:hAnsi="Times New Roman"/>
                <w:sz w:val="20"/>
                <w:szCs w:val="20"/>
              </w:rPr>
            </w:pPr>
          </w:p>
        </w:tc>
        <w:tc>
          <w:tcPr>
            <w:tcW w:w="600" w:type="pct"/>
            <w:shd w:val="clear" w:color="auto" w:fill="auto"/>
            <w:vAlign w:val="center"/>
          </w:tcPr>
          <w:p w14:paraId="0BC9AB6F" w14:textId="77777777" w:rsidR="009F0928" w:rsidRDefault="009F0928">
            <w:pPr>
              <w:rPr>
                <w:rFonts w:ascii="Times New Roman" w:hAnsi="Times New Roman"/>
                <w:sz w:val="20"/>
                <w:szCs w:val="20"/>
              </w:rPr>
            </w:pPr>
          </w:p>
        </w:tc>
        <w:tc>
          <w:tcPr>
            <w:tcW w:w="50" w:type="pct"/>
            <w:shd w:val="clear" w:color="auto" w:fill="auto"/>
            <w:vAlign w:val="center"/>
          </w:tcPr>
          <w:p w14:paraId="0BC9AB70" w14:textId="77777777" w:rsidR="009F0928" w:rsidRDefault="009F0928">
            <w:pPr>
              <w:rPr>
                <w:rFonts w:ascii="Times New Roman" w:hAnsi="Times New Roman"/>
                <w:sz w:val="20"/>
                <w:szCs w:val="20"/>
              </w:rPr>
            </w:pPr>
          </w:p>
        </w:tc>
        <w:tc>
          <w:tcPr>
            <w:tcW w:w="400" w:type="pct"/>
            <w:shd w:val="clear" w:color="auto" w:fill="auto"/>
            <w:vAlign w:val="center"/>
          </w:tcPr>
          <w:p w14:paraId="0BC9AB71" w14:textId="77777777" w:rsidR="009F0928" w:rsidRDefault="009F0928">
            <w:pPr>
              <w:rPr>
                <w:rFonts w:ascii="Times New Roman" w:hAnsi="Times New Roman"/>
                <w:sz w:val="20"/>
                <w:szCs w:val="20"/>
              </w:rPr>
            </w:pPr>
          </w:p>
        </w:tc>
        <w:tc>
          <w:tcPr>
            <w:tcW w:w="50" w:type="pct"/>
            <w:shd w:val="clear" w:color="auto" w:fill="auto"/>
            <w:vAlign w:val="center"/>
          </w:tcPr>
          <w:p w14:paraId="0BC9AB72" w14:textId="77777777" w:rsidR="009F0928" w:rsidRDefault="009F0928">
            <w:pPr>
              <w:rPr>
                <w:rFonts w:ascii="Times New Roman" w:hAnsi="Times New Roman"/>
                <w:sz w:val="20"/>
                <w:szCs w:val="20"/>
              </w:rPr>
            </w:pPr>
          </w:p>
        </w:tc>
        <w:tc>
          <w:tcPr>
            <w:tcW w:w="550" w:type="pct"/>
            <w:shd w:val="clear" w:color="auto" w:fill="auto"/>
            <w:vAlign w:val="center"/>
          </w:tcPr>
          <w:p w14:paraId="0BC9AB73" w14:textId="77777777" w:rsidR="009F0928" w:rsidRDefault="009F0928">
            <w:pPr>
              <w:rPr>
                <w:rFonts w:ascii="Times New Roman" w:hAnsi="Times New Roman"/>
                <w:sz w:val="20"/>
                <w:szCs w:val="20"/>
              </w:rPr>
            </w:pPr>
          </w:p>
        </w:tc>
        <w:tc>
          <w:tcPr>
            <w:tcW w:w="50" w:type="pct"/>
            <w:shd w:val="clear" w:color="auto" w:fill="auto"/>
            <w:vAlign w:val="center"/>
          </w:tcPr>
          <w:p w14:paraId="0BC9AB74" w14:textId="77777777" w:rsidR="009F0928" w:rsidRDefault="009F0928">
            <w:pPr>
              <w:rPr>
                <w:rFonts w:ascii="Times New Roman" w:hAnsi="Times New Roman"/>
                <w:sz w:val="20"/>
                <w:szCs w:val="20"/>
              </w:rPr>
            </w:pPr>
          </w:p>
        </w:tc>
        <w:tc>
          <w:tcPr>
            <w:tcW w:w="550" w:type="pct"/>
            <w:shd w:val="clear" w:color="auto" w:fill="auto"/>
            <w:vAlign w:val="center"/>
          </w:tcPr>
          <w:p w14:paraId="0BC9AB75" w14:textId="77777777" w:rsidR="009F0928" w:rsidRDefault="009F0928">
            <w:pPr>
              <w:rPr>
                <w:rFonts w:ascii="Times New Roman" w:hAnsi="Times New Roman"/>
                <w:sz w:val="20"/>
                <w:szCs w:val="20"/>
              </w:rPr>
            </w:pPr>
          </w:p>
        </w:tc>
      </w:tr>
      <w:tr w:rsidR="009F0928" w14:paraId="0BC9AB7F" w14:textId="77777777">
        <w:trPr>
          <w:jc w:val="center"/>
        </w:trPr>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0BC9AB77" w14:textId="77777777" w:rsidR="009F0928" w:rsidRDefault="002112BD">
            <w:pPr>
              <w:textAlignment w:val="bottom"/>
              <w:rPr>
                <w:rFonts w:ascii="Times New Roman" w:hAnsi="Times New Roman"/>
                <w:sz w:val="14"/>
                <w:szCs w:val="14"/>
              </w:rPr>
            </w:pPr>
            <w:r>
              <w:rPr>
                <w:rFonts w:ascii="Arial" w:eastAsia="宋体" w:hAnsi="Arial" w:cs="Arial"/>
                <w:b/>
                <w:bCs/>
                <w:sz w:val="14"/>
                <w:szCs w:val="14"/>
              </w:rPr>
              <w:t>No.</w:t>
            </w:r>
          </w:p>
        </w:tc>
        <w:tc>
          <w:tcPr>
            <w:tcW w:w="0" w:type="auto"/>
            <w:shd w:val="clear" w:color="auto" w:fill="auto"/>
            <w:tcMar>
              <w:top w:w="40" w:type="dxa"/>
              <w:left w:w="40" w:type="dxa"/>
              <w:bottom w:w="40" w:type="dxa"/>
              <w:right w:w="40" w:type="dxa"/>
            </w:tcMar>
            <w:vAlign w:val="bottom"/>
          </w:tcPr>
          <w:p w14:paraId="0BC9AB78"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0BC9AB79"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Exhibit Description</w:t>
            </w:r>
          </w:p>
        </w:tc>
        <w:tc>
          <w:tcPr>
            <w:tcW w:w="0" w:type="auto"/>
            <w:shd w:val="clear" w:color="auto" w:fill="auto"/>
            <w:tcMar>
              <w:top w:w="40" w:type="dxa"/>
              <w:left w:w="40" w:type="dxa"/>
              <w:bottom w:w="40" w:type="dxa"/>
              <w:right w:w="40" w:type="dxa"/>
            </w:tcMar>
            <w:vAlign w:val="bottom"/>
          </w:tcPr>
          <w:p w14:paraId="0BC9AB7A"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0BC9AB7B"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Filed or Furnished with</w:t>
            </w:r>
          </w:p>
          <w:p w14:paraId="0BC9AB7C"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this 10-K</w:t>
            </w:r>
          </w:p>
        </w:tc>
        <w:tc>
          <w:tcPr>
            <w:tcW w:w="0" w:type="auto"/>
            <w:shd w:val="clear" w:color="auto" w:fill="auto"/>
            <w:tcMar>
              <w:top w:w="40" w:type="dxa"/>
              <w:left w:w="40" w:type="dxa"/>
              <w:bottom w:w="40" w:type="dxa"/>
              <w:right w:w="40" w:type="dxa"/>
            </w:tcMar>
            <w:vAlign w:val="bottom"/>
          </w:tcPr>
          <w:p w14:paraId="0BC9AB7D"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0BC9AB7E"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Incorporated by Reference</w:t>
            </w:r>
          </w:p>
        </w:tc>
      </w:tr>
      <w:tr w:rsidR="009F0928" w14:paraId="0BC9AB8B" w14:textId="77777777">
        <w:trPr>
          <w:jc w:val="center"/>
        </w:trPr>
        <w:tc>
          <w:tcPr>
            <w:tcW w:w="0" w:type="auto"/>
            <w:vMerge/>
            <w:tcBorders>
              <w:bottom w:val="single" w:sz="8" w:space="0" w:color="000000"/>
            </w:tcBorders>
            <w:shd w:val="clear" w:color="auto" w:fill="auto"/>
            <w:tcMar>
              <w:top w:w="40" w:type="dxa"/>
              <w:left w:w="40" w:type="dxa"/>
              <w:bottom w:w="40" w:type="dxa"/>
              <w:right w:w="40" w:type="dxa"/>
            </w:tcMar>
            <w:vAlign w:val="bottom"/>
          </w:tcPr>
          <w:p w14:paraId="0BC9AB80" w14:textId="77777777" w:rsidR="009F0928" w:rsidRDefault="009F0928">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B81"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0BC9AB82" w14:textId="77777777" w:rsidR="009F0928" w:rsidRDefault="009F0928">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B83"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0BC9AB84" w14:textId="77777777" w:rsidR="009F0928" w:rsidRDefault="009F0928">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B85"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AB86"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Form</w:t>
            </w:r>
          </w:p>
        </w:tc>
        <w:tc>
          <w:tcPr>
            <w:tcW w:w="0" w:type="auto"/>
            <w:shd w:val="clear" w:color="auto" w:fill="auto"/>
            <w:tcMar>
              <w:top w:w="40" w:type="dxa"/>
              <w:left w:w="40" w:type="dxa"/>
              <w:bottom w:w="40" w:type="dxa"/>
              <w:right w:w="40" w:type="dxa"/>
            </w:tcMar>
            <w:vAlign w:val="bottom"/>
          </w:tcPr>
          <w:p w14:paraId="0BC9AB87"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AB88"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File No.</w:t>
            </w:r>
          </w:p>
        </w:tc>
        <w:tc>
          <w:tcPr>
            <w:tcW w:w="0" w:type="auto"/>
            <w:shd w:val="clear" w:color="auto" w:fill="auto"/>
            <w:tcMar>
              <w:top w:w="40" w:type="dxa"/>
              <w:left w:w="40" w:type="dxa"/>
              <w:bottom w:w="40" w:type="dxa"/>
              <w:right w:w="40" w:type="dxa"/>
            </w:tcMar>
            <w:vAlign w:val="bottom"/>
          </w:tcPr>
          <w:p w14:paraId="0BC9AB89"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AB8A"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Date Filed</w:t>
            </w:r>
          </w:p>
        </w:tc>
      </w:tr>
      <w:tr w:rsidR="009F0928" w14:paraId="0BC9AB92" w14:textId="77777777">
        <w:trPr>
          <w:jc w:val="center"/>
        </w:trPr>
        <w:tc>
          <w:tcPr>
            <w:tcW w:w="0" w:type="auto"/>
            <w:shd w:val="clear" w:color="auto" w:fill="auto"/>
            <w:tcMar>
              <w:top w:w="40" w:type="dxa"/>
              <w:left w:w="40" w:type="dxa"/>
              <w:bottom w:w="40" w:type="dxa"/>
              <w:right w:w="40" w:type="dxa"/>
            </w:tcMar>
            <w:vAlign w:val="bottom"/>
          </w:tcPr>
          <w:p w14:paraId="0BC9AB8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B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B8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B8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B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B9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B9E" w14:textId="77777777">
        <w:trPr>
          <w:jc w:val="center"/>
        </w:trPr>
        <w:tc>
          <w:tcPr>
            <w:tcW w:w="0" w:type="auto"/>
            <w:shd w:val="clear" w:color="auto" w:fill="auto"/>
            <w:tcMar>
              <w:top w:w="40" w:type="dxa"/>
              <w:left w:w="40" w:type="dxa"/>
              <w:bottom w:w="40" w:type="dxa"/>
              <w:right w:w="40" w:type="dxa"/>
            </w:tcMar>
          </w:tcPr>
          <w:p w14:paraId="0BC9AB93" w14:textId="77777777" w:rsidR="009F0928" w:rsidRDefault="002112BD">
            <w:pPr>
              <w:textAlignment w:val="top"/>
              <w:rPr>
                <w:rFonts w:ascii="Times New Roman" w:hAnsi="Times New Roman"/>
                <w:sz w:val="18"/>
                <w:szCs w:val="18"/>
              </w:rPr>
            </w:pPr>
            <w:r>
              <w:rPr>
                <w:rFonts w:ascii="Arial" w:eastAsia="宋体" w:hAnsi="Arial" w:cs="Arial"/>
                <w:sz w:val="18"/>
                <w:szCs w:val="18"/>
              </w:rPr>
              <w:t>2.01</w:t>
            </w:r>
          </w:p>
        </w:tc>
        <w:tc>
          <w:tcPr>
            <w:tcW w:w="0" w:type="auto"/>
            <w:shd w:val="clear" w:color="auto" w:fill="auto"/>
            <w:tcMar>
              <w:top w:w="40" w:type="dxa"/>
              <w:left w:w="40" w:type="dxa"/>
              <w:bottom w:w="40" w:type="dxa"/>
              <w:right w:w="40" w:type="dxa"/>
            </w:tcMar>
            <w:vAlign w:val="bottom"/>
          </w:tcPr>
          <w:p w14:paraId="0BC9AB9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B95" w14:textId="77777777" w:rsidR="009F0928" w:rsidRDefault="002112BD">
            <w:pPr>
              <w:textAlignment w:val="top"/>
              <w:rPr>
                <w:rFonts w:ascii="Times New Roman" w:hAnsi="Times New Roman"/>
                <w:sz w:val="18"/>
                <w:szCs w:val="18"/>
              </w:rPr>
            </w:pPr>
            <w:hyperlink r:id="rId37" w:history="1">
              <w:r>
                <w:rPr>
                  <w:rStyle w:val="a5"/>
                  <w:rFonts w:ascii="Arial" w:eastAsia="宋体" w:hAnsi="Arial" w:cs="Arial"/>
                  <w:sz w:val="18"/>
                  <w:szCs w:val="18"/>
                </w:rPr>
                <w:t>Separation and Distribution Agreement by and between Registrant and PayPal Holdings, Inc. dated as of June 26, 2015.</w:t>
              </w:r>
            </w:hyperlink>
          </w:p>
        </w:tc>
        <w:tc>
          <w:tcPr>
            <w:tcW w:w="0" w:type="auto"/>
            <w:shd w:val="clear" w:color="auto" w:fill="auto"/>
            <w:tcMar>
              <w:top w:w="40" w:type="dxa"/>
              <w:left w:w="40" w:type="dxa"/>
              <w:bottom w:w="40" w:type="dxa"/>
              <w:right w:w="40" w:type="dxa"/>
            </w:tcMar>
            <w:vAlign w:val="bottom"/>
          </w:tcPr>
          <w:p w14:paraId="0BC9AB9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9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B99"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AB9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B9B"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B9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B9D"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6/30/2015</w:t>
            </w:r>
          </w:p>
        </w:tc>
      </w:tr>
      <w:tr w:rsidR="009F0928" w14:paraId="0BC9ABAA" w14:textId="77777777">
        <w:trPr>
          <w:jc w:val="center"/>
        </w:trPr>
        <w:tc>
          <w:tcPr>
            <w:tcW w:w="0" w:type="auto"/>
            <w:shd w:val="clear" w:color="auto" w:fill="auto"/>
            <w:tcMar>
              <w:top w:w="40" w:type="dxa"/>
              <w:left w:w="40" w:type="dxa"/>
              <w:bottom w:w="40" w:type="dxa"/>
              <w:right w:w="40" w:type="dxa"/>
            </w:tcMar>
            <w:vAlign w:val="bottom"/>
          </w:tcPr>
          <w:p w14:paraId="0BC9AB9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A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A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A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A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A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BB6" w14:textId="77777777">
        <w:trPr>
          <w:jc w:val="center"/>
        </w:trPr>
        <w:tc>
          <w:tcPr>
            <w:tcW w:w="0" w:type="auto"/>
            <w:shd w:val="clear" w:color="auto" w:fill="auto"/>
            <w:tcMar>
              <w:top w:w="40" w:type="dxa"/>
              <w:left w:w="40" w:type="dxa"/>
              <w:bottom w:w="40" w:type="dxa"/>
              <w:right w:w="40" w:type="dxa"/>
            </w:tcMar>
          </w:tcPr>
          <w:p w14:paraId="0BC9ABAB" w14:textId="77777777" w:rsidR="009F0928" w:rsidRDefault="002112BD">
            <w:pPr>
              <w:textAlignment w:val="top"/>
              <w:rPr>
                <w:rFonts w:ascii="Times New Roman" w:hAnsi="Times New Roman"/>
                <w:sz w:val="18"/>
                <w:szCs w:val="18"/>
              </w:rPr>
            </w:pPr>
            <w:r>
              <w:rPr>
                <w:rFonts w:ascii="Arial" w:eastAsia="宋体" w:hAnsi="Arial" w:cs="Arial"/>
                <w:sz w:val="18"/>
                <w:szCs w:val="18"/>
              </w:rPr>
              <w:t>2.02*</w:t>
            </w:r>
          </w:p>
        </w:tc>
        <w:tc>
          <w:tcPr>
            <w:tcW w:w="0" w:type="auto"/>
            <w:shd w:val="clear" w:color="auto" w:fill="auto"/>
            <w:tcMar>
              <w:top w:w="40" w:type="dxa"/>
              <w:left w:w="40" w:type="dxa"/>
              <w:bottom w:w="40" w:type="dxa"/>
              <w:right w:w="40" w:type="dxa"/>
            </w:tcMar>
            <w:vAlign w:val="bottom"/>
          </w:tcPr>
          <w:p w14:paraId="0BC9ABA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AD" w14:textId="77777777" w:rsidR="009F0928" w:rsidRDefault="002112BD">
            <w:pPr>
              <w:textAlignment w:val="bottom"/>
              <w:rPr>
                <w:rFonts w:ascii="Times New Roman" w:hAnsi="Times New Roman"/>
                <w:sz w:val="18"/>
                <w:szCs w:val="18"/>
              </w:rPr>
            </w:pPr>
            <w:hyperlink r:id="rId38" w:history="1">
              <w:r>
                <w:rPr>
                  <w:rStyle w:val="a5"/>
                  <w:rFonts w:ascii="Arial" w:eastAsia="宋体" w:hAnsi="Arial" w:cs="Arial"/>
                  <w:sz w:val="18"/>
                  <w:szCs w:val="18"/>
                </w:rPr>
                <w:t xml:space="preserve">Stock Purchase Agreement, dated as of November 24, 2019 by and among eBay Inc., eBay International AG, PUG LLC, and </w:t>
              </w:r>
              <w:r>
                <w:rPr>
                  <w:rStyle w:val="a5"/>
                  <w:rFonts w:ascii="Arial" w:eastAsia="宋体" w:hAnsi="Arial" w:cs="Arial"/>
                  <w:sz w:val="18"/>
                  <w:szCs w:val="18"/>
                </w:rPr>
                <w:t>solely for the purposes set forth therein, Pugnacious Endeavors, Inc.</w:t>
              </w:r>
            </w:hyperlink>
          </w:p>
        </w:tc>
        <w:tc>
          <w:tcPr>
            <w:tcW w:w="0" w:type="auto"/>
            <w:shd w:val="clear" w:color="auto" w:fill="auto"/>
            <w:tcMar>
              <w:top w:w="40" w:type="dxa"/>
              <w:left w:w="40" w:type="dxa"/>
              <w:bottom w:w="40" w:type="dxa"/>
              <w:right w:w="40" w:type="dxa"/>
            </w:tcMar>
            <w:vAlign w:val="bottom"/>
          </w:tcPr>
          <w:p w14:paraId="0BC9ABA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A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BB1"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ABB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BB3"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AB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BB5"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11/25/2019</w:t>
            </w:r>
          </w:p>
        </w:tc>
      </w:tr>
      <w:tr w:rsidR="009F0928" w14:paraId="0BC9ABC2" w14:textId="77777777">
        <w:trPr>
          <w:jc w:val="center"/>
        </w:trPr>
        <w:tc>
          <w:tcPr>
            <w:tcW w:w="0" w:type="auto"/>
            <w:shd w:val="clear" w:color="auto" w:fill="auto"/>
            <w:tcMar>
              <w:top w:w="40" w:type="dxa"/>
              <w:left w:w="40" w:type="dxa"/>
              <w:bottom w:w="40" w:type="dxa"/>
              <w:right w:w="40" w:type="dxa"/>
            </w:tcMar>
            <w:vAlign w:val="bottom"/>
          </w:tcPr>
          <w:p w14:paraId="0BC9ABB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B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B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B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B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B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B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B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B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C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BCE" w14:textId="77777777">
        <w:trPr>
          <w:jc w:val="center"/>
        </w:trPr>
        <w:tc>
          <w:tcPr>
            <w:tcW w:w="0" w:type="auto"/>
            <w:shd w:val="clear" w:color="auto" w:fill="auto"/>
            <w:tcMar>
              <w:top w:w="40" w:type="dxa"/>
              <w:left w:w="40" w:type="dxa"/>
              <w:bottom w:w="40" w:type="dxa"/>
              <w:right w:w="40" w:type="dxa"/>
            </w:tcMar>
          </w:tcPr>
          <w:p w14:paraId="0BC9ABC3" w14:textId="77777777" w:rsidR="009F0928" w:rsidRDefault="002112BD">
            <w:pPr>
              <w:textAlignment w:val="top"/>
              <w:rPr>
                <w:rFonts w:ascii="Times New Roman" w:hAnsi="Times New Roman"/>
                <w:sz w:val="18"/>
                <w:szCs w:val="18"/>
              </w:rPr>
            </w:pPr>
            <w:r>
              <w:rPr>
                <w:rFonts w:ascii="Arial" w:eastAsia="宋体" w:hAnsi="Arial" w:cs="Arial"/>
                <w:sz w:val="18"/>
                <w:szCs w:val="18"/>
              </w:rPr>
              <w:t>3.01</w:t>
            </w:r>
          </w:p>
        </w:tc>
        <w:tc>
          <w:tcPr>
            <w:tcW w:w="0" w:type="auto"/>
            <w:shd w:val="clear" w:color="auto" w:fill="auto"/>
            <w:tcMar>
              <w:top w:w="40" w:type="dxa"/>
              <w:left w:w="40" w:type="dxa"/>
              <w:bottom w:w="40" w:type="dxa"/>
              <w:right w:w="40" w:type="dxa"/>
            </w:tcMar>
          </w:tcPr>
          <w:p w14:paraId="0BC9ABC4"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BC5" w14:textId="77777777" w:rsidR="009F0928" w:rsidRDefault="002112BD">
            <w:pPr>
              <w:textAlignment w:val="top"/>
              <w:rPr>
                <w:rFonts w:ascii="Times New Roman" w:hAnsi="Times New Roman"/>
                <w:sz w:val="18"/>
                <w:szCs w:val="18"/>
              </w:rPr>
            </w:pPr>
            <w:hyperlink r:id="rId39" w:history="1">
              <w:r>
                <w:rPr>
                  <w:rStyle w:val="a5"/>
                  <w:rFonts w:ascii="Arial" w:eastAsia="宋体" w:hAnsi="Arial" w:cs="Arial"/>
                  <w:sz w:val="18"/>
                  <w:szCs w:val="18"/>
                </w:rPr>
                <w:t>Registrant’s Amended and Restated Certificate of Incorporation.</w:t>
              </w:r>
            </w:hyperlink>
          </w:p>
        </w:tc>
        <w:tc>
          <w:tcPr>
            <w:tcW w:w="0" w:type="auto"/>
            <w:shd w:val="clear" w:color="auto" w:fill="auto"/>
            <w:tcMar>
              <w:top w:w="40" w:type="dxa"/>
              <w:left w:w="40" w:type="dxa"/>
              <w:bottom w:w="40" w:type="dxa"/>
              <w:right w:w="40" w:type="dxa"/>
            </w:tcMar>
            <w:vAlign w:val="bottom"/>
          </w:tcPr>
          <w:p w14:paraId="0BC9ABC6"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ABC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BC8"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BC9"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tcPr>
          <w:p w14:paraId="0BC9ABCA"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BCB"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ABC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BCD"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7/18/2019</w:t>
            </w:r>
          </w:p>
        </w:tc>
      </w:tr>
      <w:tr w:rsidR="009F0928" w14:paraId="0BC9ABD6" w14:textId="77777777">
        <w:trPr>
          <w:jc w:val="center"/>
        </w:trPr>
        <w:tc>
          <w:tcPr>
            <w:tcW w:w="0" w:type="auto"/>
            <w:shd w:val="clear" w:color="auto" w:fill="auto"/>
            <w:tcMar>
              <w:top w:w="40" w:type="dxa"/>
              <w:left w:w="40" w:type="dxa"/>
              <w:bottom w:w="40" w:type="dxa"/>
              <w:right w:w="40" w:type="dxa"/>
            </w:tcMar>
            <w:vAlign w:val="bottom"/>
          </w:tcPr>
          <w:p w14:paraId="0BC9AB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D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BD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B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BD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BD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BE2" w14:textId="77777777">
        <w:trPr>
          <w:jc w:val="center"/>
        </w:trPr>
        <w:tc>
          <w:tcPr>
            <w:tcW w:w="0" w:type="auto"/>
            <w:shd w:val="clear" w:color="auto" w:fill="auto"/>
            <w:tcMar>
              <w:top w:w="40" w:type="dxa"/>
              <w:left w:w="40" w:type="dxa"/>
              <w:bottom w:w="40" w:type="dxa"/>
              <w:right w:w="40" w:type="dxa"/>
            </w:tcMar>
          </w:tcPr>
          <w:p w14:paraId="0BC9ABD7" w14:textId="77777777" w:rsidR="009F0928" w:rsidRDefault="002112BD">
            <w:pPr>
              <w:textAlignment w:val="top"/>
              <w:rPr>
                <w:rFonts w:ascii="Times New Roman" w:hAnsi="Times New Roman"/>
                <w:sz w:val="18"/>
                <w:szCs w:val="18"/>
              </w:rPr>
            </w:pPr>
            <w:r>
              <w:rPr>
                <w:rFonts w:ascii="Arial" w:eastAsia="宋体" w:hAnsi="Arial" w:cs="Arial"/>
                <w:sz w:val="18"/>
                <w:szCs w:val="18"/>
              </w:rPr>
              <w:t>3.02</w:t>
            </w:r>
          </w:p>
        </w:tc>
        <w:tc>
          <w:tcPr>
            <w:tcW w:w="0" w:type="auto"/>
            <w:shd w:val="clear" w:color="auto" w:fill="auto"/>
            <w:tcMar>
              <w:top w:w="40" w:type="dxa"/>
              <w:left w:w="40" w:type="dxa"/>
              <w:bottom w:w="40" w:type="dxa"/>
              <w:right w:w="40" w:type="dxa"/>
            </w:tcMar>
          </w:tcPr>
          <w:p w14:paraId="0BC9ABD8"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BD9" w14:textId="77777777" w:rsidR="009F0928" w:rsidRDefault="002112BD">
            <w:pPr>
              <w:textAlignment w:val="top"/>
              <w:rPr>
                <w:rFonts w:ascii="Times New Roman" w:hAnsi="Times New Roman"/>
                <w:sz w:val="18"/>
                <w:szCs w:val="18"/>
              </w:rPr>
            </w:pPr>
            <w:hyperlink r:id="rId40" w:history="1">
              <w:r>
                <w:rPr>
                  <w:rStyle w:val="a5"/>
                  <w:rFonts w:ascii="Arial" w:eastAsia="宋体" w:hAnsi="Arial" w:cs="Arial"/>
                  <w:sz w:val="18"/>
                  <w:szCs w:val="18"/>
                </w:rPr>
                <w:t>Registrant’s Amended and Restated Bylaws.</w:t>
              </w:r>
            </w:hyperlink>
          </w:p>
        </w:tc>
        <w:tc>
          <w:tcPr>
            <w:tcW w:w="0" w:type="auto"/>
            <w:shd w:val="clear" w:color="auto" w:fill="auto"/>
            <w:tcMar>
              <w:top w:w="40" w:type="dxa"/>
              <w:left w:w="40" w:type="dxa"/>
              <w:bottom w:w="40" w:type="dxa"/>
              <w:right w:w="40" w:type="dxa"/>
            </w:tcMar>
            <w:vAlign w:val="bottom"/>
          </w:tcPr>
          <w:p w14:paraId="0BC9ABDA"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ABD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BDC"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BDD"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AB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BDF"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ABE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BE1"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7/18/2019</w:t>
            </w:r>
          </w:p>
        </w:tc>
      </w:tr>
      <w:tr w:rsidR="009F0928" w14:paraId="0BC9ABEE" w14:textId="77777777">
        <w:trPr>
          <w:jc w:val="center"/>
        </w:trPr>
        <w:tc>
          <w:tcPr>
            <w:tcW w:w="0" w:type="auto"/>
            <w:shd w:val="clear" w:color="auto" w:fill="auto"/>
            <w:tcMar>
              <w:top w:w="40" w:type="dxa"/>
              <w:left w:w="40" w:type="dxa"/>
              <w:bottom w:w="40" w:type="dxa"/>
              <w:right w:w="40" w:type="dxa"/>
            </w:tcMar>
            <w:vAlign w:val="bottom"/>
          </w:tcPr>
          <w:p w14:paraId="0BC9AB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E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E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E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E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E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E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E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E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E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BFA" w14:textId="77777777">
        <w:trPr>
          <w:jc w:val="center"/>
        </w:trPr>
        <w:tc>
          <w:tcPr>
            <w:tcW w:w="0" w:type="auto"/>
            <w:shd w:val="clear" w:color="auto" w:fill="auto"/>
            <w:tcMar>
              <w:top w:w="40" w:type="dxa"/>
              <w:left w:w="40" w:type="dxa"/>
              <w:bottom w:w="40" w:type="dxa"/>
              <w:right w:w="40" w:type="dxa"/>
            </w:tcMar>
          </w:tcPr>
          <w:p w14:paraId="0BC9ABEF" w14:textId="77777777" w:rsidR="009F0928" w:rsidRDefault="002112BD">
            <w:pPr>
              <w:textAlignment w:val="top"/>
              <w:rPr>
                <w:rFonts w:ascii="Times New Roman" w:hAnsi="Times New Roman"/>
                <w:sz w:val="18"/>
                <w:szCs w:val="18"/>
              </w:rPr>
            </w:pPr>
            <w:r>
              <w:rPr>
                <w:rFonts w:ascii="Arial" w:eastAsia="宋体" w:hAnsi="Arial" w:cs="Arial"/>
                <w:sz w:val="18"/>
                <w:szCs w:val="18"/>
              </w:rPr>
              <w:t>4.01</w:t>
            </w:r>
          </w:p>
        </w:tc>
        <w:tc>
          <w:tcPr>
            <w:tcW w:w="0" w:type="auto"/>
            <w:shd w:val="clear" w:color="auto" w:fill="auto"/>
            <w:tcMar>
              <w:top w:w="40" w:type="dxa"/>
              <w:left w:w="40" w:type="dxa"/>
              <w:bottom w:w="40" w:type="dxa"/>
              <w:right w:w="40" w:type="dxa"/>
            </w:tcMar>
          </w:tcPr>
          <w:p w14:paraId="0BC9ABF0"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BF1" w14:textId="77777777" w:rsidR="009F0928" w:rsidRDefault="002112BD">
            <w:pPr>
              <w:textAlignment w:val="top"/>
              <w:rPr>
                <w:rFonts w:ascii="Times New Roman" w:hAnsi="Times New Roman"/>
                <w:sz w:val="18"/>
                <w:szCs w:val="18"/>
              </w:rPr>
            </w:pPr>
            <w:hyperlink r:id="rId41" w:history="1">
              <w:r>
                <w:rPr>
                  <w:rStyle w:val="a5"/>
                  <w:rFonts w:ascii="Arial" w:eastAsia="宋体" w:hAnsi="Arial" w:cs="Arial"/>
                  <w:sz w:val="18"/>
                  <w:szCs w:val="18"/>
                </w:rPr>
                <w:t>Form of Specimen Certificate for Registrant’s Common Stock.</w:t>
              </w:r>
            </w:hyperlink>
          </w:p>
        </w:tc>
        <w:tc>
          <w:tcPr>
            <w:tcW w:w="0" w:type="auto"/>
            <w:shd w:val="clear" w:color="auto" w:fill="auto"/>
            <w:tcMar>
              <w:top w:w="40" w:type="dxa"/>
              <w:left w:w="40" w:type="dxa"/>
              <w:bottom w:w="40" w:type="dxa"/>
              <w:right w:w="40" w:type="dxa"/>
            </w:tcMar>
            <w:vAlign w:val="bottom"/>
          </w:tcPr>
          <w:p w14:paraId="0BC9ABF2"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ABF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BF4"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BF5"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S-1</w:t>
            </w:r>
          </w:p>
        </w:tc>
        <w:tc>
          <w:tcPr>
            <w:tcW w:w="0" w:type="auto"/>
            <w:shd w:val="clear" w:color="auto" w:fill="auto"/>
            <w:tcMar>
              <w:top w:w="40" w:type="dxa"/>
              <w:left w:w="40" w:type="dxa"/>
              <w:bottom w:w="40" w:type="dxa"/>
              <w:right w:w="40" w:type="dxa"/>
            </w:tcMar>
          </w:tcPr>
          <w:p w14:paraId="0BC9ABF6"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BF7"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333-59097</w:t>
            </w:r>
          </w:p>
        </w:tc>
        <w:tc>
          <w:tcPr>
            <w:tcW w:w="0" w:type="auto"/>
            <w:shd w:val="clear" w:color="auto" w:fill="auto"/>
            <w:tcMar>
              <w:top w:w="40" w:type="dxa"/>
              <w:left w:w="40" w:type="dxa"/>
              <w:bottom w:w="40" w:type="dxa"/>
              <w:right w:w="40" w:type="dxa"/>
            </w:tcMar>
          </w:tcPr>
          <w:p w14:paraId="0BC9ABF8"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BF9"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8/19/1998</w:t>
            </w:r>
          </w:p>
        </w:tc>
      </w:tr>
      <w:tr w:rsidR="009F0928" w14:paraId="0BC9AC06" w14:textId="77777777">
        <w:trPr>
          <w:jc w:val="center"/>
        </w:trPr>
        <w:tc>
          <w:tcPr>
            <w:tcW w:w="0" w:type="auto"/>
            <w:shd w:val="clear" w:color="auto" w:fill="auto"/>
            <w:tcMar>
              <w:top w:w="40" w:type="dxa"/>
              <w:left w:w="40" w:type="dxa"/>
              <w:bottom w:w="40" w:type="dxa"/>
              <w:right w:w="40" w:type="dxa"/>
            </w:tcMar>
            <w:vAlign w:val="bottom"/>
          </w:tcPr>
          <w:p w14:paraId="0BC9ABF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F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F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F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BF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0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0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0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0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C12" w14:textId="77777777">
        <w:trPr>
          <w:jc w:val="center"/>
        </w:trPr>
        <w:tc>
          <w:tcPr>
            <w:tcW w:w="0" w:type="auto"/>
            <w:shd w:val="clear" w:color="auto" w:fill="auto"/>
            <w:tcMar>
              <w:top w:w="40" w:type="dxa"/>
              <w:left w:w="40" w:type="dxa"/>
              <w:bottom w:w="40" w:type="dxa"/>
              <w:right w:w="40" w:type="dxa"/>
            </w:tcMar>
          </w:tcPr>
          <w:p w14:paraId="0BC9AC07" w14:textId="77777777" w:rsidR="009F0928" w:rsidRDefault="002112BD">
            <w:pPr>
              <w:textAlignment w:val="top"/>
              <w:rPr>
                <w:rFonts w:ascii="Times New Roman" w:hAnsi="Times New Roman"/>
                <w:sz w:val="18"/>
                <w:szCs w:val="18"/>
              </w:rPr>
            </w:pPr>
            <w:r>
              <w:rPr>
                <w:rFonts w:ascii="Arial" w:eastAsia="宋体" w:hAnsi="Arial" w:cs="Arial"/>
                <w:sz w:val="18"/>
                <w:szCs w:val="18"/>
              </w:rPr>
              <w:t>4.02</w:t>
            </w:r>
          </w:p>
        </w:tc>
        <w:tc>
          <w:tcPr>
            <w:tcW w:w="0" w:type="auto"/>
            <w:shd w:val="clear" w:color="auto" w:fill="auto"/>
            <w:tcMar>
              <w:top w:w="40" w:type="dxa"/>
              <w:left w:w="40" w:type="dxa"/>
              <w:bottom w:w="40" w:type="dxa"/>
              <w:right w:w="40" w:type="dxa"/>
            </w:tcMar>
            <w:vAlign w:val="bottom"/>
          </w:tcPr>
          <w:p w14:paraId="0BC9AC0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09" w14:textId="77777777" w:rsidR="009F0928" w:rsidRDefault="002112BD">
            <w:pPr>
              <w:textAlignment w:val="top"/>
              <w:rPr>
                <w:rFonts w:ascii="Times New Roman" w:hAnsi="Times New Roman"/>
                <w:sz w:val="18"/>
                <w:szCs w:val="18"/>
              </w:rPr>
            </w:pPr>
            <w:hyperlink r:id="rId42" w:history="1">
              <w:r>
                <w:rPr>
                  <w:rStyle w:val="a5"/>
                  <w:rFonts w:ascii="Arial" w:eastAsia="宋体" w:hAnsi="Arial" w:cs="Arial"/>
                  <w:sz w:val="18"/>
                  <w:szCs w:val="18"/>
                </w:rPr>
                <w:t>Indenture dated as of October 28, 2010 between Registrant and Wells Fargo Bank, National Association, as trustee.</w:t>
              </w:r>
            </w:hyperlink>
          </w:p>
        </w:tc>
        <w:tc>
          <w:tcPr>
            <w:tcW w:w="0" w:type="auto"/>
            <w:shd w:val="clear" w:color="auto" w:fill="auto"/>
            <w:tcMar>
              <w:top w:w="40" w:type="dxa"/>
              <w:left w:w="40" w:type="dxa"/>
              <w:bottom w:w="40" w:type="dxa"/>
              <w:right w:w="40" w:type="dxa"/>
            </w:tcMar>
            <w:vAlign w:val="bottom"/>
          </w:tcPr>
          <w:p w14:paraId="0BC9AC0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0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0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0D"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tcPr>
          <w:p w14:paraId="0BC9AC0E"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C0F"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tcPr>
          <w:p w14:paraId="0BC9AC10"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C11"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10/28/2010</w:t>
            </w:r>
          </w:p>
        </w:tc>
      </w:tr>
      <w:tr w:rsidR="009F0928" w14:paraId="0BC9AC1E" w14:textId="77777777">
        <w:trPr>
          <w:jc w:val="center"/>
        </w:trPr>
        <w:tc>
          <w:tcPr>
            <w:tcW w:w="0" w:type="auto"/>
            <w:shd w:val="clear" w:color="auto" w:fill="auto"/>
            <w:tcMar>
              <w:top w:w="40" w:type="dxa"/>
              <w:left w:w="40" w:type="dxa"/>
              <w:bottom w:w="40" w:type="dxa"/>
              <w:right w:w="40" w:type="dxa"/>
            </w:tcMar>
            <w:vAlign w:val="bottom"/>
          </w:tcPr>
          <w:p w14:paraId="0BC9AC1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1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1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1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1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1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1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1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1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C2A" w14:textId="77777777">
        <w:trPr>
          <w:jc w:val="center"/>
        </w:trPr>
        <w:tc>
          <w:tcPr>
            <w:tcW w:w="0" w:type="auto"/>
            <w:shd w:val="clear" w:color="auto" w:fill="auto"/>
            <w:tcMar>
              <w:top w:w="40" w:type="dxa"/>
              <w:left w:w="40" w:type="dxa"/>
              <w:bottom w:w="40" w:type="dxa"/>
              <w:right w:w="40" w:type="dxa"/>
            </w:tcMar>
          </w:tcPr>
          <w:p w14:paraId="0BC9AC1F" w14:textId="77777777" w:rsidR="009F0928" w:rsidRDefault="002112BD">
            <w:pPr>
              <w:textAlignment w:val="top"/>
              <w:rPr>
                <w:rFonts w:ascii="Times New Roman" w:hAnsi="Times New Roman"/>
                <w:sz w:val="18"/>
                <w:szCs w:val="18"/>
              </w:rPr>
            </w:pPr>
            <w:r>
              <w:rPr>
                <w:rFonts w:ascii="Arial" w:eastAsia="宋体" w:hAnsi="Arial" w:cs="Arial"/>
                <w:sz w:val="18"/>
                <w:szCs w:val="18"/>
              </w:rPr>
              <w:t>4.03</w:t>
            </w:r>
          </w:p>
        </w:tc>
        <w:tc>
          <w:tcPr>
            <w:tcW w:w="0" w:type="auto"/>
            <w:shd w:val="clear" w:color="auto" w:fill="auto"/>
            <w:tcMar>
              <w:top w:w="40" w:type="dxa"/>
              <w:left w:w="40" w:type="dxa"/>
              <w:bottom w:w="40" w:type="dxa"/>
              <w:right w:w="40" w:type="dxa"/>
            </w:tcMar>
            <w:vAlign w:val="bottom"/>
          </w:tcPr>
          <w:p w14:paraId="0BC9AC2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21" w14:textId="77777777" w:rsidR="009F0928" w:rsidRDefault="002112BD">
            <w:pPr>
              <w:textAlignment w:val="top"/>
              <w:rPr>
                <w:rFonts w:ascii="Times New Roman" w:hAnsi="Times New Roman"/>
                <w:sz w:val="18"/>
                <w:szCs w:val="18"/>
              </w:rPr>
            </w:pPr>
            <w:hyperlink r:id="rId43" w:history="1">
              <w:r>
                <w:rPr>
                  <w:rStyle w:val="a5"/>
                  <w:rFonts w:ascii="Arial" w:eastAsia="宋体" w:hAnsi="Arial" w:cs="Arial"/>
                  <w:sz w:val="18"/>
                  <w:szCs w:val="18"/>
                </w:rPr>
                <w:t>Supplemental Indenture dated as of October 28, 2010 between Registrant and Wells Fargo Bank, National Association, as trustee.</w:t>
              </w:r>
            </w:hyperlink>
          </w:p>
        </w:tc>
        <w:tc>
          <w:tcPr>
            <w:tcW w:w="0" w:type="auto"/>
            <w:shd w:val="clear" w:color="auto" w:fill="auto"/>
            <w:tcMar>
              <w:top w:w="40" w:type="dxa"/>
              <w:left w:w="40" w:type="dxa"/>
              <w:bottom w:w="40" w:type="dxa"/>
              <w:right w:w="40" w:type="dxa"/>
            </w:tcMar>
            <w:vAlign w:val="bottom"/>
          </w:tcPr>
          <w:p w14:paraId="0BC9AC2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2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2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25"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tcPr>
          <w:p w14:paraId="0BC9AC26"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C27"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tcPr>
          <w:p w14:paraId="0BC9AC28"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C29"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10/28/2010</w:t>
            </w:r>
          </w:p>
        </w:tc>
      </w:tr>
      <w:tr w:rsidR="009F0928" w14:paraId="0BC9AC36" w14:textId="77777777">
        <w:trPr>
          <w:jc w:val="center"/>
        </w:trPr>
        <w:tc>
          <w:tcPr>
            <w:tcW w:w="0" w:type="auto"/>
            <w:shd w:val="clear" w:color="auto" w:fill="auto"/>
            <w:tcMar>
              <w:top w:w="40" w:type="dxa"/>
              <w:left w:w="40" w:type="dxa"/>
              <w:bottom w:w="40" w:type="dxa"/>
              <w:right w:w="40" w:type="dxa"/>
            </w:tcMar>
            <w:vAlign w:val="bottom"/>
          </w:tcPr>
          <w:p w14:paraId="0BC9AC2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2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2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2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2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3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3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3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3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3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3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C42" w14:textId="77777777">
        <w:trPr>
          <w:jc w:val="center"/>
        </w:trPr>
        <w:tc>
          <w:tcPr>
            <w:tcW w:w="0" w:type="auto"/>
            <w:shd w:val="clear" w:color="auto" w:fill="auto"/>
            <w:tcMar>
              <w:top w:w="40" w:type="dxa"/>
              <w:left w:w="40" w:type="dxa"/>
              <w:bottom w:w="40" w:type="dxa"/>
              <w:right w:w="40" w:type="dxa"/>
            </w:tcMar>
          </w:tcPr>
          <w:p w14:paraId="0BC9AC37" w14:textId="77777777" w:rsidR="009F0928" w:rsidRDefault="002112BD">
            <w:pPr>
              <w:textAlignment w:val="top"/>
              <w:rPr>
                <w:rFonts w:ascii="Times New Roman" w:hAnsi="Times New Roman"/>
                <w:sz w:val="18"/>
                <w:szCs w:val="18"/>
              </w:rPr>
            </w:pPr>
            <w:r>
              <w:rPr>
                <w:rFonts w:ascii="Arial" w:eastAsia="宋体" w:hAnsi="Arial" w:cs="Arial"/>
                <w:sz w:val="18"/>
                <w:szCs w:val="18"/>
              </w:rPr>
              <w:t>4.04</w:t>
            </w:r>
          </w:p>
        </w:tc>
        <w:tc>
          <w:tcPr>
            <w:tcW w:w="0" w:type="auto"/>
            <w:shd w:val="clear" w:color="auto" w:fill="auto"/>
            <w:tcMar>
              <w:top w:w="40" w:type="dxa"/>
              <w:left w:w="40" w:type="dxa"/>
              <w:bottom w:w="40" w:type="dxa"/>
              <w:right w:w="40" w:type="dxa"/>
            </w:tcMar>
            <w:vAlign w:val="bottom"/>
          </w:tcPr>
          <w:p w14:paraId="0BC9AC3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39" w14:textId="77777777" w:rsidR="009F0928" w:rsidRDefault="002112BD">
            <w:pPr>
              <w:textAlignment w:val="top"/>
              <w:rPr>
                <w:rFonts w:ascii="Times New Roman" w:hAnsi="Times New Roman"/>
                <w:sz w:val="18"/>
                <w:szCs w:val="18"/>
              </w:rPr>
            </w:pPr>
            <w:hyperlink r:id="rId44" w:history="1">
              <w:r>
                <w:rPr>
                  <w:rStyle w:val="a5"/>
                  <w:rFonts w:ascii="Arial" w:eastAsia="宋体" w:hAnsi="Arial" w:cs="Arial"/>
                  <w:sz w:val="18"/>
                  <w:szCs w:val="18"/>
                </w:rPr>
                <w:t>Form of 3.250% Note due 2020 (included in Exhibit 4.03).</w:t>
              </w:r>
            </w:hyperlink>
          </w:p>
        </w:tc>
        <w:tc>
          <w:tcPr>
            <w:tcW w:w="0" w:type="auto"/>
            <w:shd w:val="clear" w:color="auto" w:fill="auto"/>
            <w:tcMar>
              <w:top w:w="40" w:type="dxa"/>
              <w:left w:w="40" w:type="dxa"/>
              <w:bottom w:w="40" w:type="dxa"/>
              <w:right w:w="40" w:type="dxa"/>
            </w:tcMar>
            <w:vAlign w:val="bottom"/>
          </w:tcPr>
          <w:p w14:paraId="0BC9AC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3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3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3D"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tcPr>
          <w:p w14:paraId="0BC9AC3E"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C3F"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tcPr>
          <w:p w14:paraId="0BC9AC40"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C41"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10/28/2010</w:t>
            </w:r>
          </w:p>
        </w:tc>
      </w:tr>
      <w:tr w:rsidR="009F0928" w14:paraId="0BC9AC4E" w14:textId="77777777">
        <w:trPr>
          <w:jc w:val="center"/>
        </w:trPr>
        <w:tc>
          <w:tcPr>
            <w:tcW w:w="0" w:type="auto"/>
            <w:shd w:val="clear" w:color="auto" w:fill="auto"/>
            <w:tcMar>
              <w:top w:w="40" w:type="dxa"/>
              <w:left w:w="40" w:type="dxa"/>
              <w:bottom w:w="40" w:type="dxa"/>
              <w:right w:w="40" w:type="dxa"/>
            </w:tcMar>
            <w:vAlign w:val="bottom"/>
          </w:tcPr>
          <w:p w14:paraId="0BC9AC4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4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4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4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4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4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4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4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4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4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4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C5A" w14:textId="77777777">
        <w:trPr>
          <w:jc w:val="center"/>
        </w:trPr>
        <w:tc>
          <w:tcPr>
            <w:tcW w:w="0" w:type="auto"/>
            <w:shd w:val="clear" w:color="auto" w:fill="auto"/>
            <w:tcMar>
              <w:top w:w="40" w:type="dxa"/>
              <w:left w:w="40" w:type="dxa"/>
              <w:bottom w:w="40" w:type="dxa"/>
              <w:right w:w="40" w:type="dxa"/>
            </w:tcMar>
          </w:tcPr>
          <w:p w14:paraId="0BC9AC4F" w14:textId="77777777" w:rsidR="009F0928" w:rsidRDefault="002112BD">
            <w:pPr>
              <w:textAlignment w:val="top"/>
              <w:rPr>
                <w:rFonts w:ascii="Times New Roman" w:hAnsi="Times New Roman"/>
                <w:sz w:val="18"/>
                <w:szCs w:val="18"/>
              </w:rPr>
            </w:pPr>
            <w:r>
              <w:rPr>
                <w:rFonts w:ascii="Arial" w:eastAsia="宋体" w:hAnsi="Arial" w:cs="Arial"/>
                <w:sz w:val="18"/>
                <w:szCs w:val="18"/>
              </w:rPr>
              <w:t>4.05</w:t>
            </w:r>
          </w:p>
        </w:tc>
        <w:tc>
          <w:tcPr>
            <w:tcW w:w="0" w:type="auto"/>
            <w:shd w:val="clear" w:color="auto" w:fill="auto"/>
            <w:tcMar>
              <w:top w:w="40" w:type="dxa"/>
              <w:left w:w="40" w:type="dxa"/>
              <w:bottom w:w="40" w:type="dxa"/>
              <w:right w:w="40" w:type="dxa"/>
            </w:tcMar>
            <w:vAlign w:val="bottom"/>
          </w:tcPr>
          <w:p w14:paraId="0BC9AC5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51" w14:textId="77777777" w:rsidR="009F0928" w:rsidRDefault="002112BD">
            <w:pPr>
              <w:textAlignment w:val="top"/>
              <w:rPr>
                <w:rFonts w:ascii="Times New Roman" w:hAnsi="Times New Roman"/>
                <w:sz w:val="18"/>
                <w:szCs w:val="18"/>
              </w:rPr>
            </w:pPr>
            <w:hyperlink r:id="rId45" w:history="1">
              <w:r>
                <w:rPr>
                  <w:rStyle w:val="a5"/>
                  <w:rFonts w:ascii="Arial" w:eastAsia="宋体" w:hAnsi="Arial" w:cs="Arial"/>
                  <w:sz w:val="18"/>
                  <w:szCs w:val="18"/>
                </w:rPr>
                <w:t>Officer’s Certificate dated July 24, 2012.</w:t>
              </w:r>
            </w:hyperlink>
          </w:p>
        </w:tc>
        <w:tc>
          <w:tcPr>
            <w:tcW w:w="0" w:type="auto"/>
            <w:shd w:val="clear" w:color="auto" w:fill="auto"/>
            <w:tcMar>
              <w:top w:w="40" w:type="dxa"/>
              <w:left w:w="40" w:type="dxa"/>
              <w:bottom w:w="40" w:type="dxa"/>
              <w:right w:w="40" w:type="dxa"/>
            </w:tcMar>
            <w:vAlign w:val="bottom"/>
          </w:tcPr>
          <w:p w14:paraId="0BC9AC5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5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5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55"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AC5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57"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C5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59"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7/24/2012</w:t>
            </w:r>
          </w:p>
        </w:tc>
      </w:tr>
      <w:tr w:rsidR="009F0928" w14:paraId="0BC9AC66" w14:textId="77777777">
        <w:trPr>
          <w:jc w:val="center"/>
        </w:trPr>
        <w:tc>
          <w:tcPr>
            <w:tcW w:w="0" w:type="auto"/>
            <w:shd w:val="clear" w:color="auto" w:fill="auto"/>
            <w:tcMar>
              <w:top w:w="40" w:type="dxa"/>
              <w:left w:w="40" w:type="dxa"/>
              <w:bottom w:w="40" w:type="dxa"/>
              <w:right w:w="40" w:type="dxa"/>
            </w:tcMar>
            <w:vAlign w:val="bottom"/>
          </w:tcPr>
          <w:p w14:paraId="0BC9AC5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5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5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5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5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6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6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6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6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6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C72" w14:textId="77777777">
        <w:trPr>
          <w:jc w:val="center"/>
        </w:trPr>
        <w:tc>
          <w:tcPr>
            <w:tcW w:w="0" w:type="auto"/>
            <w:shd w:val="clear" w:color="auto" w:fill="auto"/>
            <w:tcMar>
              <w:top w:w="40" w:type="dxa"/>
              <w:left w:w="40" w:type="dxa"/>
              <w:bottom w:w="40" w:type="dxa"/>
              <w:right w:w="40" w:type="dxa"/>
            </w:tcMar>
          </w:tcPr>
          <w:p w14:paraId="0BC9AC67" w14:textId="77777777" w:rsidR="009F0928" w:rsidRDefault="002112BD">
            <w:pPr>
              <w:textAlignment w:val="top"/>
              <w:rPr>
                <w:rFonts w:ascii="Times New Roman" w:hAnsi="Times New Roman"/>
                <w:sz w:val="18"/>
                <w:szCs w:val="18"/>
              </w:rPr>
            </w:pPr>
            <w:r>
              <w:rPr>
                <w:rFonts w:ascii="Arial" w:eastAsia="宋体" w:hAnsi="Arial" w:cs="Arial"/>
                <w:sz w:val="18"/>
                <w:szCs w:val="18"/>
              </w:rPr>
              <w:t>4.06</w:t>
            </w:r>
          </w:p>
        </w:tc>
        <w:tc>
          <w:tcPr>
            <w:tcW w:w="0" w:type="auto"/>
            <w:shd w:val="clear" w:color="auto" w:fill="auto"/>
            <w:tcMar>
              <w:top w:w="40" w:type="dxa"/>
              <w:left w:w="40" w:type="dxa"/>
              <w:bottom w:w="40" w:type="dxa"/>
              <w:right w:w="40" w:type="dxa"/>
            </w:tcMar>
            <w:vAlign w:val="bottom"/>
          </w:tcPr>
          <w:p w14:paraId="0BC9AC6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69" w14:textId="77777777" w:rsidR="009F0928" w:rsidRDefault="002112BD">
            <w:pPr>
              <w:textAlignment w:val="top"/>
              <w:rPr>
                <w:rFonts w:ascii="Times New Roman" w:hAnsi="Times New Roman"/>
                <w:sz w:val="18"/>
                <w:szCs w:val="18"/>
              </w:rPr>
            </w:pPr>
            <w:hyperlink r:id="rId46" w:history="1">
              <w:r>
                <w:rPr>
                  <w:rStyle w:val="a5"/>
                  <w:rFonts w:ascii="Arial" w:eastAsia="宋体" w:hAnsi="Arial" w:cs="Arial"/>
                  <w:sz w:val="18"/>
                  <w:szCs w:val="18"/>
                </w:rPr>
                <w:t>Forms of 2.600% Note due 2022 and 4.000% Note due 2042 (included in Exhibit 4.05).</w:t>
              </w:r>
            </w:hyperlink>
          </w:p>
        </w:tc>
        <w:tc>
          <w:tcPr>
            <w:tcW w:w="0" w:type="auto"/>
            <w:shd w:val="clear" w:color="auto" w:fill="auto"/>
            <w:tcMar>
              <w:top w:w="40" w:type="dxa"/>
              <w:left w:w="40" w:type="dxa"/>
              <w:bottom w:w="40" w:type="dxa"/>
              <w:right w:w="40" w:type="dxa"/>
            </w:tcMar>
            <w:vAlign w:val="bottom"/>
          </w:tcPr>
          <w:p w14:paraId="0BC9AC6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6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6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6D"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AC6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6F"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C7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71"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7/24/2012</w:t>
            </w:r>
          </w:p>
        </w:tc>
      </w:tr>
      <w:tr w:rsidR="009F0928" w14:paraId="0BC9AC7E" w14:textId="77777777">
        <w:trPr>
          <w:jc w:val="center"/>
        </w:trPr>
        <w:tc>
          <w:tcPr>
            <w:tcW w:w="0" w:type="auto"/>
            <w:shd w:val="clear" w:color="auto" w:fill="auto"/>
            <w:tcMar>
              <w:top w:w="40" w:type="dxa"/>
              <w:left w:w="40" w:type="dxa"/>
              <w:bottom w:w="40" w:type="dxa"/>
              <w:right w:w="40" w:type="dxa"/>
            </w:tcMar>
            <w:vAlign w:val="bottom"/>
          </w:tcPr>
          <w:p w14:paraId="0BC9AC7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7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7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7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7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7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7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7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7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7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C8A" w14:textId="77777777">
        <w:trPr>
          <w:jc w:val="center"/>
        </w:trPr>
        <w:tc>
          <w:tcPr>
            <w:tcW w:w="0" w:type="auto"/>
            <w:shd w:val="clear" w:color="auto" w:fill="auto"/>
            <w:tcMar>
              <w:top w:w="40" w:type="dxa"/>
              <w:left w:w="40" w:type="dxa"/>
              <w:bottom w:w="40" w:type="dxa"/>
              <w:right w:w="40" w:type="dxa"/>
            </w:tcMar>
          </w:tcPr>
          <w:p w14:paraId="0BC9AC7F" w14:textId="77777777" w:rsidR="009F0928" w:rsidRDefault="002112BD">
            <w:pPr>
              <w:textAlignment w:val="top"/>
              <w:rPr>
                <w:rFonts w:ascii="Times New Roman" w:hAnsi="Times New Roman"/>
                <w:sz w:val="18"/>
                <w:szCs w:val="18"/>
              </w:rPr>
            </w:pPr>
            <w:r>
              <w:rPr>
                <w:rFonts w:ascii="Arial" w:eastAsia="宋体" w:hAnsi="Arial" w:cs="Arial"/>
                <w:sz w:val="18"/>
                <w:szCs w:val="18"/>
              </w:rPr>
              <w:t>4.07</w:t>
            </w:r>
          </w:p>
        </w:tc>
        <w:tc>
          <w:tcPr>
            <w:tcW w:w="0" w:type="auto"/>
            <w:shd w:val="clear" w:color="auto" w:fill="auto"/>
            <w:tcMar>
              <w:top w:w="40" w:type="dxa"/>
              <w:left w:w="40" w:type="dxa"/>
              <w:bottom w:w="40" w:type="dxa"/>
              <w:right w:w="40" w:type="dxa"/>
            </w:tcMar>
            <w:vAlign w:val="bottom"/>
          </w:tcPr>
          <w:p w14:paraId="0BC9AC8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81" w14:textId="77777777" w:rsidR="009F0928" w:rsidRDefault="002112BD">
            <w:pPr>
              <w:textAlignment w:val="top"/>
              <w:rPr>
                <w:rFonts w:ascii="Times New Roman" w:hAnsi="Times New Roman"/>
                <w:sz w:val="18"/>
                <w:szCs w:val="18"/>
              </w:rPr>
            </w:pPr>
            <w:hyperlink r:id="rId47" w:history="1">
              <w:r>
                <w:rPr>
                  <w:rStyle w:val="a5"/>
                  <w:rFonts w:ascii="Arial" w:eastAsia="宋体" w:hAnsi="Arial" w:cs="Arial"/>
                  <w:sz w:val="18"/>
                  <w:szCs w:val="18"/>
                </w:rPr>
                <w:t>Officer’s Certificate dated July 28, 2014.</w:t>
              </w:r>
            </w:hyperlink>
          </w:p>
        </w:tc>
        <w:tc>
          <w:tcPr>
            <w:tcW w:w="0" w:type="auto"/>
            <w:shd w:val="clear" w:color="auto" w:fill="auto"/>
            <w:tcMar>
              <w:top w:w="40" w:type="dxa"/>
              <w:left w:w="40" w:type="dxa"/>
              <w:bottom w:w="40" w:type="dxa"/>
              <w:right w:w="40" w:type="dxa"/>
            </w:tcMar>
            <w:vAlign w:val="bottom"/>
          </w:tcPr>
          <w:p w14:paraId="0BC9AC8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8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8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85"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AC8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87"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C8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89"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7/28/2014</w:t>
            </w:r>
          </w:p>
        </w:tc>
      </w:tr>
      <w:tr w:rsidR="009F0928" w14:paraId="0BC9AC96" w14:textId="77777777">
        <w:trPr>
          <w:jc w:val="center"/>
        </w:trPr>
        <w:tc>
          <w:tcPr>
            <w:tcW w:w="0" w:type="auto"/>
            <w:shd w:val="clear" w:color="auto" w:fill="auto"/>
            <w:tcMar>
              <w:top w:w="40" w:type="dxa"/>
              <w:left w:w="40" w:type="dxa"/>
              <w:bottom w:w="40" w:type="dxa"/>
              <w:right w:w="40" w:type="dxa"/>
            </w:tcMar>
            <w:vAlign w:val="bottom"/>
          </w:tcPr>
          <w:p w14:paraId="0BC9AC8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8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8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8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9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9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9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9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CA2" w14:textId="77777777">
        <w:trPr>
          <w:jc w:val="center"/>
        </w:trPr>
        <w:tc>
          <w:tcPr>
            <w:tcW w:w="0" w:type="auto"/>
            <w:shd w:val="clear" w:color="auto" w:fill="auto"/>
            <w:tcMar>
              <w:top w:w="40" w:type="dxa"/>
              <w:left w:w="40" w:type="dxa"/>
              <w:bottom w:w="40" w:type="dxa"/>
              <w:right w:w="40" w:type="dxa"/>
            </w:tcMar>
          </w:tcPr>
          <w:p w14:paraId="0BC9AC97" w14:textId="77777777" w:rsidR="009F0928" w:rsidRDefault="002112BD">
            <w:pPr>
              <w:textAlignment w:val="top"/>
              <w:rPr>
                <w:rFonts w:ascii="Times New Roman" w:hAnsi="Times New Roman"/>
                <w:sz w:val="18"/>
                <w:szCs w:val="18"/>
              </w:rPr>
            </w:pPr>
            <w:r>
              <w:rPr>
                <w:rFonts w:ascii="Arial" w:eastAsia="宋体" w:hAnsi="Arial" w:cs="Arial"/>
                <w:sz w:val="18"/>
                <w:szCs w:val="18"/>
              </w:rPr>
              <w:t>4.08</w:t>
            </w:r>
          </w:p>
        </w:tc>
        <w:tc>
          <w:tcPr>
            <w:tcW w:w="0" w:type="auto"/>
            <w:shd w:val="clear" w:color="auto" w:fill="auto"/>
            <w:tcMar>
              <w:top w:w="40" w:type="dxa"/>
              <w:left w:w="40" w:type="dxa"/>
              <w:bottom w:w="40" w:type="dxa"/>
              <w:right w:w="40" w:type="dxa"/>
            </w:tcMar>
            <w:vAlign w:val="bottom"/>
          </w:tcPr>
          <w:p w14:paraId="0BC9AC9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99" w14:textId="77777777" w:rsidR="009F0928" w:rsidRDefault="002112BD">
            <w:pPr>
              <w:textAlignment w:val="top"/>
              <w:rPr>
                <w:rFonts w:ascii="Times New Roman" w:hAnsi="Times New Roman"/>
                <w:sz w:val="18"/>
                <w:szCs w:val="18"/>
              </w:rPr>
            </w:pPr>
            <w:hyperlink r:id="rId48" w:history="1">
              <w:r>
                <w:rPr>
                  <w:rStyle w:val="a5"/>
                  <w:rFonts w:ascii="Arial" w:eastAsia="宋体" w:hAnsi="Arial" w:cs="Arial"/>
                  <w:sz w:val="18"/>
                  <w:szCs w:val="18"/>
                </w:rPr>
                <w:t>Forms of 2.875% Note due 2021 and 3.450% Note due 2024 (included in Exhibit 4.07).</w:t>
              </w:r>
            </w:hyperlink>
          </w:p>
        </w:tc>
        <w:tc>
          <w:tcPr>
            <w:tcW w:w="0" w:type="auto"/>
            <w:shd w:val="clear" w:color="auto" w:fill="auto"/>
            <w:tcMar>
              <w:top w:w="40" w:type="dxa"/>
              <w:left w:w="40" w:type="dxa"/>
              <w:bottom w:w="40" w:type="dxa"/>
              <w:right w:w="40" w:type="dxa"/>
            </w:tcMar>
            <w:vAlign w:val="bottom"/>
          </w:tcPr>
          <w:p w14:paraId="0BC9AC9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9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9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9D"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AC9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9F"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C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A1"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7/28/2014</w:t>
            </w:r>
          </w:p>
        </w:tc>
      </w:tr>
      <w:tr w:rsidR="009F0928" w14:paraId="0BC9ACAE" w14:textId="77777777">
        <w:trPr>
          <w:jc w:val="center"/>
        </w:trPr>
        <w:tc>
          <w:tcPr>
            <w:tcW w:w="0" w:type="auto"/>
            <w:shd w:val="clear" w:color="auto" w:fill="auto"/>
            <w:tcMar>
              <w:top w:w="40" w:type="dxa"/>
              <w:left w:w="40" w:type="dxa"/>
              <w:bottom w:w="40" w:type="dxa"/>
              <w:right w:w="40" w:type="dxa"/>
            </w:tcMar>
            <w:vAlign w:val="bottom"/>
          </w:tcPr>
          <w:p w14:paraId="0BC9ACA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A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A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A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A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A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A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CBA" w14:textId="77777777">
        <w:trPr>
          <w:jc w:val="center"/>
        </w:trPr>
        <w:tc>
          <w:tcPr>
            <w:tcW w:w="0" w:type="auto"/>
            <w:shd w:val="clear" w:color="auto" w:fill="auto"/>
            <w:tcMar>
              <w:top w:w="40" w:type="dxa"/>
              <w:left w:w="40" w:type="dxa"/>
              <w:bottom w:w="40" w:type="dxa"/>
              <w:right w:w="40" w:type="dxa"/>
            </w:tcMar>
          </w:tcPr>
          <w:p w14:paraId="0BC9ACAF" w14:textId="77777777" w:rsidR="009F0928" w:rsidRDefault="002112BD">
            <w:pPr>
              <w:textAlignment w:val="top"/>
              <w:rPr>
                <w:rFonts w:ascii="Times New Roman" w:hAnsi="Times New Roman"/>
                <w:sz w:val="18"/>
                <w:szCs w:val="18"/>
              </w:rPr>
            </w:pPr>
            <w:r>
              <w:rPr>
                <w:rFonts w:ascii="Arial" w:eastAsia="宋体" w:hAnsi="Arial" w:cs="Arial"/>
                <w:sz w:val="18"/>
                <w:szCs w:val="18"/>
              </w:rPr>
              <w:t>4.09</w:t>
            </w:r>
          </w:p>
        </w:tc>
        <w:tc>
          <w:tcPr>
            <w:tcW w:w="0" w:type="auto"/>
            <w:shd w:val="clear" w:color="auto" w:fill="auto"/>
            <w:tcMar>
              <w:top w:w="40" w:type="dxa"/>
              <w:left w:w="40" w:type="dxa"/>
              <w:bottom w:w="40" w:type="dxa"/>
              <w:right w:w="40" w:type="dxa"/>
            </w:tcMar>
            <w:vAlign w:val="bottom"/>
          </w:tcPr>
          <w:p w14:paraId="0BC9AC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B1" w14:textId="77777777" w:rsidR="009F0928" w:rsidRDefault="002112BD">
            <w:pPr>
              <w:textAlignment w:val="top"/>
              <w:rPr>
                <w:rFonts w:ascii="Times New Roman" w:hAnsi="Times New Roman"/>
                <w:sz w:val="18"/>
                <w:szCs w:val="18"/>
              </w:rPr>
            </w:pPr>
            <w:hyperlink r:id="rId49" w:history="1">
              <w:r>
                <w:rPr>
                  <w:rStyle w:val="a5"/>
                  <w:rFonts w:ascii="Arial" w:eastAsia="宋体" w:hAnsi="Arial" w:cs="Arial"/>
                  <w:sz w:val="18"/>
                  <w:szCs w:val="18"/>
                </w:rPr>
                <w:t>Officer’s Certificate dated February 29, 2016.</w:t>
              </w:r>
            </w:hyperlink>
          </w:p>
        </w:tc>
        <w:tc>
          <w:tcPr>
            <w:tcW w:w="0" w:type="auto"/>
            <w:shd w:val="clear" w:color="auto" w:fill="auto"/>
            <w:tcMar>
              <w:top w:w="40" w:type="dxa"/>
              <w:left w:w="40" w:type="dxa"/>
              <w:bottom w:w="40" w:type="dxa"/>
              <w:right w:w="40" w:type="dxa"/>
            </w:tcMar>
            <w:vAlign w:val="bottom"/>
          </w:tcPr>
          <w:p w14:paraId="0BC9ACB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B5"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AC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B7"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CB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B9"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2/29/2016</w:t>
            </w:r>
          </w:p>
        </w:tc>
      </w:tr>
      <w:tr w:rsidR="009F0928" w14:paraId="0BC9ACC6" w14:textId="77777777">
        <w:trPr>
          <w:jc w:val="center"/>
        </w:trPr>
        <w:tc>
          <w:tcPr>
            <w:tcW w:w="0" w:type="auto"/>
            <w:shd w:val="clear" w:color="auto" w:fill="auto"/>
            <w:tcMar>
              <w:top w:w="40" w:type="dxa"/>
              <w:left w:w="40" w:type="dxa"/>
              <w:bottom w:w="40" w:type="dxa"/>
              <w:right w:w="40" w:type="dxa"/>
            </w:tcMar>
            <w:vAlign w:val="bottom"/>
          </w:tcPr>
          <w:p w14:paraId="0BC9ACB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B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B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B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B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C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C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C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C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C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CD2" w14:textId="77777777">
        <w:trPr>
          <w:jc w:val="center"/>
        </w:trPr>
        <w:tc>
          <w:tcPr>
            <w:tcW w:w="0" w:type="auto"/>
            <w:shd w:val="clear" w:color="auto" w:fill="auto"/>
            <w:tcMar>
              <w:top w:w="40" w:type="dxa"/>
              <w:left w:w="40" w:type="dxa"/>
              <w:bottom w:w="40" w:type="dxa"/>
              <w:right w:w="40" w:type="dxa"/>
            </w:tcMar>
          </w:tcPr>
          <w:p w14:paraId="0BC9ACC7" w14:textId="77777777" w:rsidR="009F0928" w:rsidRDefault="002112BD">
            <w:pPr>
              <w:textAlignment w:val="top"/>
              <w:rPr>
                <w:rFonts w:ascii="Times New Roman" w:hAnsi="Times New Roman"/>
                <w:sz w:val="18"/>
                <w:szCs w:val="18"/>
              </w:rPr>
            </w:pPr>
            <w:r>
              <w:rPr>
                <w:rFonts w:ascii="Arial" w:eastAsia="宋体" w:hAnsi="Arial" w:cs="Arial"/>
                <w:sz w:val="18"/>
                <w:szCs w:val="18"/>
              </w:rPr>
              <w:t>4.10</w:t>
            </w:r>
          </w:p>
        </w:tc>
        <w:tc>
          <w:tcPr>
            <w:tcW w:w="0" w:type="auto"/>
            <w:shd w:val="clear" w:color="auto" w:fill="auto"/>
            <w:tcMar>
              <w:top w:w="40" w:type="dxa"/>
              <w:left w:w="40" w:type="dxa"/>
              <w:bottom w:w="40" w:type="dxa"/>
              <w:right w:w="40" w:type="dxa"/>
            </w:tcMar>
            <w:vAlign w:val="bottom"/>
          </w:tcPr>
          <w:p w14:paraId="0BC9ACC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C9" w14:textId="77777777" w:rsidR="009F0928" w:rsidRDefault="002112BD">
            <w:pPr>
              <w:textAlignment w:val="top"/>
              <w:rPr>
                <w:rFonts w:ascii="Times New Roman" w:hAnsi="Times New Roman"/>
                <w:sz w:val="18"/>
                <w:szCs w:val="18"/>
              </w:rPr>
            </w:pPr>
            <w:hyperlink r:id="rId50" w:history="1">
              <w:r>
                <w:rPr>
                  <w:rStyle w:val="a5"/>
                  <w:rFonts w:ascii="Arial" w:eastAsia="宋体" w:hAnsi="Arial" w:cs="Arial"/>
                  <w:sz w:val="18"/>
                  <w:szCs w:val="18"/>
                </w:rPr>
                <w:t>Form of 6.00% Note due 2056 (included in Exhibit 4.09).</w:t>
              </w:r>
            </w:hyperlink>
          </w:p>
        </w:tc>
        <w:tc>
          <w:tcPr>
            <w:tcW w:w="0" w:type="auto"/>
            <w:shd w:val="clear" w:color="auto" w:fill="auto"/>
            <w:tcMar>
              <w:top w:w="40" w:type="dxa"/>
              <w:left w:w="40" w:type="dxa"/>
              <w:bottom w:w="40" w:type="dxa"/>
              <w:right w:w="40" w:type="dxa"/>
            </w:tcMar>
            <w:vAlign w:val="bottom"/>
          </w:tcPr>
          <w:p w14:paraId="0BC9ACC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C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C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CD"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ACC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CF"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C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D1"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2/29/2016</w:t>
            </w:r>
          </w:p>
        </w:tc>
      </w:tr>
      <w:tr w:rsidR="009F0928" w14:paraId="0BC9ACDE" w14:textId="77777777">
        <w:trPr>
          <w:jc w:val="center"/>
        </w:trPr>
        <w:tc>
          <w:tcPr>
            <w:tcW w:w="0" w:type="auto"/>
            <w:shd w:val="clear" w:color="auto" w:fill="auto"/>
            <w:tcMar>
              <w:top w:w="40" w:type="dxa"/>
              <w:left w:w="40" w:type="dxa"/>
              <w:bottom w:w="40" w:type="dxa"/>
              <w:right w:w="40" w:type="dxa"/>
            </w:tcMar>
            <w:vAlign w:val="bottom"/>
          </w:tcPr>
          <w:p w14:paraId="0BC9AC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D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D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D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D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D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D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D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D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D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CEA" w14:textId="77777777">
        <w:trPr>
          <w:jc w:val="center"/>
        </w:trPr>
        <w:tc>
          <w:tcPr>
            <w:tcW w:w="0" w:type="auto"/>
            <w:shd w:val="clear" w:color="auto" w:fill="auto"/>
            <w:tcMar>
              <w:top w:w="40" w:type="dxa"/>
              <w:left w:w="40" w:type="dxa"/>
              <w:bottom w:w="40" w:type="dxa"/>
              <w:right w:w="40" w:type="dxa"/>
            </w:tcMar>
          </w:tcPr>
          <w:p w14:paraId="0BC9ACDF" w14:textId="77777777" w:rsidR="009F0928" w:rsidRDefault="002112BD">
            <w:pPr>
              <w:textAlignment w:val="top"/>
              <w:rPr>
                <w:rFonts w:ascii="Times New Roman" w:hAnsi="Times New Roman"/>
                <w:sz w:val="18"/>
                <w:szCs w:val="18"/>
              </w:rPr>
            </w:pPr>
            <w:r>
              <w:rPr>
                <w:rFonts w:ascii="Arial" w:eastAsia="宋体" w:hAnsi="Arial" w:cs="Arial"/>
                <w:sz w:val="18"/>
                <w:szCs w:val="18"/>
              </w:rPr>
              <w:t>4.11</w:t>
            </w:r>
          </w:p>
        </w:tc>
        <w:tc>
          <w:tcPr>
            <w:tcW w:w="0" w:type="auto"/>
            <w:shd w:val="clear" w:color="auto" w:fill="auto"/>
            <w:tcMar>
              <w:top w:w="40" w:type="dxa"/>
              <w:left w:w="40" w:type="dxa"/>
              <w:bottom w:w="40" w:type="dxa"/>
              <w:right w:w="40" w:type="dxa"/>
            </w:tcMar>
            <w:vAlign w:val="bottom"/>
          </w:tcPr>
          <w:p w14:paraId="0BC9ACE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E1" w14:textId="77777777" w:rsidR="009F0928" w:rsidRDefault="002112BD">
            <w:pPr>
              <w:textAlignment w:val="top"/>
              <w:rPr>
                <w:rFonts w:ascii="Times New Roman" w:hAnsi="Times New Roman"/>
                <w:sz w:val="18"/>
                <w:szCs w:val="18"/>
              </w:rPr>
            </w:pPr>
            <w:hyperlink r:id="rId51" w:history="1">
              <w:r>
                <w:rPr>
                  <w:rStyle w:val="a5"/>
                  <w:rFonts w:ascii="Arial" w:eastAsia="宋体" w:hAnsi="Arial" w:cs="Arial"/>
                  <w:sz w:val="18"/>
                  <w:szCs w:val="18"/>
                </w:rPr>
                <w:t>Officer’s Certificate dated March 9, 2016.</w:t>
              </w:r>
            </w:hyperlink>
          </w:p>
        </w:tc>
        <w:tc>
          <w:tcPr>
            <w:tcW w:w="0" w:type="auto"/>
            <w:shd w:val="clear" w:color="auto" w:fill="auto"/>
            <w:tcMar>
              <w:top w:w="40" w:type="dxa"/>
              <w:left w:w="40" w:type="dxa"/>
              <w:bottom w:w="40" w:type="dxa"/>
              <w:right w:w="40" w:type="dxa"/>
            </w:tcMar>
            <w:vAlign w:val="bottom"/>
          </w:tcPr>
          <w:p w14:paraId="0BC9ACE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E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E5"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AC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E7"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ACE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E9"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3/9/2016</w:t>
            </w:r>
          </w:p>
        </w:tc>
      </w:tr>
      <w:tr w:rsidR="009F0928" w14:paraId="0BC9ACF6" w14:textId="77777777">
        <w:trPr>
          <w:jc w:val="center"/>
        </w:trPr>
        <w:tc>
          <w:tcPr>
            <w:tcW w:w="0" w:type="auto"/>
            <w:shd w:val="clear" w:color="auto" w:fill="auto"/>
            <w:tcMar>
              <w:top w:w="40" w:type="dxa"/>
              <w:left w:w="40" w:type="dxa"/>
              <w:bottom w:w="40" w:type="dxa"/>
              <w:right w:w="40" w:type="dxa"/>
            </w:tcMar>
            <w:vAlign w:val="bottom"/>
          </w:tcPr>
          <w:p w14:paraId="0BC9ACE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E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E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E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E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F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F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F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F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F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F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D02" w14:textId="77777777">
        <w:trPr>
          <w:jc w:val="center"/>
        </w:trPr>
        <w:tc>
          <w:tcPr>
            <w:tcW w:w="0" w:type="auto"/>
            <w:shd w:val="clear" w:color="auto" w:fill="auto"/>
            <w:tcMar>
              <w:top w:w="40" w:type="dxa"/>
              <w:left w:w="40" w:type="dxa"/>
              <w:bottom w:w="40" w:type="dxa"/>
              <w:right w:w="40" w:type="dxa"/>
            </w:tcMar>
          </w:tcPr>
          <w:p w14:paraId="0BC9ACF7" w14:textId="77777777" w:rsidR="009F0928" w:rsidRDefault="002112BD">
            <w:pPr>
              <w:textAlignment w:val="top"/>
              <w:rPr>
                <w:rFonts w:ascii="Times New Roman" w:hAnsi="Times New Roman"/>
                <w:sz w:val="18"/>
                <w:szCs w:val="18"/>
              </w:rPr>
            </w:pPr>
            <w:r>
              <w:rPr>
                <w:rFonts w:ascii="Arial" w:eastAsia="宋体" w:hAnsi="Arial" w:cs="Arial"/>
                <w:sz w:val="18"/>
                <w:szCs w:val="18"/>
              </w:rPr>
              <w:t>4.12</w:t>
            </w:r>
          </w:p>
        </w:tc>
        <w:tc>
          <w:tcPr>
            <w:tcW w:w="0" w:type="auto"/>
            <w:shd w:val="clear" w:color="auto" w:fill="auto"/>
            <w:tcMar>
              <w:top w:w="40" w:type="dxa"/>
              <w:left w:w="40" w:type="dxa"/>
              <w:bottom w:w="40" w:type="dxa"/>
              <w:right w:w="40" w:type="dxa"/>
            </w:tcMar>
            <w:vAlign w:val="bottom"/>
          </w:tcPr>
          <w:p w14:paraId="0BC9ACF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F9" w14:textId="77777777" w:rsidR="009F0928" w:rsidRDefault="002112BD">
            <w:pPr>
              <w:textAlignment w:val="top"/>
              <w:rPr>
                <w:rFonts w:ascii="Times New Roman" w:hAnsi="Times New Roman"/>
                <w:sz w:val="18"/>
                <w:szCs w:val="18"/>
              </w:rPr>
            </w:pPr>
            <w:hyperlink r:id="rId52" w:history="1">
              <w:r>
                <w:rPr>
                  <w:rStyle w:val="a5"/>
                  <w:rFonts w:ascii="Arial" w:eastAsia="宋体" w:hAnsi="Arial" w:cs="Arial"/>
                  <w:sz w:val="18"/>
                  <w:szCs w:val="18"/>
                </w:rPr>
                <w:t>Form of 3.800% Note due 2022 (included in Exhibit 4.11).</w:t>
              </w:r>
            </w:hyperlink>
          </w:p>
        </w:tc>
        <w:tc>
          <w:tcPr>
            <w:tcW w:w="0" w:type="auto"/>
            <w:shd w:val="clear" w:color="auto" w:fill="auto"/>
            <w:tcMar>
              <w:top w:w="40" w:type="dxa"/>
              <w:left w:w="40" w:type="dxa"/>
              <w:bottom w:w="40" w:type="dxa"/>
              <w:right w:w="40" w:type="dxa"/>
            </w:tcMar>
            <w:vAlign w:val="bottom"/>
          </w:tcPr>
          <w:p w14:paraId="0BC9ACF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F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CF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FD"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ACF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CFF"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AD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01"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3/9/2016</w:t>
            </w:r>
          </w:p>
        </w:tc>
      </w:tr>
      <w:tr w:rsidR="009F0928" w14:paraId="0BC9AD0E" w14:textId="77777777">
        <w:trPr>
          <w:jc w:val="center"/>
        </w:trPr>
        <w:tc>
          <w:tcPr>
            <w:tcW w:w="0" w:type="auto"/>
            <w:shd w:val="clear" w:color="auto" w:fill="auto"/>
            <w:tcMar>
              <w:top w:w="40" w:type="dxa"/>
              <w:left w:w="40" w:type="dxa"/>
              <w:bottom w:w="40" w:type="dxa"/>
              <w:right w:w="40" w:type="dxa"/>
            </w:tcMar>
            <w:vAlign w:val="bottom"/>
          </w:tcPr>
          <w:p w14:paraId="0BC9AD0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0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0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0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0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0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0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0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0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0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D1A" w14:textId="77777777">
        <w:trPr>
          <w:jc w:val="center"/>
        </w:trPr>
        <w:tc>
          <w:tcPr>
            <w:tcW w:w="0" w:type="auto"/>
            <w:shd w:val="clear" w:color="auto" w:fill="auto"/>
            <w:tcMar>
              <w:top w:w="40" w:type="dxa"/>
              <w:left w:w="40" w:type="dxa"/>
              <w:bottom w:w="40" w:type="dxa"/>
              <w:right w:w="40" w:type="dxa"/>
            </w:tcMar>
          </w:tcPr>
          <w:p w14:paraId="0BC9AD0F" w14:textId="77777777" w:rsidR="009F0928" w:rsidRDefault="002112BD">
            <w:pPr>
              <w:textAlignment w:val="top"/>
              <w:rPr>
                <w:rFonts w:ascii="Times New Roman" w:hAnsi="Times New Roman"/>
                <w:sz w:val="18"/>
                <w:szCs w:val="18"/>
              </w:rPr>
            </w:pPr>
            <w:r>
              <w:rPr>
                <w:rFonts w:ascii="Arial" w:eastAsia="宋体" w:hAnsi="Arial" w:cs="Arial"/>
                <w:sz w:val="18"/>
                <w:szCs w:val="18"/>
              </w:rPr>
              <w:t>4.13</w:t>
            </w:r>
          </w:p>
        </w:tc>
        <w:tc>
          <w:tcPr>
            <w:tcW w:w="0" w:type="auto"/>
            <w:shd w:val="clear" w:color="auto" w:fill="auto"/>
            <w:tcMar>
              <w:top w:w="40" w:type="dxa"/>
              <w:left w:w="40" w:type="dxa"/>
              <w:bottom w:w="40" w:type="dxa"/>
              <w:right w:w="40" w:type="dxa"/>
            </w:tcMar>
            <w:vAlign w:val="bottom"/>
          </w:tcPr>
          <w:p w14:paraId="0BC9AD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11" w14:textId="77777777" w:rsidR="009F0928" w:rsidRDefault="002112BD">
            <w:pPr>
              <w:textAlignment w:val="top"/>
              <w:rPr>
                <w:rFonts w:ascii="Times New Roman" w:hAnsi="Times New Roman"/>
                <w:sz w:val="18"/>
                <w:szCs w:val="18"/>
              </w:rPr>
            </w:pPr>
            <w:hyperlink r:id="rId53" w:history="1">
              <w:r>
                <w:rPr>
                  <w:rStyle w:val="a5"/>
                  <w:rFonts w:ascii="Arial" w:eastAsia="宋体" w:hAnsi="Arial" w:cs="Arial"/>
                  <w:sz w:val="18"/>
                  <w:szCs w:val="18"/>
                </w:rPr>
                <w:t>Officer’s Certificate dated June 6, 2017.</w:t>
              </w:r>
            </w:hyperlink>
          </w:p>
        </w:tc>
        <w:tc>
          <w:tcPr>
            <w:tcW w:w="0" w:type="auto"/>
            <w:shd w:val="clear" w:color="auto" w:fill="auto"/>
            <w:tcMar>
              <w:top w:w="40" w:type="dxa"/>
              <w:left w:w="40" w:type="dxa"/>
              <w:bottom w:w="40" w:type="dxa"/>
              <w:right w:w="40" w:type="dxa"/>
            </w:tcMar>
            <w:vAlign w:val="bottom"/>
          </w:tcPr>
          <w:p w14:paraId="0BC9AD1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1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1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15"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AD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17"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AD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19"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6/6/2017</w:t>
            </w:r>
          </w:p>
        </w:tc>
      </w:tr>
      <w:tr w:rsidR="009F0928" w14:paraId="0BC9AD26" w14:textId="77777777">
        <w:trPr>
          <w:jc w:val="center"/>
        </w:trPr>
        <w:tc>
          <w:tcPr>
            <w:tcW w:w="0" w:type="auto"/>
            <w:shd w:val="clear" w:color="auto" w:fill="auto"/>
            <w:tcMar>
              <w:top w:w="40" w:type="dxa"/>
              <w:left w:w="40" w:type="dxa"/>
              <w:bottom w:w="40" w:type="dxa"/>
              <w:right w:w="40" w:type="dxa"/>
            </w:tcMar>
            <w:vAlign w:val="bottom"/>
          </w:tcPr>
          <w:p w14:paraId="0BC9AD1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1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1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1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2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2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2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2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2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2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D32" w14:textId="77777777">
        <w:trPr>
          <w:jc w:val="center"/>
        </w:trPr>
        <w:tc>
          <w:tcPr>
            <w:tcW w:w="0" w:type="auto"/>
            <w:shd w:val="clear" w:color="auto" w:fill="auto"/>
            <w:tcMar>
              <w:top w:w="40" w:type="dxa"/>
              <w:left w:w="40" w:type="dxa"/>
              <w:bottom w:w="40" w:type="dxa"/>
              <w:right w:w="40" w:type="dxa"/>
            </w:tcMar>
          </w:tcPr>
          <w:p w14:paraId="0BC9AD27" w14:textId="77777777" w:rsidR="009F0928" w:rsidRDefault="002112BD">
            <w:pPr>
              <w:textAlignment w:val="top"/>
              <w:rPr>
                <w:rFonts w:ascii="Times New Roman" w:hAnsi="Times New Roman"/>
                <w:sz w:val="18"/>
                <w:szCs w:val="18"/>
              </w:rPr>
            </w:pPr>
            <w:r>
              <w:rPr>
                <w:rFonts w:ascii="Arial" w:eastAsia="宋体" w:hAnsi="Arial" w:cs="Arial"/>
                <w:sz w:val="18"/>
                <w:szCs w:val="18"/>
              </w:rPr>
              <w:t>4.14</w:t>
            </w:r>
          </w:p>
        </w:tc>
        <w:tc>
          <w:tcPr>
            <w:tcW w:w="0" w:type="auto"/>
            <w:shd w:val="clear" w:color="auto" w:fill="auto"/>
            <w:tcMar>
              <w:top w:w="40" w:type="dxa"/>
              <w:left w:w="40" w:type="dxa"/>
              <w:bottom w:w="40" w:type="dxa"/>
              <w:right w:w="40" w:type="dxa"/>
            </w:tcMar>
            <w:vAlign w:val="bottom"/>
          </w:tcPr>
          <w:p w14:paraId="0BC9AD2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29" w14:textId="77777777" w:rsidR="009F0928" w:rsidRDefault="002112BD">
            <w:pPr>
              <w:textAlignment w:val="top"/>
              <w:rPr>
                <w:rFonts w:ascii="Times New Roman" w:hAnsi="Times New Roman"/>
                <w:sz w:val="18"/>
                <w:szCs w:val="18"/>
              </w:rPr>
            </w:pPr>
            <w:hyperlink r:id="rId54" w:history="1">
              <w:r>
                <w:rPr>
                  <w:rStyle w:val="a5"/>
                  <w:rFonts w:ascii="Arial" w:eastAsia="宋体" w:hAnsi="Arial" w:cs="Arial"/>
                  <w:sz w:val="18"/>
                  <w:szCs w:val="18"/>
                </w:rPr>
                <w:t>Form of Floating Rate Note due 2023, 2.150% Note due 2020, 2.750% Note due 2023 and 3.600% Note due 2027 (included in Exhibit 4.13).</w:t>
              </w:r>
            </w:hyperlink>
          </w:p>
        </w:tc>
        <w:tc>
          <w:tcPr>
            <w:tcW w:w="0" w:type="auto"/>
            <w:shd w:val="clear" w:color="auto" w:fill="auto"/>
            <w:tcMar>
              <w:top w:w="40" w:type="dxa"/>
              <w:left w:w="40" w:type="dxa"/>
              <w:bottom w:w="40" w:type="dxa"/>
              <w:right w:w="40" w:type="dxa"/>
            </w:tcMar>
            <w:vAlign w:val="bottom"/>
          </w:tcPr>
          <w:p w14:paraId="0BC9AD2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2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2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2D"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AD2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2F"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AD3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31"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6/6/2017</w:t>
            </w:r>
          </w:p>
        </w:tc>
      </w:tr>
      <w:tr w:rsidR="009F0928" w14:paraId="0BC9AD3E" w14:textId="77777777">
        <w:trPr>
          <w:jc w:val="center"/>
        </w:trPr>
        <w:tc>
          <w:tcPr>
            <w:tcW w:w="0" w:type="auto"/>
            <w:shd w:val="clear" w:color="auto" w:fill="auto"/>
            <w:tcMar>
              <w:top w:w="40" w:type="dxa"/>
              <w:left w:w="40" w:type="dxa"/>
              <w:bottom w:w="40" w:type="dxa"/>
              <w:right w:w="40" w:type="dxa"/>
            </w:tcMar>
            <w:vAlign w:val="bottom"/>
          </w:tcPr>
          <w:p w14:paraId="0BC9AD3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3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3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3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3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3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3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D4A" w14:textId="77777777">
        <w:trPr>
          <w:jc w:val="center"/>
        </w:trPr>
        <w:tc>
          <w:tcPr>
            <w:tcW w:w="0" w:type="auto"/>
            <w:shd w:val="clear" w:color="auto" w:fill="auto"/>
            <w:tcMar>
              <w:top w:w="40" w:type="dxa"/>
              <w:left w:w="40" w:type="dxa"/>
              <w:bottom w:w="40" w:type="dxa"/>
              <w:right w:w="40" w:type="dxa"/>
            </w:tcMar>
          </w:tcPr>
          <w:p w14:paraId="0BC9AD3F" w14:textId="77777777" w:rsidR="009F0928" w:rsidRDefault="002112BD">
            <w:pPr>
              <w:textAlignment w:val="top"/>
              <w:rPr>
                <w:rFonts w:ascii="Times New Roman" w:hAnsi="Times New Roman"/>
                <w:sz w:val="18"/>
                <w:szCs w:val="18"/>
              </w:rPr>
            </w:pPr>
            <w:r>
              <w:rPr>
                <w:rFonts w:ascii="Arial" w:eastAsia="宋体" w:hAnsi="Arial" w:cs="Arial"/>
                <w:sz w:val="18"/>
                <w:szCs w:val="18"/>
              </w:rPr>
              <w:t>4.15</w:t>
            </w:r>
          </w:p>
        </w:tc>
        <w:tc>
          <w:tcPr>
            <w:tcW w:w="0" w:type="auto"/>
            <w:shd w:val="clear" w:color="auto" w:fill="auto"/>
            <w:tcMar>
              <w:top w:w="40" w:type="dxa"/>
              <w:left w:w="40" w:type="dxa"/>
              <w:bottom w:w="40" w:type="dxa"/>
              <w:right w:w="40" w:type="dxa"/>
            </w:tcMar>
            <w:vAlign w:val="bottom"/>
          </w:tcPr>
          <w:p w14:paraId="0BC9AD4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41" w14:textId="77777777" w:rsidR="009F0928" w:rsidRDefault="002112BD">
            <w:pPr>
              <w:textAlignment w:val="top"/>
              <w:rPr>
                <w:rFonts w:ascii="Times New Roman" w:hAnsi="Times New Roman"/>
                <w:sz w:val="18"/>
                <w:szCs w:val="18"/>
              </w:rPr>
            </w:pPr>
            <w:hyperlink r:id="rId55" w:history="1">
              <w:r>
                <w:rPr>
                  <w:rStyle w:val="a5"/>
                  <w:rFonts w:ascii="Arial" w:eastAsia="宋体" w:hAnsi="Arial" w:cs="Arial"/>
                  <w:sz w:val="18"/>
                  <w:szCs w:val="18"/>
                </w:rPr>
                <w:t>Description of Securities.</w:t>
              </w:r>
            </w:hyperlink>
          </w:p>
        </w:tc>
        <w:tc>
          <w:tcPr>
            <w:tcW w:w="0" w:type="auto"/>
            <w:shd w:val="clear" w:color="auto" w:fill="auto"/>
            <w:tcMar>
              <w:top w:w="40" w:type="dxa"/>
              <w:left w:w="40" w:type="dxa"/>
              <w:bottom w:w="40" w:type="dxa"/>
              <w:right w:w="40" w:type="dxa"/>
            </w:tcMar>
            <w:vAlign w:val="bottom"/>
          </w:tcPr>
          <w:p w14:paraId="0BC9AD4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43" w14:textId="77777777" w:rsidR="009F0928" w:rsidRDefault="002112BD">
            <w:pPr>
              <w:jc w:val="center"/>
              <w:textAlignment w:val="bottom"/>
              <w:rPr>
                <w:rFonts w:ascii="Times New Roman" w:hAnsi="Times New Roman"/>
                <w:sz w:val="18"/>
                <w:szCs w:val="18"/>
              </w:rPr>
            </w:pPr>
            <w:r>
              <w:rPr>
                <w:rFonts w:ascii="Arial" w:eastAsia="宋体" w:hAnsi="Arial" w:cs="Arial"/>
                <w:sz w:val="18"/>
                <w:szCs w:val="18"/>
              </w:rPr>
              <w:t>X</w:t>
            </w:r>
          </w:p>
        </w:tc>
        <w:tc>
          <w:tcPr>
            <w:tcW w:w="0" w:type="auto"/>
            <w:shd w:val="clear" w:color="auto" w:fill="auto"/>
            <w:tcMar>
              <w:top w:w="40" w:type="dxa"/>
              <w:left w:w="40" w:type="dxa"/>
              <w:bottom w:w="40" w:type="dxa"/>
              <w:right w:w="40" w:type="dxa"/>
            </w:tcMar>
            <w:vAlign w:val="bottom"/>
          </w:tcPr>
          <w:p w14:paraId="0BC9AD4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45"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10-K</w:t>
            </w:r>
          </w:p>
        </w:tc>
        <w:tc>
          <w:tcPr>
            <w:tcW w:w="0" w:type="auto"/>
            <w:shd w:val="clear" w:color="auto" w:fill="auto"/>
            <w:tcMar>
              <w:top w:w="40" w:type="dxa"/>
              <w:left w:w="40" w:type="dxa"/>
              <w:bottom w:w="40" w:type="dxa"/>
              <w:right w:w="40" w:type="dxa"/>
            </w:tcMar>
            <w:vAlign w:val="bottom"/>
          </w:tcPr>
          <w:p w14:paraId="0BC9AD4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47"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AD4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49"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1/31/2020</w:t>
            </w:r>
          </w:p>
        </w:tc>
      </w:tr>
      <w:tr w:rsidR="009F0928" w14:paraId="0BC9AD56" w14:textId="77777777">
        <w:trPr>
          <w:jc w:val="center"/>
        </w:trPr>
        <w:tc>
          <w:tcPr>
            <w:tcW w:w="0" w:type="auto"/>
            <w:shd w:val="clear" w:color="auto" w:fill="auto"/>
            <w:tcMar>
              <w:top w:w="40" w:type="dxa"/>
              <w:left w:w="40" w:type="dxa"/>
              <w:bottom w:w="40" w:type="dxa"/>
              <w:right w:w="40" w:type="dxa"/>
            </w:tcMar>
            <w:vAlign w:val="bottom"/>
          </w:tcPr>
          <w:p w14:paraId="0BC9AD4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4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4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4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4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5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5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5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5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5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5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D62" w14:textId="77777777">
        <w:trPr>
          <w:jc w:val="center"/>
        </w:trPr>
        <w:tc>
          <w:tcPr>
            <w:tcW w:w="0" w:type="auto"/>
            <w:shd w:val="clear" w:color="auto" w:fill="auto"/>
            <w:tcMar>
              <w:top w:w="40" w:type="dxa"/>
              <w:left w:w="40" w:type="dxa"/>
              <w:bottom w:w="40" w:type="dxa"/>
              <w:right w:w="40" w:type="dxa"/>
            </w:tcMar>
          </w:tcPr>
          <w:p w14:paraId="0BC9AD57" w14:textId="77777777" w:rsidR="009F0928" w:rsidRDefault="002112BD">
            <w:pPr>
              <w:textAlignment w:val="top"/>
              <w:rPr>
                <w:rFonts w:ascii="Times New Roman" w:hAnsi="Times New Roman"/>
                <w:sz w:val="18"/>
                <w:szCs w:val="18"/>
              </w:rPr>
            </w:pPr>
            <w:r>
              <w:rPr>
                <w:rFonts w:ascii="Arial" w:eastAsia="宋体" w:hAnsi="Arial" w:cs="Arial"/>
                <w:sz w:val="18"/>
                <w:szCs w:val="18"/>
              </w:rPr>
              <w:t>10.01+</w:t>
            </w:r>
          </w:p>
        </w:tc>
        <w:tc>
          <w:tcPr>
            <w:tcW w:w="0" w:type="auto"/>
            <w:shd w:val="clear" w:color="auto" w:fill="auto"/>
            <w:tcMar>
              <w:top w:w="40" w:type="dxa"/>
              <w:left w:w="40" w:type="dxa"/>
              <w:bottom w:w="40" w:type="dxa"/>
              <w:right w:w="40" w:type="dxa"/>
            </w:tcMar>
          </w:tcPr>
          <w:p w14:paraId="0BC9AD58"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D59" w14:textId="77777777" w:rsidR="009F0928" w:rsidRDefault="002112BD">
            <w:pPr>
              <w:textAlignment w:val="top"/>
              <w:rPr>
                <w:rFonts w:ascii="Times New Roman" w:hAnsi="Times New Roman"/>
                <w:sz w:val="18"/>
                <w:szCs w:val="18"/>
              </w:rPr>
            </w:pPr>
            <w:hyperlink r:id="rId56" w:history="1">
              <w:r>
                <w:rPr>
                  <w:rStyle w:val="a5"/>
                  <w:rFonts w:ascii="Arial" w:eastAsia="宋体" w:hAnsi="Arial" w:cs="Arial"/>
                  <w:sz w:val="18"/>
                  <w:szCs w:val="18"/>
                </w:rPr>
                <w:t>Form of Indemnity Agreement entered into by Registrant with each of its directors and executive officers.</w:t>
              </w:r>
            </w:hyperlink>
          </w:p>
        </w:tc>
        <w:tc>
          <w:tcPr>
            <w:tcW w:w="0" w:type="auto"/>
            <w:shd w:val="clear" w:color="auto" w:fill="auto"/>
            <w:tcMar>
              <w:top w:w="40" w:type="dxa"/>
              <w:left w:w="40" w:type="dxa"/>
              <w:bottom w:w="40" w:type="dxa"/>
              <w:right w:w="40" w:type="dxa"/>
            </w:tcMar>
            <w:vAlign w:val="bottom"/>
          </w:tcPr>
          <w:p w14:paraId="0BC9AD5A"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AD5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5C"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D5D"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S-1</w:t>
            </w:r>
          </w:p>
        </w:tc>
        <w:tc>
          <w:tcPr>
            <w:tcW w:w="0" w:type="auto"/>
            <w:shd w:val="clear" w:color="auto" w:fill="auto"/>
            <w:tcMar>
              <w:top w:w="40" w:type="dxa"/>
              <w:left w:w="40" w:type="dxa"/>
              <w:bottom w:w="40" w:type="dxa"/>
              <w:right w:w="40" w:type="dxa"/>
            </w:tcMar>
          </w:tcPr>
          <w:p w14:paraId="0BC9AD5E"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D5F"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333-59097</w:t>
            </w:r>
          </w:p>
        </w:tc>
        <w:tc>
          <w:tcPr>
            <w:tcW w:w="0" w:type="auto"/>
            <w:shd w:val="clear" w:color="auto" w:fill="auto"/>
            <w:tcMar>
              <w:top w:w="40" w:type="dxa"/>
              <w:left w:w="40" w:type="dxa"/>
              <w:bottom w:w="40" w:type="dxa"/>
              <w:right w:w="40" w:type="dxa"/>
            </w:tcMar>
          </w:tcPr>
          <w:p w14:paraId="0BC9AD60"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D61"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7/15/1998</w:t>
            </w:r>
          </w:p>
        </w:tc>
      </w:tr>
      <w:tr w:rsidR="009F0928" w14:paraId="0BC9AD6A" w14:textId="77777777">
        <w:trPr>
          <w:jc w:val="center"/>
        </w:trPr>
        <w:tc>
          <w:tcPr>
            <w:tcW w:w="0" w:type="auto"/>
            <w:shd w:val="clear" w:color="auto" w:fill="auto"/>
            <w:tcMar>
              <w:top w:w="40" w:type="dxa"/>
              <w:left w:w="40" w:type="dxa"/>
              <w:bottom w:w="40" w:type="dxa"/>
              <w:right w:w="40" w:type="dxa"/>
            </w:tcMar>
            <w:vAlign w:val="bottom"/>
          </w:tcPr>
          <w:p w14:paraId="0BC9AD6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6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D6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D6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D6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D6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D76" w14:textId="77777777">
        <w:trPr>
          <w:jc w:val="center"/>
        </w:trPr>
        <w:tc>
          <w:tcPr>
            <w:tcW w:w="0" w:type="auto"/>
            <w:shd w:val="clear" w:color="auto" w:fill="auto"/>
            <w:tcMar>
              <w:top w:w="40" w:type="dxa"/>
              <w:left w:w="40" w:type="dxa"/>
              <w:bottom w:w="40" w:type="dxa"/>
              <w:right w:w="40" w:type="dxa"/>
            </w:tcMar>
          </w:tcPr>
          <w:p w14:paraId="0BC9AD6B" w14:textId="77777777" w:rsidR="009F0928" w:rsidRDefault="002112BD">
            <w:pPr>
              <w:textAlignment w:val="top"/>
              <w:rPr>
                <w:rFonts w:ascii="Times New Roman" w:hAnsi="Times New Roman"/>
                <w:sz w:val="18"/>
                <w:szCs w:val="18"/>
              </w:rPr>
            </w:pPr>
            <w:r>
              <w:rPr>
                <w:rFonts w:ascii="Arial" w:eastAsia="宋体" w:hAnsi="Arial" w:cs="Arial"/>
                <w:sz w:val="18"/>
                <w:szCs w:val="18"/>
              </w:rPr>
              <w:t>10.02+</w:t>
            </w:r>
          </w:p>
        </w:tc>
        <w:tc>
          <w:tcPr>
            <w:tcW w:w="0" w:type="auto"/>
            <w:shd w:val="clear" w:color="auto" w:fill="auto"/>
            <w:tcMar>
              <w:top w:w="40" w:type="dxa"/>
              <w:left w:w="40" w:type="dxa"/>
              <w:bottom w:w="40" w:type="dxa"/>
              <w:right w:w="40" w:type="dxa"/>
            </w:tcMar>
            <w:vAlign w:val="bottom"/>
          </w:tcPr>
          <w:p w14:paraId="0BC9AD6C"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AD6D" w14:textId="77777777" w:rsidR="009F0928" w:rsidRDefault="002112BD">
            <w:pPr>
              <w:textAlignment w:val="bottom"/>
              <w:rPr>
                <w:rFonts w:ascii="Times New Roman" w:hAnsi="Times New Roman"/>
                <w:sz w:val="18"/>
                <w:szCs w:val="18"/>
              </w:rPr>
            </w:pPr>
            <w:hyperlink r:id="rId57" w:history="1">
              <w:r>
                <w:rPr>
                  <w:rStyle w:val="a5"/>
                  <w:rFonts w:ascii="Arial" w:eastAsia="宋体" w:hAnsi="Arial" w:cs="Arial"/>
                  <w:sz w:val="18"/>
                  <w:szCs w:val="18"/>
                </w:rPr>
                <w:t>Registrant’s 2003 Deferred Stock Unit Plan, as amended.</w:t>
              </w:r>
            </w:hyperlink>
          </w:p>
        </w:tc>
        <w:tc>
          <w:tcPr>
            <w:tcW w:w="0" w:type="auto"/>
            <w:shd w:val="clear" w:color="auto" w:fill="auto"/>
            <w:tcMar>
              <w:top w:w="40" w:type="dxa"/>
              <w:left w:w="40" w:type="dxa"/>
              <w:bottom w:w="40" w:type="dxa"/>
              <w:right w:w="40" w:type="dxa"/>
            </w:tcMar>
            <w:vAlign w:val="bottom"/>
          </w:tcPr>
          <w:p w14:paraId="0BC9AD6E"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AD6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70"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D71"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10-K</w:t>
            </w:r>
          </w:p>
        </w:tc>
        <w:tc>
          <w:tcPr>
            <w:tcW w:w="0" w:type="auto"/>
            <w:shd w:val="clear" w:color="auto" w:fill="auto"/>
            <w:tcMar>
              <w:top w:w="40" w:type="dxa"/>
              <w:left w:w="40" w:type="dxa"/>
              <w:bottom w:w="40" w:type="dxa"/>
              <w:right w:w="40" w:type="dxa"/>
            </w:tcMar>
          </w:tcPr>
          <w:p w14:paraId="0BC9AD72"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D73"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tcPr>
          <w:p w14:paraId="0BC9AD74"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D75"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2/28/2007</w:t>
            </w:r>
          </w:p>
        </w:tc>
      </w:tr>
      <w:tr w:rsidR="009F0928" w14:paraId="0BC9AD82" w14:textId="77777777">
        <w:trPr>
          <w:jc w:val="center"/>
        </w:trPr>
        <w:tc>
          <w:tcPr>
            <w:tcW w:w="0" w:type="auto"/>
            <w:shd w:val="clear" w:color="auto" w:fill="auto"/>
            <w:tcMar>
              <w:top w:w="40" w:type="dxa"/>
              <w:left w:w="40" w:type="dxa"/>
              <w:bottom w:w="40" w:type="dxa"/>
              <w:right w:w="40" w:type="dxa"/>
            </w:tcMar>
            <w:vAlign w:val="bottom"/>
          </w:tcPr>
          <w:p w14:paraId="0BC9AD7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7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7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7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7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7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7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7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8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8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D8E" w14:textId="77777777">
        <w:trPr>
          <w:jc w:val="center"/>
        </w:trPr>
        <w:tc>
          <w:tcPr>
            <w:tcW w:w="0" w:type="auto"/>
            <w:shd w:val="clear" w:color="auto" w:fill="auto"/>
            <w:tcMar>
              <w:top w:w="40" w:type="dxa"/>
              <w:left w:w="40" w:type="dxa"/>
              <w:bottom w:w="40" w:type="dxa"/>
              <w:right w:w="40" w:type="dxa"/>
            </w:tcMar>
          </w:tcPr>
          <w:p w14:paraId="0BC9AD83" w14:textId="77777777" w:rsidR="009F0928" w:rsidRDefault="002112BD">
            <w:pPr>
              <w:textAlignment w:val="top"/>
              <w:rPr>
                <w:rFonts w:ascii="Times New Roman" w:hAnsi="Times New Roman"/>
                <w:sz w:val="18"/>
                <w:szCs w:val="18"/>
              </w:rPr>
            </w:pPr>
            <w:r>
              <w:rPr>
                <w:rFonts w:ascii="Arial" w:eastAsia="宋体" w:hAnsi="Arial" w:cs="Arial"/>
                <w:sz w:val="18"/>
                <w:szCs w:val="18"/>
              </w:rPr>
              <w:t>10.03+</w:t>
            </w:r>
          </w:p>
        </w:tc>
        <w:tc>
          <w:tcPr>
            <w:tcW w:w="0" w:type="auto"/>
            <w:shd w:val="clear" w:color="auto" w:fill="auto"/>
            <w:tcMar>
              <w:top w:w="40" w:type="dxa"/>
              <w:left w:w="40" w:type="dxa"/>
              <w:bottom w:w="40" w:type="dxa"/>
              <w:right w:w="40" w:type="dxa"/>
            </w:tcMar>
            <w:vAlign w:val="bottom"/>
          </w:tcPr>
          <w:p w14:paraId="0BC9AD8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85" w14:textId="77777777" w:rsidR="009F0928" w:rsidRDefault="002112BD">
            <w:pPr>
              <w:textAlignment w:val="bottom"/>
              <w:rPr>
                <w:rFonts w:ascii="Times New Roman" w:hAnsi="Times New Roman"/>
                <w:sz w:val="18"/>
                <w:szCs w:val="18"/>
              </w:rPr>
            </w:pPr>
            <w:hyperlink r:id="rId58" w:history="1">
              <w:r>
                <w:rPr>
                  <w:rStyle w:val="a5"/>
                  <w:rFonts w:ascii="Arial" w:eastAsia="宋体" w:hAnsi="Arial" w:cs="Arial"/>
                  <w:sz w:val="18"/>
                  <w:szCs w:val="18"/>
                </w:rPr>
                <w:t>Amendment to Registrant’s 2003 Deferred Stock Unit Plan, effective April 2, 2012.</w:t>
              </w:r>
            </w:hyperlink>
          </w:p>
        </w:tc>
        <w:tc>
          <w:tcPr>
            <w:tcW w:w="0" w:type="auto"/>
            <w:shd w:val="clear" w:color="auto" w:fill="auto"/>
            <w:tcMar>
              <w:top w:w="40" w:type="dxa"/>
              <w:left w:w="40" w:type="dxa"/>
              <w:bottom w:w="40" w:type="dxa"/>
              <w:right w:w="40" w:type="dxa"/>
            </w:tcMar>
            <w:vAlign w:val="bottom"/>
          </w:tcPr>
          <w:p w14:paraId="0BC9AD8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8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8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89"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tcPr>
          <w:p w14:paraId="0BC9AD8A"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D8B"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D8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8D"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7/19/2012</w:t>
            </w:r>
          </w:p>
        </w:tc>
      </w:tr>
      <w:tr w:rsidR="009F0928" w14:paraId="0BC9AD96" w14:textId="77777777">
        <w:trPr>
          <w:jc w:val="center"/>
        </w:trPr>
        <w:tc>
          <w:tcPr>
            <w:tcW w:w="0" w:type="auto"/>
            <w:shd w:val="clear" w:color="auto" w:fill="auto"/>
            <w:tcMar>
              <w:top w:w="40" w:type="dxa"/>
              <w:left w:w="40" w:type="dxa"/>
              <w:bottom w:w="40" w:type="dxa"/>
              <w:right w:w="40" w:type="dxa"/>
            </w:tcMar>
            <w:vAlign w:val="bottom"/>
          </w:tcPr>
          <w:p w14:paraId="0BC9AD8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9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D9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D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D9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D9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DA2" w14:textId="77777777">
        <w:trPr>
          <w:jc w:val="center"/>
        </w:trPr>
        <w:tc>
          <w:tcPr>
            <w:tcW w:w="0" w:type="auto"/>
            <w:shd w:val="clear" w:color="auto" w:fill="auto"/>
            <w:tcMar>
              <w:top w:w="40" w:type="dxa"/>
              <w:left w:w="40" w:type="dxa"/>
              <w:bottom w:w="40" w:type="dxa"/>
              <w:right w:w="40" w:type="dxa"/>
            </w:tcMar>
          </w:tcPr>
          <w:p w14:paraId="0BC9AD97" w14:textId="77777777" w:rsidR="009F0928" w:rsidRDefault="002112BD">
            <w:pPr>
              <w:textAlignment w:val="top"/>
              <w:rPr>
                <w:rFonts w:ascii="Times New Roman" w:hAnsi="Times New Roman"/>
                <w:sz w:val="18"/>
                <w:szCs w:val="18"/>
              </w:rPr>
            </w:pPr>
            <w:r>
              <w:rPr>
                <w:rFonts w:ascii="Arial" w:eastAsia="宋体" w:hAnsi="Arial" w:cs="Arial"/>
                <w:sz w:val="18"/>
                <w:szCs w:val="18"/>
              </w:rPr>
              <w:t>10.04+</w:t>
            </w:r>
          </w:p>
        </w:tc>
        <w:tc>
          <w:tcPr>
            <w:tcW w:w="0" w:type="auto"/>
            <w:shd w:val="clear" w:color="auto" w:fill="auto"/>
            <w:tcMar>
              <w:top w:w="40" w:type="dxa"/>
              <w:left w:w="40" w:type="dxa"/>
              <w:bottom w:w="40" w:type="dxa"/>
              <w:right w:w="40" w:type="dxa"/>
            </w:tcMar>
            <w:vAlign w:val="bottom"/>
          </w:tcPr>
          <w:p w14:paraId="0BC9AD9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99" w14:textId="77777777" w:rsidR="009F0928" w:rsidRDefault="002112BD">
            <w:pPr>
              <w:textAlignment w:val="bottom"/>
              <w:rPr>
                <w:rFonts w:ascii="Times New Roman" w:hAnsi="Times New Roman"/>
                <w:sz w:val="18"/>
                <w:szCs w:val="18"/>
              </w:rPr>
            </w:pPr>
            <w:hyperlink r:id="rId59" w:history="1">
              <w:r>
                <w:rPr>
                  <w:rStyle w:val="a5"/>
                  <w:rFonts w:ascii="Arial" w:eastAsia="宋体" w:hAnsi="Arial" w:cs="Arial"/>
                  <w:sz w:val="18"/>
                  <w:szCs w:val="18"/>
                </w:rPr>
                <w:t>Form of Director Award Agreement under Registrant’s 2003 Deferred Stock Unit Plan.</w:t>
              </w:r>
            </w:hyperlink>
          </w:p>
        </w:tc>
        <w:tc>
          <w:tcPr>
            <w:tcW w:w="0" w:type="auto"/>
            <w:shd w:val="clear" w:color="auto" w:fill="auto"/>
            <w:tcMar>
              <w:top w:w="40" w:type="dxa"/>
              <w:left w:w="40" w:type="dxa"/>
              <w:bottom w:w="40" w:type="dxa"/>
              <w:right w:w="40" w:type="dxa"/>
            </w:tcMar>
            <w:vAlign w:val="bottom"/>
          </w:tcPr>
          <w:p w14:paraId="0BC9AD9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9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9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9D"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AD9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9F"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D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A1"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7/19/2012</w:t>
            </w:r>
          </w:p>
        </w:tc>
      </w:tr>
      <w:tr w:rsidR="009F0928" w14:paraId="0BC9ADAE" w14:textId="77777777">
        <w:trPr>
          <w:jc w:val="center"/>
        </w:trPr>
        <w:tc>
          <w:tcPr>
            <w:tcW w:w="0" w:type="auto"/>
            <w:shd w:val="clear" w:color="auto" w:fill="auto"/>
            <w:tcMar>
              <w:top w:w="40" w:type="dxa"/>
              <w:left w:w="40" w:type="dxa"/>
              <w:bottom w:w="40" w:type="dxa"/>
              <w:right w:w="40" w:type="dxa"/>
            </w:tcMar>
            <w:vAlign w:val="bottom"/>
          </w:tcPr>
          <w:p w14:paraId="0BC9ADA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A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A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A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A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A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A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DBA" w14:textId="77777777">
        <w:trPr>
          <w:jc w:val="center"/>
        </w:trPr>
        <w:tc>
          <w:tcPr>
            <w:tcW w:w="0" w:type="auto"/>
            <w:shd w:val="clear" w:color="auto" w:fill="auto"/>
            <w:tcMar>
              <w:top w:w="40" w:type="dxa"/>
              <w:left w:w="40" w:type="dxa"/>
              <w:bottom w:w="40" w:type="dxa"/>
              <w:right w:w="40" w:type="dxa"/>
            </w:tcMar>
          </w:tcPr>
          <w:p w14:paraId="0BC9ADAF" w14:textId="77777777" w:rsidR="009F0928" w:rsidRDefault="002112BD">
            <w:pPr>
              <w:textAlignment w:val="top"/>
              <w:rPr>
                <w:rFonts w:ascii="Times New Roman" w:hAnsi="Times New Roman"/>
                <w:sz w:val="18"/>
                <w:szCs w:val="18"/>
              </w:rPr>
            </w:pPr>
            <w:r>
              <w:rPr>
                <w:rFonts w:ascii="Arial" w:eastAsia="宋体" w:hAnsi="Arial" w:cs="Arial"/>
                <w:sz w:val="18"/>
                <w:szCs w:val="18"/>
              </w:rPr>
              <w:t>10.05+</w:t>
            </w:r>
          </w:p>
        </w:tc>
        <w:tc>
          <w:tcPr>
            <w:tcW w:w="0" w:type="auto"/>
            <w:shd w:val="clear" w:color="auto" w:fill="auto"/>
            <w:tcMar>
              <w:top w:w="40" w:type="dxa"/>
              <w:left w:w="40" w:type="dxa"/>
              <w:bottom w:w="40" w:type="dxa"/>
              <w:right w:w="40" w:type="dxa"/>
            </w:tcMar>
            <w:vAlign w:val="bottom"/>
          </w:tcPr>
          <w:p w14:paraId="0BC9ADB0"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ADB1" w14:textId="77777777" w:rsidR="009F0928" w:rsidRDefault="002112BD">
            <w:pPr>
              <w:textAlignment w:val="bottom"/>
              <w:rPr>
                <w:rFonts w:ascii="Times New Roman" w:hAnsi="Times New Roman"/>
                <w:sz w:val="18"/>
                <w:szCs w:val="18"/>
              </w:rPr>
            </w:pPr>
            <w:hyperlink r:id="rId60" w:history="1">
              <w:r>
                <w:rPr>
                  <w:rStyle w:val="a5"/>
                  <w:rFonts w:ascii="Arial" w:eastAsia="宋体" w:hAnsi="Arial" w:cs="Arial"/>
                  <w:sz w:val="18"/>
                  <w:szCs w:val="18"/>
                </w:rPr>
                <w:t>Form of Electing Director Award Agreement under Registrant’s 2003 Deferred Stock Unit Plan.</w:t>
              </w:r>
            </w:hyperlink>
          </w:p>
        </w:tc>
        <w:tc>
          <w:tcPr>
            <w:tcW w:w="0" w:type="auto"/>
            <w:shd w:val="clear" w:color="auto" w:fill="auto"/>
            <w:tcMar>
              <w:top w:w="40" w:type="dxa"/>
              <w:left w:w="40" w:type="dxa"/>
              <w:bottom w:w="40" w:type="dxa"/>
              <w:right w:w="40" w:type="dxa"/>
            </w:tcMar>
            <w:vAlign w:val="bottom"/>
          </w:tcPr>
          <w:p w14:paraId="0BC9ADB2"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AD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B4"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DB5"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tcPr>
          <w:p w14:paraId="0BC9ADB6"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DB7"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tcPr>
          <w:p w14:paraId="0BC9ADB8"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DB9"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7/19/2012</w:t>
            </w:r>
          </w:p>
        </w:tc>
      </w:tr>
      <w:tr w:rsidR="009F0928" w14:paraId="0BC9ADC1" w14:textId="77777777">
        <w:trPr>
          <w:jc w:val="center"/>
        </w:trPr>
        <w:tc>
          <w:tcPr>
            <w:tcW w:w="0" w:type="auto"/>
            <w:shd w:val="clear" w:color="auto" w:fill="auto"/>
            <w:tcMar>
              <w:top w:w="40" w:type="dxa"/>
              <w:left w:w="40" w:type="dxa"/>
              <w:bottom w:w="40" w:type="dxa"/>
              <w:right w:w="40" w:type="dxa"/>
            </w:tcMar>
            <w:vAlign w:val="bottom"/>
          </w:tcPr>
          <w:p w14:paraId="0BC9ADB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DB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DB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DB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DB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D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DCD" w14:textId="77777777">
        <w:trPr>
          <w:jc w:val="center"/>
        </w:trPr>
        <w:tc>
          <w:tcPr>
            <w:tcW w:w="0" w:type="auto"/>
            <w:shd w:val="clear" w:color="auto" w:fill="auto"/>
            <w:tcMar>
              <w:top w:w="40" w:type="dxa"/>
              <w:left w:w="40" w:type="dxa"/>
              <w:bottom w:w="40" w:type="dxa"/>
              <w:right w:w="40" w:type="dxa"/>
            </w:tcMar>
          </w:tcPr>
          <w:p w14:paraId="0BC9ADC2" w14:textId="77777777" w:rsidR="009F0928" w:rsidRDefault="002112BD">
            <w:pPr>
              <w:textAlignment w:val="top"/>
              <w:rPr>
                <w:rFonts w:ascii="Times New Roman" w:hAnsi="Times New Roman"/>
                <w:sz w:val="18"/>
                <w:szCs w:val="18"/>
              </w:rPr>
            </w:pPr>
            <w:r>
              <w:rPr>
                <w:rFonts w:ascii="Arial" w:eastAsia="宋体" w:hAnsi="Arial" w:cs="Arial"/>
                <w:sz w:val="18"/>
                <w:szCs w:val="18"/>
              </w:rPr>
              <w:t>10.06+</w:t>
            </w:r>
          </w:p>
        </w:tc>
        <w:tc>
          <w:tcPr>
            <w:tcW w:w="0" w:type="auto"/>
            <w:shd w:val="clear" w:color="auto" w:fill="auto"/>
            <w:tcMar>
              <w:top w:w="40" w:type="dxa"/>
              <w:left w:w="40" w:type="dxa"/>
              <w:bottom w:w="40" w:type="dxa"/>
              <w:right w:w="40" w:type="dxa"/>
            </w:tcMar>
            <w:vAlign w:val="bottom"/>
          </w:tcPr>
          <w:p w14:paraId="0BC9ADC3"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ADC4" w14:textId="77777777" w:rsidR="009F0928" w:rsidRDefault="002112BD">
            <w:pPr>
              <w:textAlignment w:val="bottom"/>
              <w:rPr>
                <w:rFonts w:ascii="Times New Roman" w:hAnsi="Times New Roman"/>
                <w:sz w:val="18"/>
                <w:szCs w:val="18"/>
              </w:rPr>
            </w:pPr>
            <w:hyperlink r:id="rId61" w:history="1">
              <w:r>
                <w:rPr>
                  <w:rStyle w:val="a5"/>
                  <w:rFonts w:ascii="Arial" w:eastAsia="宋体" w:hAnsi="Arial" w:cs="Arial"/>
                  <w:sz w:val="18"/>
                  <w:szCs w:val="18"/>
                </w:rPr>
                <w:t>Form of New Director Award Agreement under Registrant’s 2003 Deferred Stock Unit Plan.</w:t>
              </w:r>
            </w:hyperlink>
          </w:p>
        </w:tc>
        <w:tc>
          <w:tcPr>
            <w:tcW w:w="0" w:type="auto"/>
            <w:shd w:val="clear" w:color="auto" w:fill="auto"/>
            <w:tcMar>
              <w:top w:w="40" w:type="dxa"/>
              <w:left w:w="40" w:type="dxa"/>
              <w:bottom w:w="40" w:type="dxa"/>
              <w:right w:w="40" w:type="dxa"/>
            </w:tcMar>
            <w:vAlign w:val="bottom"/>
          </w:tcPr>
          <w:p w14:paraId="0BC9ADC5"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ADC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DC7"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DC8"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tcPr>
          <w:p w14:paraId="0BC9ADC9"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DCA"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tcPr>
          <w:p w14:paraId="0BC9ADCB"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DCC"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7/19/2012</w:t>
            </w:r>
          </w:p>
        </w:tc>
      </w:tr>
      <w:tr w:rsidR="009F0928" w14:paraId="0BC9ADD5" w14:textId="77777777">
        <w:trPr>
          <w:jc w:val="center"/>
        </w:trPr>
        <w:tc>
          <w:tcPr>
            <w:tcW w:w="0" w:type="auto"/>
            <w:shd w:val="clear" w:color="auto" w:fill="auto"/>
            <w:tcMar>
              <w:top w:w="40" w:type="dxa"/>
              <w:left w:w="40" w:type="dxa"/>
              <w:bottom w:w="40" w:type="dxa"/>
              <w:right w:w="40" w:type="dxa"/>
            </w:tcMar>
            <w:vAlign w:val="bottom"/>
          </w:tcPr>
          <w:p w14:paraId="0BC9ADC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D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DD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DD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D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DD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ADD6" w14:textId="77777777" w:rsidR="009F0928" w:rsidRDefault="009F0928">
      <w:pPr>
        <w:rPr>
          <w:rFonts w:ascii="Times New Roman" w:hAnsi="Times New Roman"/>
          <w:sz w:val="20"/>
          <w:szCs w:val="20"/>
        </w:rPr>
      </w:pPr>
    </w:p>
    <w:p w14:paraId="0BC9ADD7"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F-47</w:t>
      </w:r>
    </w:p>
    <w:p w14:paraId="0BC9ADD8" w14:textId="77777777" w:rsidR="009F0928" w:rsidRDefault="002112BD">
      <w:r>
        <w:rPr>
          <w:rFonts w:ascii="Times New Roman" w:hAnsi="Times New Roman"/>
          <w:sz w:val="18"/>
          <w:szCs w:val="18"/>
        </w:rPr>
        <w:pict w14:anchorId="0BC9B529">
          <v:rect id="_x0000_i1133" style="width:415.3pt;height:1.5pt" o:hralign="center" o:hrstd="t" o:hr="t" fillcolor="#a0a0a0" stroked="f"/>
        </w:pict>
      </w:r>
    </w:p>
    <w:p w14:paraId="0BC9ADD9" w14:textId="77777777" w:rsidR="009F0928" w:rsidRDefault="009F0928">
      <w:pPr>
        <w:spacing w:line="288" w:lineRule="auto"/>
        <w:rPr>
          <w:rFonts w:ascii="Times New Roman" w:hAnsi="Times New Roman"/>
          <w:sz w:val="20"/>
          <w:szCs w:val="20"/>
        </w:rPr>
      </w:pPr>
    </w:p>
    <w:p w14:paraId="0BC9ADDA" w14:textId="77777777" w:rsidR="009F0928" w:rsidRDefault="009F0928">
      <w:pPr>
        <w:rPr>
          <w:rFonts w:ascii="Times New Roman" w:hAnsi="Times New Roman"/>
          <w:sz w:val="20"/>
          <w:szCs w:val="20"/>
        </w:rPr>
      </w:pPr>
    </w:p>
    <w:tbl>
      <w:tblPr>
        <w:tblW w:w="4995" w:type="pct"/>
        <w:jc w:val="center"/>
        <w:tblCellMar>
          <w:left w:w="0" w:type="dxa"/>
          <w:right w:w="0" w:type="dxa"/>
        </w:tblCellMar>
        <w:tblLook w:val="04A0" w:firstRow="1" w:lastRow="0" w:firstColumn="1" w:lastColumn="0" w:noHBand="0" w:noVBand="1"/>
      </w:tblPr>
      <w:tblGrid>
        <w:gridCol w:w="636"/>
        <w:gridCol w:w="181"/>
        <w:gridCol w:w="3602"/>
        <w:gridCol w:w="131"/>
        <w:gridCol w:w="782"/>
        <w:gridCol w:w="131"/>
        <w:gridCol w:w="651"/>
        <w:gridCol w:w="131"/>
        <w:gridCol w:w="941"/>
        <w:gridCol w:w="131"/>
        <w:gridCol w:w="981"/>
      </w:tblGrid>
      <w:tr w:rsidR="009F0928" w14:paraId="0BC9ADDC" w14:textId="77777777">
        <w:trPr>
          <w:jc w:val="center"/>
        </w:trPr>
        <w:tc>
          <w:tcPr>
            <w:tcW w:w="0" w:type="auto"/>
            <w:gridSpan w:val="11"/>
            <w:shd w:val="clear" w:color="auto" w:fill="auto"/>
            <w:vAlign w:val="center"/>
          </w:tcPr>
          <w:p w14:paraId="0BC9ADDB" w14:textId="77777777" w:rsidR="009F0928" w:rsidRDefault="009F0928">
            <w:pPr>
              <w:rPr>
                <w:rFonts w:ascii="Times New Roman" w:hAnsi="Times New Roman"/>
                <w:sz w:val="20"/>
                <w:szCs w:val="20"/>
              </w:rPr>
            </w:pPr>
          </w:p>
        </w:tc>
      </w:tr>
      <w:tr w:rsidR="009F0928" w14:paraId="0BC9ADE8" w14:textId="77777777">
        <w:trPr>
          <w:jc w:val="center"/>
        </w:trPr>
        <w:tc>
          <w:tcPr>
            <w:tcW w:w="350" w:type="pct"/>
            <w:shd w:val="clear" w:color="auto" w:fill="auto"/>
            <w:vAlign w:val="center"/>
          </w:tcPr>
          <w:p w14:paraId="0BC9ADDD" w14:textId="77777777" w:rsidR="009F0928" w:rsidRDefault="009F0928">
            <w:pPr>
              <w:rPr>
                <w:rFonts w:ascii="Times New Roman" w:hAnsi="Times New Roman"/>
                <w:sz w:val="20"/>
                <w:szCs w:val="20"/>
              </w:rPr>
            </w:pPr>
          </w:p>
        </w:tc>
        <w:tc>
          <w:tcPr>
            <w:tcW w:w="50" w:type="pct"/>
            <w:shd w:val="clear" w:color="auto" w:fill="auto"/>
            <w:vAlign w:val="center"/>
          </w:tcPr>
          <w:p w14:paraId="0BC9ADDE" w14:textId="77777777" w:rsidR="009F0928" w:rsidRDefault="009F0928">
            <w:pPr>
              <w:rPr>
                <w:rFonts w:ascii="Times New Roman" w:hAnsi="Times New Roman"/>
                <w:sz w:val="20"/>
                <w:szCs w:val="20"/>
              </w:rPr>
            </w:pPr>
          </w:p>
        </w:tc>
        <w:tc>
          <w:tcPr>
            <w:tcW w:w="2300" w:type="pct"/>
            <w:shd w:val="clear" w:color="auto" w:fill="auto"/>
            <w:vAlign w:val="center"/>
          </w:tcPr>
          <w:p w14:paraId="0BC9ADDF" w14:textId="77777777" w:rsidR="009F0928" w:rsidRDefault="009F0928">
            <w:pPr>
              <w:rPr>
                <w:rFonts w:ascii="Times New Roman" w:hAnsi="Times New Roman"/>
                <w:sz w:val="20"/>
                <w:szCs w:val="20"/>
              </w:rPr>
            </w:pPr>
          </w:p>
        </w:tc>
        <w:tc>
          <w:tcPr>
            <w:tcW w:w="50" w:type="pct"/>
            <w:shd w:val="clear" w:color="auto" w:fill="auto"/>
            <w:vAlign w:val="center"/>
          </w:tcPr>
          <w:p w14:paraId="0BC9ADE0" w14:textId="77777777" w:rsidR="009F0928" w:rsidRDefault="009F0928">
            <w:pPr>
              <w:rPr>
                <w:rFonts w:ascii="Times New Roman" w:hAnsi="Times New Roman"/>
                <w:sz w:val="20"/>
                <w:szCs w:val="20"/>
              </w:rPr>
            </w:pPr>
          </w:p>
        </w:tc>
        <w:tc>
          <w:tcPr>
            <w:tcW w:w="600" w:type="pct"/>
            <w:shd w:val="clear" w:color="auto" w:fill="auto"/>
            <w:vAlign w:val="center"/>
          </w:tcPr>
          <w:p w14:paraId="0BC9ADE1" w14:textId="77777777" w:rsidR="009F0928" w:rsidRDefault="009F0928">
            <w:pPr>
              <w:rPr>
                <w:rFonts w:ascii="Times New Roman" w:hAnsi="Times New Roman"/>
                <w:sz w:val="20"/>
                <w:szCs w:val="20"/>
              </w:rPr>
            </w:pPr>
          </w:p>
        </w:tc>
        <w:tc>
          <w:tcPr>
            <w:tcW w:w="50" w:type="pct"/>
            <w:shd w:val="clear" w:color="auto" w:fill="auto"/>
            <w:vAlign w:val="center"/>
          </w:tcPr>
          <w:p w14:paraId="0BC9ADE2" w14:textId="77777777" w:rsidR="009F0928" w:rsidRDefault="009F0928">
            <w:pPr>
              <w:rPr>
                <w:rFonts w:ascii="Times New Roman" w:hAnsi="Times New Roman"/>
                <w:sz w:val="20"/>
                <w:szCs w:val="20"/>
              </w:rPr>
            </w:pPr>
          </w:p>
        </w:tc>
        <w:tc>
          <w:tcPr>
            <w:tcW w:w="400" w:type="pct"/>
            <w:shd w:val="clear" w:color="auto" w:fill="auto"/>
            <w:vAlign w:val="center"/>
          </w:tcPr>
          <w:p w14:paraId="0BC9ADE3" w14:textId="77777777" w:rsidR="009F0928" w:rsidRDefault="009F0928">
            <w:pPr>
              <w:rPr>
                <w:rFonts w:ascii="Times New Roman" w:hAnsi="Times New Roman"/>
                <w:sz w:val="20"/>
                <w:szCs w:val="20"/>
              </w:rPr>
            </w:pPr>
          </w:p>
        </w:tc>
        <w:tc>
          <w:tcPr>
            <w:tcW w:w="50" w:type="pct"/>
            <w:shd w:val="clear" w:color="auto" w:fill="auto"/>
            <w:vAlign w:val="center"/>
          </w:tcPr>
          <w:p w14:paraId="0BC9ADE4" w14:textId="77777777" w:rsidR="009F0928" w:rsidRDefault="009F0928">
            <w:pPr>
              <w:rPr>
                <w:rFonts w:ascii="Times New Roman" w:hAnsi="Times New Roman"/>
                <w:sz w:val="20"/>
                <w:szCs w:val="20"/>
              </w:rPr>
            </w:pPr>
          </w:p>
        </w:tc>
        <w:tc>
          <w:tcPr>
            <w:tcW w:w="550" w:type="pct"/>
            <w:shd w:val="clear" w:color="auto" w:fill="auto"/>
            <w:vAlign w:val="center"/>
          </w:tcPr>
          <w:p w14:paraId="0BC9ADE5" w14:textId="77777777" w:rsidR="009F0928" w:rsidRDefault="009F0928">
            <w:pPr>
              <w:rPr>
                <w:rFonts w:ascii="Times New Roman" w:hAnsi="Times New Roman"/>
                <w:sz w:val="20"/>
                <w:szCs w:val="20"/>
              </w:rPr>
            </w:pPr>
          </w:p>
        </w:tc>
        <w:tc>
          <w:tcPr>
            <w:tcW w:w="50" w:type="pct"/>
            <w:shd w:val="clear" w:color="auto" w:fill="auto"/>
            <w:vAlign w:val="center"/>
          </w:tcPr>
          <w:p w14:paraId="0BC9ADE6" w14:textId="77777777" w:rsidR="009F0928" w:rsidRDefault="009F0928">
            <w:pPr>
              <w:rPr>
                <w:rFonts w:ascii="Times New Roman" w:hAnsi="Times New Roman"/>
                <w:sz w:val="20"/>
                <w:szCs w:val="20"/>
              </w:rPr>
            </w:pPr>
          </w:p>
        </w:tc>
        <w:tc>
          <w:tcPr>
            <w:tcW w:w="550" w:type="pct"/>
            <w:shd w:val="clear" w:color="auto" w:fill="auto"/>
            <w:vAlign w:val="center"/>
          </w:tcPr>
          <w:p w14:paraId="0BC9ADE7" w14:textId="77777777" w:rsidR="009F0928" w:rsidRDefault="009F0928">
            <w:pPr>
              <w:rPr>
                <w:rFonts w:ascii="Times New Roman" w:hAnsi="Times New Roman"/>
                <w:sz w:val="20"/>
                <w:szCs w:val="20"/>
              </w:rPr>
            </w:pPr>
          </w:p>
        </w:tc>
      </w:tr>
      <w:tr w:rsidR="009F0928" w14:paraId="0BC9ADF1" w14:textId="77777777">
        <w:trPr>
          <w:jc w:val="center"/>
        </w:trPr>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0BC9ADE9" w14:textId="77777777" w:rsidR="009F0928" w:rsidRDefault="002112BD">
            <w:pPr>
              <w:textAlignment w:val="bottom"/>
              <w:rPr>
                <w:rFonts w:ascii="Times New Roman" w:hAnsi="Times New Roman"/>
                <w:sz w:val="14"/>
                <w:szCs w:val="14"/>
              </w:rPr>
            </w:pPr>
            <w:r>
              <w:rPr>
                <w:rFonts w:ascii="Arial" w:eastAsia="宋体" w:hAnsi="Arial" w:cs="Arial"/>
                <w:b/>
                <w:bCs/>
                <w:sz w:val="14"/>
                <w:szCs w:val="14"/>
              </w:rPr>
              <w:t>No.</w:t>
            </w:r>
          </w:p>
        </w:tc>
        <w:tc>
          <w:tcPr>
            <w:tcW w:w="0" w:type="auto"/>
            <w:shd w:val="clear" w:color="auto" w:fill="auto"/>
            <w:tcMar>
              <w:top w:w="40" w:type="dxa"/>
              <w:left w:w="40" w:type="dxa"/>
              <w:bottom w:w="40" w:type="dxa"/>
              <w:right w:w="40" w:type="dxa"/>
            </w:tcMar>
            <w:vAlign w:val="bottom"/>
          </w:tcPr>
          <w:p w14:paraId="0BC9ADEA"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0BC9ADEB"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Exhibit Description</w:t>
            </w:r>
          </w:p>
        </w:tc>
        <w:tc>
          <w:tcPr>
            <w:tcW w:w="0" w:type="auto"/>
            <w:shd w:val="clear" w:color="auto" w:fill="auto"/>
            <w:tcMar>
              <w:top w:w="40" w:type="dxa"/>
              <w:left w:w="40" w:type="dxa"/>
              <w:bottom w:w="40" w:type="dxa"/>
              <w:right w:w="40" w:type="dxa"/>
            </w:tcMar>
            <w:vAlign w:val="bottom"/>
          </w:tcPr>
          <w:p w14:paraId="0BC9ADEC"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0BC9ADED"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Filed or Furnished with</w:t>
            </w:r>
          </w:p>
          <w:p w14:paraId="0BC9ADEE"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this 10-K</w:t>
            </w:r>
          </w:p>
        </w:tc>
        <w:tc>
          <w:tcPr>
            <w:tcW w:w="0" w:type="auto"/>
            <w:shd w:val="clear" w:color="auto" w:fill="auto"/>
            <w:tcMar>
              <w:top w:w="40" w:type="dxa"/>
              <w:left w:w="40" w:type="dxa"/>
              <w:bottom w:w="40" w:type="dxa"/>
              <w:right w:w="40" w:type="dxa"/>
            </w:tcMar>
            <w:vAlign w:val="bottom"/>
          </w:tcPr>
          <w:p w14:paraId="0BC9ADEF"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0BC9ADF0"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Incorporated by Reference</w:t>
            </w:r>
          </w:p>
        </w:tc>
      </w:tr>
      <w:tr w:rsidR="009F0928" w14:paraId="0BC9ADFD" w14:textId="77777777">
        <w:trPr>
          <w:jc w:val="center"/>
        </w:trPr>
        <w:tc>
          <w:tcPr>
            <w:tcW w:w="0" w:type="auto"/>
            <w:vMerge/>
            <w:tcBorders>
              <w:bottom w:val="single" w:sz="8" w:space="0" w:color="000000"/>
            </w:tcBorders>
            <w:shd w:val="clear" w:color="auto" w:fill="auto"/>
            <w:tcMar>
              <w:top w:w="40" w:type="dxa"/>
              <w:left w:w="40" w:type="dxa"/>
              <w:bottom w:w="40" w:type="dxa"/>
              <w:right w:w="40" w:type="dxa"/>
            </w:tcMar>
            <w:vAlign w:val="bottom"/>
          </w:tcPr>
          <w:p w14:paraId="0BC9ADF2" w14:textId="77777777" w:rsidR="009F0928" w:rsidRDefault="009F0928">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DF3"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0BC9ADF4" w14:textId="77777777" w:rsidR="009F0928" w:rsidRDefault="009F0928">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DF5"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0BC9ADF6" w14:textId="77777777" w:rsidR="009F0928" w:rsidRDefault="009F0928">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ADF7"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ADF8"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Form</w:t>
            </w:r>
          </w:p>
        </w:tc>
        <w:tc>
          <w:tcPr>
            <w:tcW w:w="0" w:type="auto"/>
            <w:shd w:val="clear" w:color="auto" w:fill="auto"/>
            <w:tcMar>
              <w:top w:w="40" w:type="dxa"/>
              <w:left w:w="40" w:type="dxa"/>
              <w:bottom w:w="40" w:type="dxa"/>
              <w:right w:w="40" w:type="dxa"/>
            </w:tcMar>
            <w:vAlign w:val="bottom"/>
          </w:tcPr>
          <w:p w14:paraId="0BC9ADF9"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ADFA"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File No.</w:t>
            </w:r>
          </w:p>
        </w:tc>
        <w:tc>
          <w:tcPr>
            <w:tcW w:w="0" w:type="auto"/>
            <w:shd w:val="clear" w:color="auto" w:fill="auto"/>
            <w:tcMar>
              <w:top w:w="40" w:type="dxa"/>
              <w:left w:w="40" w:type="dxa"/>
              <w:bottom w:w="40" w:type="dxa"/>
              <w:right w:w="40" w:type="dxa"/>
            </w:tcMar>
            <w:vAlign w:val="bottom"/>
          </w:tcPr>
          <w:p w14:paraId="0BC9ADFB"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ADFC"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Date Filed</w:t>
            </w:r>
          </w:p>
        </w:tc>
      </w:tr>
      <w:tr w:rsidR="009F0928" w14:paraId="0BC9AE09" w14:textId="77777777">
        <w:trPr>
          <w:jc w:val="center"/>
        </w:trPr>
        <w:tc>
          <w:tcPr>
            <w:tcW w:w="0" w:type="auto"/>
            <w:shd w:val="clear" w:color="auto" w:fill="auto"/>
            <w:tcMar>
              <w:top w:w="40" w:type="dxa"/>
              <w:left w:w="40" w:type="dxa"/>
              <w:bottom w:w="40" w:type="dxa"/>
              <w:right w:w="40" w:type="dxa"/>
            </w:tcMar>
          </w:tcPr>
          <w:p w14:paraId="0BC9ADFE" w14:textId="77777777" w:rsidR="009F0928" w:rsidRDefault="002112BD">
            <w:pPr>
              <w:textAlignment w:val="top"/>
              <w:rPr>
                <w:rFonts w:ascii="Times New Roman" w:hAnsi="Times New Roman"/>
                <w:sz w:val="18"/>
                <w:szCs w:val="18"/>
              </w:rPr>
            </w:pPr>
            <w:r>
              <w:rPr>
                <w:rFonts w:ascii="Arial" w:eastAsia="宋体" w:hAnsi="Arial" w:cs="Arial"/>
                <w:sz w:val="18"/>
                <w:szCs w:val="18"/>
              </w:rPr>
              <w:t>10.07+</w:t>
            </w:r>
          </w:p>
        </w:tc>
        <w:tc>
          <w:tcPr>
            <w:tcW w:w="0" w:type="auto"/>
            <w:shd w:val="clear" w:color="auto" w:fill="auto"/>
            <w:tcMar>
              <w:top w:w="40" w:type="dxa"/>
              <w:left w:w="40" w:type="dxa"/>
              <w:bottom w:w="40" w:type="dxa"/>
              <w:right w:w="40" w:type="dxa"/>
            </w:tcMar>
            <w:vAlign w:val="bottom"/>
          </w:tcPr>
          <w:p w14:paraId="0BC9ADFF"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AE00" w14:textId="77777777" w:rsidR="009F0928" w:rsidRDefault="002112BD">
            <w:pPr>
              <w:textAlignment w:val="bottom"/>
              <w:rPr>
                <w:rFonts w:ascii="Times New Roman" w:hAnsi="Times New Roman"/>
                <w:sz w:val="18"/>
                <w:szCs w:val="18"/>
              </w:rPr>
            </w:pPr>
            <w:hyperlink r:id="rId62" w:history="1">
              <w:r>
                <w:rPr>
                  <w:rStyle w:val="a5"/>
                  <w:rFonts w:ascii="Arial" w:eastAsia="宋体" w:hAnsi="Arial" w:cs="Arial"/>
                  <w:sz w:val="18"/>
                  <w:szCs w:val="18"/>
                </w:rPr>
                <w:t>Form of 2003 Deferred Stock Unit Plan Restricted Stock Unit Grant Notice and Agreement.</w:t>
              </w:r>
            </w:hyperlink>
          </w:p>
        </w:tc>
        <w:tc>
          <w:tcPr>
            <w:tcW w:w="0" w:type="auto"/>
            <w:shd w:val="clear" w:color="auto" w:fill="auto"/>
            <w:tcMar>
              <w:top w:w="40" w:type="dxa"/>
              <w:left w:w="40" w:type="dxa"/>
              <w:bottom w:w="40" w:type="dxa"/>
              <w:right w:w="40" w:type="dxa"/>
            </w:tcMar>
            <w:vAlign w:val="bottom"/>
          </w:tcPr>
          <w:p w14:paraId="0BC9AE01"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AE0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03"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E04"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10-Q/A</w:t>
            </w:r>
          </w:p>
        </w:tc>
        <w:tc>
          <w:tcPr>
            <w:tcW w:w="0" w:type="auto"/>
            <w:shd w:val="clear" w:color="auto" w:fill="auto"/>
            <w:tcMar>
              <w:top w:w="40" w:type="dxa"/>
              <w:left w:w="40" w:type="dxa"/>
              <w:bottom w:w="40" w:type="dxa"/>
              <w:right w:w="40" w:type="dxa"/>
            </w:tcMar>
          </w:tcPr>
          <w:p w14:paraId="0BC9AE05"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E06"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tcPr>
          <w:p w14:paraId="0BC9AE07"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E08"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4/24/2008</w:t>
            </w:r>
          </w:p>
        </w:tc>
      </w:tr>
      <w:tr w:rsidR="009F0928" w14:paraId="0BC9AE11" w14:textId="77777777">
        <w:trPr>
          <w:jc w:val="center"/>
        </w:trPr>
        <w:tc>
          <w:tcPr>
            <w:tcW w:w="0" w:type="auto"/>
            <w:shd w:val="clear" w:color="auto" w:fill="auto"/>
            <w:tcMar>
              <w:top w:w="40" w:type="dxa"/>
              <w:left w:w="40" w:type="dxa"/>
              <w:bottom w:w="40" w:type="dxa"/>
              <w:right w:w="40" w:type="dxa"/>
            </w:tcMar>
            <w:vAlign w:val="bottom"/>
          </w:tcPr>
          <w:p w14:paraId="0BC9AE0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0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0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E0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E0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E0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E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E1D" w14:textId="77777777">
        <w:trPr>
          <w:jc w:val="center"/>
        </w:trPr>
        <w:tc>
          <w:tcPr>
            <w:tcW w:w="0" w:type="auto"/>
            <w:shd w:val="clear" w:color="auto" w:fill="auto"/>
            <w:tcMar>
              <w:top w:w="40" w:type="dxa"/>
              <w:left w:w="40" w:type="dxa"/>
              <w:bottom w:w="40" w:type="dxa"/>
              <w:right w:w="40" w:type="dxa"/>
            </w:tcMar>
          </w:tcPr>
          <w:p w14:paraId="0BC9AE12" w14:textId="77777777" w:rsidR="009F0928" w:rsidRDefault="002112BD">
            <w:pPr>
              <w:textAlignment w:val="top"/>
              <w:rPr>
                <w:rFonts w:ascii="Times New Roman" w:hAnsi="Times New Roman"/>
                <w:sz w:val="18"/>
                <w:szCs w:val="18"/>
              </w:rPr>
            </w:pPr>
            <w:r>
              <w:rPr>
                <w:rFonts w:ascii="Arial" w:eastAsia="宋体" w:hAnsi="Arial" w:cs="Arial"/>
                <w:sz w:val="18"/>
                <w:szCs w:val="18"/>
              </w:rPr>
              <w:t>10.08+</w:t>
            </w:r>
          </w:p>
        </w:tc>
        <w:tc>
          <w:tcPr>
            <w:tcW w:w="0" w:type="auto"/>
            <w:shd w:val="clear" w:color="auto" w:fill="auto"/>
            <w:tcMar>
              <w:top w:w="40" w:type="dxa"/>
              <w:left w:w="40" w:type="dxa"/>
              <w:bottom w:w="40" w:type="dxa"/>
              <w:right w:w="40" w:type="dxa"/>
            </w:tcMar>
            <w:vAlign w:val="bottom"/>
          </w:tcPr>
          <w:p w14:paraId="0BC9AE13"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AE14" w14:textId="77777777" w:rsidR="009F0928" w:rsidRDefault="002112BD">
            <w:pPr>
              <w:textAlignment w:val="bottom"/>
              <w:rPr>
                <w:rFonts w:ascii="Times New Roman" w:hAnsi="Times New Roman"/>
                <w:sz w:val="18"/>
                <w:szCs w:val="18"/>
              </w:rPr>
            </w:pPr>
            <w:hyperlink r:id="rId63" w:history="1">
              <w:r>
                <w:rPr>
                  <w:rStyle w:val="a5"/>
                  <w:rFonts w:ascii="Arial" w:eastAsia="宋体" w:hAnsi="Arial" w:cs="Arial"/>
                  <w:sz w:val="18"/>
                  <w:szCs w:val="18"/>
                </w:rPr>
                <w:t>Registrant’s 2008 Equity Incentive Award Plan, as amended and restated.</w:t>
              </w:r>
            </w:hyperlink>
          </w:p>
        </w:tc>
        <w:tc>
          <w:tcPr>
            <w:tcW w:w="0" w:type="auto"/>
            <w:shd w:val="clear" w:color="auto" w:fill="auto"/>
            <w:tcMar>
              <w:top w:w="40" w:type="dxa"/>
              <w:left w:w="40" w:type="dxa"/>
              <w:bottom w:w="40" w:type="dxa"/>
              <w:right w:w="40" w:type="dxa"/>
            </w:tcMar>
            <w:vAlign w:val="bottom"/>
          </w:tcPr>
          <w:p w14:paraId="0BC9AE15"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AE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17"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E18"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tcPr>
          <w:p w14:paraId="0BC9AE19"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E1A"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AE1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1C"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4/27/2016</w:t>
            </w:r>
          </w:p>
        </w:tc>
      </w:tr>
      <w:tr w:rsidR="009F0928" w14:paraId="0BC9AE25" w14:textId="77777777">
        <w:trPr>
          <w:jc w:val="center"/>
        </w:trPr>
        <w:tc>
          <w:tcPr>
            <w:tcW w:w="0" w:type="auto"/>
            <w:shd w:val="clear" w:color="auto" w:fill="auto"/>
            <w:tcMar>
              <w:top w:w="40" w:type="dxa"/>
              <w:left w:w="40" w:type="dxa"/>
              <w:bottom w:w="40" w:type="dxa"/>
              <w:right w:w="40" w:type="dxa"/>
            </w:tcMar>
            <w:vAlign w:val="bottom"/>
          </w:tcPr>
          <w:p w14:paraId="0BC9AE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1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2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E2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E2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E2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E2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E31" w14:textId="77777777">
        <w:trPr>
          <w:jc w:val="center"/>
        </w:trPr>
        <w:tc>
          <w:tcPr>
            <w:tcW w:w="0" w:type="auto"/>
            <w:shd w:val="clear" w:color="auto" w:fill="auto"/>
            <w:tcMar>
              <w:top w:w="40" w:type="dxa"/>
              <w:left w:w="40" w:type="dxa"/>
              <w:bottom w:w="40" w:type="dxa"/>
              <w:right w:w="40" w:type="dxa"/>
            </w:tcMar>
          </w:tcPr>
          <w:p w14:paraId="0BC9AE26" w14:textId="77777777" w:rsidR="009F0928" w:rsidRDefault="002112BD">
            <w:pPr>
              <w:textAlignment w:val="top"/>
              <w:rPr>
                <w:rFonts w:ascii="Times New Roman" w:hAnsi="Times New Roman"/>
                <w:sz w:val="18"/>
                <w:szCs w:val="18"/>
              </w:rPr>
            </w:pPr>
            <w:r>
              <w:rPr>
                <w:rFonts w:ascii="Arial" w:eastAsia="宋体" w:hAnsi="Arial" w:cs="Arial"/>
                <w:sz w:val="18"/>
                <w:szCs w:val="18"/>
              </w:rPr>
              <w:t>10.09+</w:t>
            </w:r>
          </w:p>
        </w:tc>
        <w:tc>
          <w:tcPr>
            <w:tcW w:w="0" w:type="auto"/>
            <w:shd w:val="clear" w:color="auto" w:fill="auto"/>
            <w:tcMar>
              <w:top w:w="40" w:type="dxa"/>
              <w:left w:w="40" w:type="dxa"/>
              <w:bottom w:w="40" w:type="dxa"/>
              <w:right w:w="40" w:type="dxa"/>
            </w:tcMar>
            <w:vAlign w:val="bottom"/>
          </w:tcPr>
          <w:p w14:paraId="0BC9AE2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28" w14:textId="77777777" w:rsidR="009F0928" w:rsidRDefault="002112BD">
            <w:pPr>
              <w:textAlignment w:val="bottom"/>
              <w:rPr>
                <w:rFonts w:ascii="Times New Roman" w:hAnsi="Times New Roman"/>
                <w:sz w:val="18"/>
                <w:szCs w:val="18"/>
              </w:rPr>
            </w:pPr>
            <w:hyperlink r:id="rId64" w:history="1">
              <w:r>
                <w:rPr>
                  <w:rStyle w:val="a5"/>
                  <w:rFonts w:ascii="Arial" w:eastAsia="宋体" w:hAnsi="Arial" w:cs="Arial"/>
                  <w:sz w:val="18"/>
                  <w:szCs w:val="18"/>
                </w:rPr>
                <w:t>Form of Restricted Stock Unit Award Agreement under Registrant’s 2003 Deferred Stock Unit Plan and Registrant’s 2008 Equity Incentive Plan.</w:t>
              </w:r>
            </w:hyperlink>
          </w:p>
        </w:tc>
        <w:tc>
          <w:tcPr>
            <w:tcW w:w="0" w:type="auto"/>
            <w:shd w:val="clear" w:color="auto" w:fill="auto"/>
            <w:tcMar>
              <w:top w:w="40" w:type="dxa"/>
              <w:left w:w="40" w:type="dxa"/>
              <w:bottom w:w="40" w:type="dxa"/>
              <w:right w:w="40" w:type="dxa"/>
            </w:tcMar>
            <w:vAlign w:val="bottom"/>
          </w:tcPr>
          <w:p w14:paraId="0BC9AE2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2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2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2C"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AE2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2E"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E2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30"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7/19/2012</w:t>
            </w:r>
          </w:p>
        </w:tc>
      </w:tr>
      <w:tr w:rsidR="009F0928" w14:paraId="0BC9AE3D" w14:textId="77777777">
        <w:trPr>
          <w:jc w:val="center"/>
        </w:trPr>
        <w:tc>
          <w:tcPr>
            <w:tcW w:w="0" w:type="auto"/>
            <w:shd w:val="clear" w:color="auto" w:fill="auto"/>
            <w:tcMar>
              <w:top w:w="40" w:type="dxa"/>
              <w:left w:w="40" w:type="dxa"/>
              <w:bottom w:w="40" w:type="dxa"/>
              <w:right w:w="40" w:type="dxa"/>
            </w:tcMar>
            <w:vAlign w:val="bottom"/>
          </w:tcPr>
          <w:p w14:paraId="0BC9AE3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3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3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3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3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3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3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3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E49" w14:textId="77777777">
        <w:trPr>
          <w:jc w:val="center"/>
        </w:trPr>
        <w:tc>
          <w:tcPr>
            <w:tcW w:w="0" w:type="auto"/>
            <w:shd w:val="clear" w:color="auto" w:fill="auto"/>
            <w:tcMar>
              <w:top w:w="40" w:type="dxa"/>
              <w:left w:w="40" w:type="dxa"/>
              <w:bottom w:w="40" w:type="dxa"/>
              <w:right w:w="40" w:type="dxa"/>
            </w:tcMar>
          </w:tcPr>
          <w:p w14:paraId="0BC9AE3E" w14:textId="77777777" w:rsidR="009F0928" w:rsidRDefault="002112BD">
            <w:pPr>
              <w:textAlignment w:val="top"/>
              <w:rPr>
                <w:rFonts w:ascii="Times New Roman" w:hAnsi="Times New Roman"/>
                <w:sz w:val="18"/>
                <w:szCs w:val="18"/>
              </w:rPr>
            </w:pPr>
            <w:r>
              <w:rPr>
                <w:rFonts w:ascii="Arial" w:eastAsia="宋体" w:hAnsi="Arial" w:cs="Arial"/>
                <w:sz w:val="18"/>
                <w:szCs w:val="18"/>
              </w:rPr>
              <w:t>10.10+</w:t>
            </w:r>
          </w:p>
        </w:tc>
        <w:tc>
          <w:tcPr>
            <w:tcW w:w="0" w:type="auto"/>
            <w:shd w:val="clear" w:color="auto" w:fill="auto"/>
            <w:tcMar>
              <w:top w:w="40" w:type="dxa"/>
              <w:left w:w="40" w:type="dxa"/>
              <w:bottom w:w="40" w:type="dxa"/>
              <w:right w:w="40" w:type="dxa"/>
            </w:tcMar>
            <w:vAlign w:val="bottom"/>
          </w:tcPr>
          <w:p w14:paraId="0BC9AE3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40" w14:textId="77777777" w:rsidR="009F0928" w:rsidRDefault="002112BD">
            <w:pPr>
              <w:textAlignment w:val="bottom"/>
              <w:rPr>
                <w:rFonts w:ascii="Times New Roman" w:hAnsi="Times New Roman"/>
                <w:sz w:val="18"/>
                <w:szCs w:val="18"/>
              </w:rPr>
            </w:pPr>
            <w:hyperlink r:id="rId65" w:history="1">
              <w:r>
                <w:rPr>
                  <w:rStyle w:val="a5"/>
                  <w:rFonts w:ascii="Arial" w:eastAsia="宋体" w:hAnsi="Arial" w:cs="Arial"/>
                  <w:sz w:val="18"/>
                  <w:szCs w:val="18"/>
                </w:rPr>
                <w:t>Form of Restricted Stock Unit Award Agreement (with Modified Vesting) under Registrant’s 2008 Equity Incentive Award Plan.</w:t>
              </w:r>
            </w:hyperlink>
          </w:p>
        </w:tc>
        <w:tc>
          <w:tcPr>
            <w:tcW w:w="0" w:type="auto"/>
            <w:shd w:val="clear" w:color="auto" w:fill="auto"/>
            <w:tcMar>
              <w:top w:w="40" w:type="dxa"/>
              <w:left w:w="40" w:type="dxa"/>
              <w:bottom w:w="40" w:type="dxa"/>
              <w:right w:w="40" w:type="dxa"/>
            </w:tcMar>
            <w:vAlign w:val="bottom"/>
          </w:tcPr>
          <w:p w14:paraId="0BC9AE4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4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4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44"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tcPr>
          <w:p w14:paraId="0BC9AE45"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E46"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tcPr>
          <w:p w14:paraId="0BC9AE47"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E48"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7/19/2012</w:t>
            </w:r>
          </w:p>
        </w:tc>
      </w:tr>
      <w:tr w:rsidR="009F0928" w14:paraId="0BC9AE55" w14:textId="77777777">
        <w:trPr>
          <w:jc w:val="center"/>
        </w:trPr>
        <w:tc>
          <w:tcPr>
            <w:tcW w:w="0" w:type="auto"/>
            <w:shd w:val="clear" w:color="auto" w:fill="auto"/>
            <w:tcMar>
              <w:top w:w="40" w:type="dxa"/>
              <w:left w:w="40" w:type="dxa"/>
              <w:bottom w:w="40" w:type="dxa"/>
              <w:right w:w="40" w:type="dxa"/>
            </w:tcMar>
            <w:vAlign w:val="bottom"/>
          </w:tcPr>
          <w:p w14:paraId="0BC9AE4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4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4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4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4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4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5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5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5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5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5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E61" w14:textId="77777777">
        <w:trPr>
          <w:jc w:val="center"/>
        </w:trPr>
        <w:tc>
          <w:tcPr>
            <w:tcW w:w="0" w:type="auto"/>
            <w:shd w:val="clear" w:color="auto" w:fill="auto"/>
            <w:tcMar>
              <w:top w:w="40" w:type="dxa"/>
              <w:left w:w="40" w:type="dxa"/>
              <w:bottom w:w="40" w:type="dxa"/>
              <w:right w:w="40" w:type="dxa"/>
            </w:tcMar>
          </w:tcPr>
          <w:p w14:paraId="0BC9AE56" w14:textId="77777777" w:rsidR="009F0928" w:rsidRDefault="002112BD">
            <w:pPr>
              <w:textAlignment w:val="top"/>
              <w:rPr>
                <w:rFonts w:ascii="Times New Roman" w:hAnsi="Times New Roman"/>
                <w:sz w:val="18"/>
                <w:szCs w:val="18"/>
              </w:rPr>
            </w:pPr>
            <w:r>
              <w:rPr>
                <w:rFonts w:ascii="Arial" w:eastAsia="宋体" w:hAnsi="Arial" w:cs="Arial"/>
                <w:sz w:val="18"/>
                <w:szCs w:val="18"/>
              </w:rPr>
              <w:t>10.11+</w:t>
            </w:r>
          </w:p>
        </w:tc>
        <w:tc>
          <w:tcPr>
            <w:tcW w:w="0" w:type="auto"/>
            <w:shd w:val="clear" w:color="auto" w:fill="auto"/>
            <w:tcMar>
              <w:top w:w="40" w:type="dxa"/>
              <w:left w:w="40" w:type="dxa"/>
              <w:bottom w:w="40" w:type="dxa"/>
              <w:right w:w="40" w:type="dxa"/>
            </w:tcMar>
            <w:vAlign w:val="bottom"/>
          </w:tcPr>
          <w:p w14:paraId="0BC9AE5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58" w14:textId="77777777" w:rsidR="009F0928" w:rsidRDefault="002112BD">
            <w:pPr>
              <w:textAlignment w:val="bottom"/>
              <w:rPr>
                <w:rFonts w:ascii="Times New Roman" w:hAnsi="Times New Roman"/>
                <w:sz w:val="18"/>
                <w:szCs w:val="18"/>
              </w:rPr>
            </w:pPr>
            <w:hyperlink r:id="rId66" w:history="1">
              <w:r>
                <w:rPr>
                  <w:rStyle w:val="a5"/>
                  <w:rFonts w:ascii="Arial" w:eastAsia="宋体" w:hAnsi="Arial" w:cs="Arial"/>
                  <w:sz w:val="18"/>
                  <w:szCs w:val="18"/>
                </w:rPr>
                <w:t>Form of Stock Option Agreement under Registrant’s 2008 Equity Incentive Award Plan.</w:t>
              </w:r>
            </w:hyperlink>
          </w:p>
        </w:tc>
        <w:tc>
          <w:tcPr>
            <w:tcW w:w="0" w:type="auto"/>
            <w:shd w:val="clear" w:color="auto" w:fill="auto"/>
            <w:tcMar>
              <w:top w:w="40" w:type="dxa"/>
              <w:left w:w="40" w:type="dxa"/>
              <w:bottom w:w="40" w:type="dxa"/>
              <w:right w:w="40" w:type="dxa"/>
            </w:tcMar>
            <w:vAlign w:val="bottom"/>
          </w:tcPr>
          <w:p w14:paraId="0BC9AE5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5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5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5C"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AE5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5E"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E5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60"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7/19/2012</w:t>
            </w:r>
          </w:p>
        </w:tc>
      </w:tr>
      <w:tr w:rsidR="009F0928" w14:paraId="0BC9AE6D" w14:textId="77777777">
        <w:trPr>
          <w:jc w:val="center"/>
        </w:trPr>
        <w:tc>
          <w:tcPr>
            <w:tcW w:w="0" w:type="auto"/>
            <w:shd w:val="clear" w:color="auto" w:fill="auto"/>
            <w:tcMar>
              <w:top w:w="40" w:type="dxa"/>
              <w:left w:w="40" w:type="dxa"/>
              <w:bottom w:w="40" w:type="dxa"/>
              <w:right w:w="40" w:type="dxa"/>
            </w:tcMar>
            <w:vAlign w:val="bottom"/>
          </w:tcPr>
          <w:p w14:paraId="0BC9AE6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6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6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6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6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6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6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6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6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6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E79" w14:textId="77777777">
        <w:trPr>
          <w:jc w:val="center"/>
        </w:trPr>
        <w:tc>
          <w:tcPr>
            <w:tcW w:w="0" w:type="auto"/>
            <w:shd w:val="clear" w:color="auto" w:fill="auto"/>
            <w:tcMar>
              <w:top w:w="40" w:type="dxa"/>
              <w:left w:w="40" w:type="dxa"/>
              <w:bottom w:w="40" w:type="dxa"/>
              <w:right w:w="40" w:type="dxa"/>
            </w:tcMar>
          </w:tcPr>
          <w:p w14:paraId="0BC9AE6E" w14:textId="77777777" w:rsidR="009F0928" w:rsidRDefault="002112BD">
            <w:pPr>
              <w:textAlignment w:val="top"/>
              <w:rPr>
                <w:rFonts w:ascii="Times New Roman" w:hAnsi="Times New Roman"/>
                <w:sz w:val="18"/>
                <w:szCs w:val="18"/>
              </w:rPr>
            </w:pPr>
            <w:r>
              <w:rPr>
                <w:rFonts w:ascii="Arial" w:eastAsia="宋体" w:hAnsi="Arial" w:cs="Arial"/>
                <w:sz w:val="18"/>
                <w:szCs w:val="18"/>
              </w:rPr>
              <w:t>10.12+</w:t>
            </w:r>
          </w:p>
        </w:tc>
        <w:tc>
          <w:tcPr>
            <w:tcW w:w="0" w:type="auto"/>
            <w:shd w:val="clear" w:color="auto" w:fill="auto"/>
            <w:tcMar>
              <w:top w:w="40" w:type="dxa"/>
              <w:left w:w="40" w:type="dxa"/>
              <w:bottom w:w="40" w:type="dxa"/>
              <w:right w:w="40" w:type="dxa"/>
            </w:tcMar>
            <w:vAlign w:val="bottom"/>
          </w:tcPr>
          <w:p w14:paraId="0BC9AE6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70" w14:textId="77777777" w:rsidR="009F0928" w:rsidRDefault="002112BD">
            <w:pPr>
              <w:textAlignment w:val="bottom"/>
              <w:rPr>
                <w:rFonts w:ascii="Times New Roman" w:hAnsi="Times New Roman"/>
                <w:sz w:val="18"/>
                <w:szCs w:val="18"/>
              </w:rPr>
            </w:pPr>
            <w:hyperlink r:id="rId67" w:history="1">
              <w:r>
                <w:rPr>
                  <w:rStyle w:val="a5"/>
                  <w:rFonts w:ascii="Arial" w:eastAsia="宋体" w:hAnsi="Arial" w:cs="Arial"/>
                  <w:sz w:val="18"/>
                  <w:szCs w:val="18"/>
                </w:rPr>
                <w:t>Form of Stock Option Agreement (with Modified Vesting) under Registrant’s 2008 Equity Incentive Award Plan.</w:t>
              </w:r>
            </w:hyperlink>
          </w:p>
        </w:tc>
        <w:tc>
          <w:tcPr>
            <w:tcW w:w="0" w:type="auto"/>
            <w:shd w:val="clear" w:color="auto" w:fill="auto"/>
            <w:tcMar>
              <w:top w:w="40" w:type="dxa"/>
              <w:left w:w="40" w:type="dxa"/>
              <w:bottom w:w="40" w:type="dxa"/>
              <w:right w:w="40" w:type="dxa"/>
            </w:tcMar>
            <w:vAlign w:val="bottom"/>
          </w:tcPr>
          <w:p w14:paraId="0BC9AE7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7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7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74"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tcPr>
          <w:p w14:paraId="0BC9AE75"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E76"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tcPr>
          <w:p w14:paraId="0BC9AE77"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E78"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7/19/2012</w:t>
            </w:r>
          </w:p>
        </w:tc>
      </w:tr>
      <w:tr w:rsidR="009F0928" w14:paraId="0BC9AE85" w14:textId="77777777">
        <w:trPr>
          <w:jc w:val="center"/>
        </w:trPr>
        <w:tc>
          <w:tcPr>
            <w:tcW w:w="0" w:type="auto"/>
            <w:shd w:val="clear" w:color="auto" w:fill="auto"/>
            <w:tcMar>
              <w:top w:w="40" w:type="dxa"/>
              <w:left w:w="40" w:type="dxa"/>
              <w:bottom w:w="40" w:type="dxa"/>
              <w:right w:w="40" w:type="dxa"/>
            </w:tcMar>
            <w:vAlign w:val="bottom"/>
          </w:tcPr>
          <w:p w14:paraId="0BC9AE7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7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7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7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7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7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8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8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8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8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8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E91" w14:textId="77777777">
        <w:trPr>
          <w:jc w:val="center"/>
        </w:trPr>
        <w:tc>
          <w:tcPr>
            <w:tcW w:w="0" w:type="auto"/>
            <w:shd w:val="clear" w:color="auto" w:fill="auto"/>
            <w:tcMar>
              <w:top w:w="40" w:type="dxa"/>
              <w:left w:w="40" w:type="dxa"/>
              <w:bottom w:w="40" w:type="dxa"/>
              <w:right w:w="40" w:type="dxa"/>
            </w:tcMar>
          </w:tcPr>
          <w:p w14:paraId="0BC9AE86" w14:textId="77777777" w:rsidR="009F0928" w:rsidRDefault="002112BD">
            <w:pPr>
              <w:textAlignment w:val="top"/>
              <w:rPr>
                <w:rFonts w:ascii="Times New Roman" w:hAnsi="Times New Roman"/>
                <w:sz w:val="18"/>
                <w:szCs w:val="18"/>
              </w:rPr>
            </w:pPr>
            <w:r>
              <w:rPr>
                <w:rFonts w:ascii="Arial" w:eastAsia="宋体" w:hAnsi="Arial" w:cs="Arial"/>
                <w:sz w:val="18"/>
                <w:szCs w:val="18"/>
              </w:rPr>
              <w:t>10.13+</w:t>
            </w:r>
          </w:p>
        </w:tc>
        <w:tc>
          <w:tcPr>
            <w:tcW w:w="0" w:type="auto"/>
            <w:shd w:val="clear" w:color="auto" w:fill="auto"/>
            <w:tcMar>
              <w:top w:w="40" w:type="dxa"/>
              <w:left w:w="40" w:type="dxa"/>
              <w:bottom w:w="40" w:type="dxa"/>
              <w:right w:w="40" w:type="dxa"/>
            </w:tcMar>
            <w:vAlign w:val="bottom"/>
          </w:tcPr>
          <w:p w14:paraId="0BC9AE8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88" w14:textId="77777777" w:rsidR="009F0928" w:rsidRDefault="002112BD">
            <w:pPr>
              <w:textAlignment w:val="bottom"/>
              <w:rPr>
                <w:rFonts w:ascii="Times New Roman" w:hAnsi="Times New Roman"/>
                <w:sz w:val="18"/>
                <w:szCs w:val="18"/>
              </w:rPr>
            </w:pPr>
            <w:hyperlink r:id="rId68" w:history="1">
              <w:r>
                <w:rPr>
                  <w:rStyle w:val="a5"/>
                  <w:rFonts w:ascii="Arial" w:eastAsia="宋体" w:hAnsi="Arial" w:cs="Arial"/>
                  <w:sz w:val="18"/>
                  <w:szCs w:val="18"/>
                </w:rPr>
                <w:t>Form of Director Deferred Stock Unit Award Agreement under Registrant’s 2008 Equity Incentive Award Plan.</w:t>
              </w:r>
            </w:hyperlink>
          </w:p>
        </w:tc>
        <w:tc>
          <w:tcPr>
            <w:tcW w:w="0" w:type="auto"/>
            <w:shd w:val="clear" w:color="auto" w:fill="auto"/>
            <w:tcMar>
              <w:top w:w="40" w:type="dxa"/>
              <w:left w:w="40" w:type="dxa"/>
              <w:bottom w:w="40" w:type="dxa"/>
              <w:right w:w="40" w:type="dxa"/>
            </w:tcMar>
            <w:vAlign w:val="bottom"/>
          </w:tcPr>
          <w:p w14:paraId="0BC9AE8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8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8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8C"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tcPr>
          <w:p w14:paraId="0BC9AE8D"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E8E"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tcPr>
          <w:p w14:paraId="0BC9AE8F"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E90"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7/19/2012</w:t>
            </w:r>
          </w:p>
        </w:tc>
      </w:tr>
      <w:tr w:rsidR="009F0928" w14:paraId="0BC9AE9D" w14:textId="77777777">
        <w:trPr>
          <w:jc w:val="center"/>
        </w:trPr>
        <w:tc>
          <w:tcPr>
            <w:tcW w:w="0" w:type="auto"/>
            <w:shd w:val="clear" w:color="auto" w:fill="auto"/>
            <w:tcMar>
              <w:top w:w="40" w:type="dxa"/>
              <w:left w:w="40" w:type="dxa"/>
              <w:bottom w:w="40" w:type="dxa"/>
              <w:right w:w="40" w:type="dxa"/>
            </w:tcMar>
            <w:vAlign w:val="bottom"/>
          </w:tcPr>
          <w:p w14:paraId="0BC9AE9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9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9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9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9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9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9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9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9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EA9" w14:textId="77777777">
        <w:trPr>
          <w:jc w:val="center"/>
        </w:trPr>
        <w:tc>
          <w:tcPr>
            <w:tcW w:w="0" w:type="auto"/>
            <w:shd w:val="clear" w:color="auto" w:fill="auto"/>
            <w:tcMar>
              <w:top w:w="40" w:type="dxa"/>
              <w:left w:w="40" w:type="dxa"/>
              <w:bottom w:w="40" w:type="dxa"/>
              <w:right w:w="40" w:type="dxa"/>
            </w:tcMar>
          </w:tcPr>
          <w:p w14:paraId="0BC9AE9E" w14:textId="77777777" w:rsidR="009F0928" w:rsidRDefault="002112BD">
            <w:pPr>
              <w:textAlignment w:val="top"/>
              <w:rPr>
                <w:rFonts w:ascii="Times New Roman" w:hAnsi="Times New Roman"/>
                <w:sz w:val="18"/>
                <w:szCs w:val="18"/>
              </w:rPr>
            </w:pPr>
            <w:r>
              <w:rPr>
                <w:rFonts w:ascii="Arial" w:eastAsia="宋体" w:hAnsi="Arial" w:cs="Arial"/>
                <w:sz w:val="18"/>
                <w:szCs w:val="18"/>
              </w:rPr>
              <w:t>10.14+</w:t>
            </w:r>
          </w:p>
        </w:tc>
        <w:tc>
          <w:tcPr>
            <w:tcW w:w="0" w:type="auto"/>
            <w:shd w:val="clear" w:color="auto" w:fill="auto"/>
            <w:tcMar>
              <w:top w:w="40" w:type="dxa"/>
              <w:left w:w="40" w:type="dxa"/>
              <w:bottom w:w="40" w:type="dxa"/>
              <w:right w:w="40" w:type="dxa"/>
            </w:tcMar>
            <w:vAlign w:val="bottom"/>
          </w:tcPr>
          <w:p w14:paraId="0BC9AE9F"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AEA0" w14:textId="77777777" w:rsidR="009F0928" w:rsidRDefault="002112BD">
            <w:pPr>
              <w:textAlignment w:val="bottom"/>
              <w:rPr>
                <w:rFonts w:ascii="Times New Roman" w:hAnsi="Times New Roman"/>
                <w:sz w:val="18"/>
                <w:szCs w:val="18"/>
              </w:rPr>
            </w:pPr>
            <w:hyperlink r:id="rId69" w:history="1">
              <w:r>
                <w:rPr>
                  <w:rStyle w:val="a5"/>
                  <w:rFonts w:ascii="Arial" w:eastAsia="宋体" w:hAnsi="Arial" w:cs="Arial"/>
                  <w:sz w:val="18"/>
                  <w:szCs w:val="18"/>
                </w:rPr>
                <w:t>Amended and Restated eBay Incentive Plan.</w:t>
              </w:r>
            </w:hyperlink>
          </w:p>
        </w:tc>
        <w:tc>
          <w:tcPr>
            <w:tcW w:w="0" w:type="auto"/>
            <w:shd w:val="clear" w:color="auto" w:fill="auto"/>
            <w:tcMar>
              <w:top w:w="40" w:type="dxa"/>
              <w:left w:w="40" w:type="dxa"/>
              <w:bottom w:w="40" w:type="dxa"/>
              <w:right w:w="40" w:type="dxa"/>
            </w:tcMar>
            <w:vAlign w:val="bottom"/>
          </w:tcPr>
          <w:p w14:paraId="0BC9AEA1"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AEA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A3"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EA4"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tcPr>
          <w:p w14:paraId="0BC9AEA5"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EA6"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tcPr>
          <w:p w14:paraId="0BC9AEA7"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EA8"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5/5/2015</w:t>
            </w:r>
          </w:p>
        </w:tc>
      </w:tr>
      <w:tr w:rsidR="009F0928" w14:paraId="0BC9AEB5" w14:textId="77777777">
        <w:trPr>
          <w:jc w:val="center"/>
        </w:trPr>
        <w:tc>
          <w:tcPr>
            <w:tcW w:w="0" w:type="auto"/>
            <w:shd w:val="clear" w:color="auto" w:fill="auto"/>
            <w:tcMar>
              <w:top w:w="40" w:type="dxa"/>
              <w:left w:w="40" w:type="dxa"/>
              <w:bottom w:w="40" w:type="dxa"/>
              <w:right w:w="40" w:type="dxa"/>
            </w:tcMar>
            <w:vAlign w:val="bottom"/>
          </w:tcPr>
          <w:p w14:paraId="0BC9AEA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A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A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A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A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A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B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B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EC1" w14:textId="77777777">
        <w:trPr>
          <w:jc w:val="center"/>
        </w:trPr>
        <w:tc>
          <w:tcPr>
            <w:tcW w:w="0" w:type="auto"/>
            <w:shd w:val="clear" w:color="auto" w:fill="auto"/>
            <w:tcMar>
              <w:top w:w="40" w:type="dxa"/>
              <w:left w:w="40" w:type="dxa"/>
              <w:bottom w:w="40" w:type="dxa"/>
              <w:right w:w="40" w:type="dxa"/>
            </w:tcMar>
          </w:tcPr>
          <w:p w14:paraId="0BC9AEB6" w14:textId="77777777" w:rsidR="009F0928" w:rsidRDefault="002112BD">
            <w:pPr>
              <w:textAlignment w:val="top"/>
              <w:rPr>
                <w:rFonts w:ascii="Times New Roman" w:hAnsi="Times New Roman"/>
                <w:sz w:val="18"/>
                <w:szCs w:val="18"/>
              </w:rPr>
            </w:pPr>
            <w:r>
              <w:rPr>
                <w:rFonts w:ascii="Arial" w:eastAsia="宋体" w:hAnsi="Arial" w:cs="Arial"/>
                <w:sz w:val="18"/>
                <w:szCs w:val="18"/>
              </w:rPr>
              <w:t>10.15+</w:t>
            </w:r>
          </w:p>
        </w:tc>
        <w:tc>
          <w:tcPr>
            <w:tcW w:w="0" w:type="auto"/>
            <w:shd w:val="clear" w:color="auto" w:fill="auto"/>
            <w:tcMar>
              <w:top w:w="40" w:type="dxa"/>
              <w:left w:w="40" w:type="dxa"/>
              <w:bottom w:w="40" w:type="dxa"/>
              <w:right w:w="40" w:type="dxa"/>
            </w:tcMar>
            <w:vAlign w:val="bottom"/>
          </w:tcPr>
          <w:p w14:paraId="0BC9AEB7"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AEB8" w14:textId="77777777" w:rsidR="009F0928" w:rsidRDefault="002112BD">
            <w:pPr>
              <w:textAlignment w:val="bottom"/>
              <w:rPr>
                <w:rFonts w:ascii="Times New Roman" w:hAnsi="Times New Roman"/>
                <w:sz w:val="18"/>
                <w:szCs w:val="18"/>
              </w:rPr>
            </w:pPr>
            <w:hyperlink r:id="rId70" w:history="1">
              <w:r>
                <w:rPr>
                  <w:rStyle w:val="a5"/>
                  <w:rFonts w:ascii="Arial" w:eastAsia="宋体" w:hAnsi="Arial" w:cs="Arial"/>
                  <w:sz w:val="18"/>
                  <w:szCs w:val="18"/>
                </w:rPr>
                <w:t>eBay Inc. Deferred Compensation Plan, as amended and restated effective April 1, 2018</w:t>
              </w:r>
            </w:hyperlink>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AEB9"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AEB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BB"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AEBC"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10-K</w:t>
            </w:r>
          </w:p>
        </w:tc>
        <w:tc>
          <w:tcPr>
            <w:tcW w:w="0" w:type="auto"/>
            <w:shd w:val="clear" w:color="auto" w:fill="auto"/>
            <w:tcMar>
              <w:top w:w="40" w:type="dxa"/>
              <w:left w:w="40" w:type="dxa"/>
              <w:bottom w:w="40" w:type="dxa"/>
              <w:right w:w="40" w:type="dxa"/>
            </w:tcMar>
            <w:vAlign w:val="bottom"/>
          </w:tcPr>
          <w:p w14:paraId="0BC9AEB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BE"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AEB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C0"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1/30/2019</w:t>
            </w:r>
          </w:p>
        </w:tc>
      </w:tr>
      <w:tr w:rsidR="009F0928" w14:paraId="0BC9AECD" w14:textId="77777777">
        <w:trPr>
          <w:jc w:val="center"/>
        </w:trPr>
        <w:tc>
          <w:tcPr>
            <w:tcW w:w="0" w:type="auto"/>
            <w:shd w:val="clear" w:color="auto" w:fill="auto"/>
            <w:tcMar>
              <w:top w:w="40" w:type="dxa"/>
              <w:left w:w="40" w:type="dxa"/>
              <w:bottom w:w="40" w:type="dxa"/>
              <w:right w:w="40" w:type="dxa"/>
            </w:tcMar>
            <w:vAlign w:val="bottom"/>
          </w:tcPr>
          <w:p w14:paraId="0BC9AEC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C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C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C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C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C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C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C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C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C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C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ED9" w14:textId="77777777">
        <w:trPr>
          <w:jc w:val="center"/>
        </w:trPr>
        <w:tc>
          <w:tcPr>
            <w:tcW w:w="0" w:type="auto"/>
            <w:shd w:val="clear" w:color="auto" w:fill="auto"/>
            <w:tcMar>
              <w:top w:w="40" w:type="dxa"/>
              <w:left w:w="40" w:type="dxa"/>
              <w:bottom w:w="40" w:type="dxa"/>
              <w:right w:w="40" w:type="dxa"/>
            </w:tcMar>
          </w:tcPr>
          <w:p w14:paraId="0BC9AECE" w14:textId="77777777" w:rsidR="009F0928" w:rsidRDefault="002112BD">
            <w:pPr>
              <w:textAlignment w:val="top"/>
              <w:rPr>
                <w:rFonts w:ascii="Times New Roman" w:hAnsi="Times New Roman"/>
                <w:sz w:val="18"/>
                <w:szCs w:val="18"/>
              </w:rPr>
            </w:pPr>
            <w:r>
              <w:rPr>
                <w:rFonts w:ascii="Arial" w:eastAsia="宋体" w:hAnsi="Arial" w:cs="Arial"/>
                <w:sz w:val="18"/>
                <w:szCs w:val="18"/>
              </w:rPr>
              <w:t>10.16+</w:t>
            </w:r>
          </w:p>
        </w:tc>
        <w:tc>
          <w:tcPr>
            <w:tcW w:w="0" w:type="auto"/>
            <w:shd w:val="clear" w:color="auto" w:fill="auto"/>
            <w:tcMar>
              <w:top w:w="40" w:type="dxa"/>
              <w:left w:w="40" w:type="dxa"/>
              <w:bottom w:w="40" w:type="dxa"/>
              <w:right w:w="40" w:type="dxa"/>
            </w:tcMar>
            <w:vAlign w:val="bottom"/>
          </w:tcPr>
          <w:p w14:paraId="0BC9AE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D0" w14:textId="77777777" w:rsidR="009F0928" w:rsidRDefault="002112BD">
            <w:pPr>
              <w:textAlignment w:val="top"/>
              <w:rPr>
                <w:rFonts w:ascii="Times New Roman" w:hAnsi="Times New Roman"/>
                <w:sz w:val="18"/>
                <w:szCs w:val="18"/>
              </w:rPr>
            </w:pPr>
            <w:hyperlink r:id="rId71" w:history="1">
              <w:r>
                <w:rPr>
                  <w:rStyle w:val="a5"/>
                  <w:rFonts w:ascii="Arial" w:eastAsia="宋体" w:hAnsi="Arial" w:cs="Arial"/>
                  <w:sz w:val="18"/>
                  <w:szCs w:val="18"/>
                </w:rPr>
                <w:t>eBay Inc. Employee Stock Purchase Plan.</w:t>
              </w:r>
            </w:hyperlink>
          </w:p>
        </w:tc>
        <w:tc>
          <w:tcPr>
            <w:tcW w:w="0" w:type="auto"/>
            <w:shd w:val="clear" w:color="auto" w:fill="auto"/>
            <w:tcMar>
              <w:top w:w="40" w:type="dxa"/>
              <w:left w:w="40" w:type="dxa"/>
              <w:bottom w:w="40" w:type="dxa"/>
              <w:right w:w="40" w:type="dxa"/>
            </w:tcMar>
            <w:vAlign w:val="bottom"/>
          </w:tcPr>
          <w:p w14:paraId="0BC9AED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D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D4"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DEF 14A</w:t>
            </w:r>
          </w:p>
        </w:tc>
        <w:tc>
          <w:tcPr>
            <w:tcW w:w="0" w:type="auto"/>
            <w:shd w:val="clear" w:color="auto" w:fill="auto"/>
            <w:tcMar>
              <w:top w:w="40" w:type="dxa"/>
              <w:left w:w="40" w:type="dxa"/>
              <w:bottom w:w="40" w:type="dxa"/>
              <w:right w:w="40" w:type="dxa"/>
            </w:tcMar>
            <w:vAlign w:val="bottom"/>
          </w:tcPr>
          <w:p w14:paraId="0BC9AED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D6"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ED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D8"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3/19/2012</w:t>
            </w:r>
          </w:p>
        </w:tc>
      </w:tr>
      <w:tr w:rsidR="009F0928" w14:paraId="0BC9AEE5" w14:textId="77777777">
        <w:trPr>
          <w:jc w:val="center"/>
        </w:trPr>
        <w:tc>
          <w:tcPr>
            <w:tcW w:w="0" w:type="auto"/>
            <w:shd w:val="clear" w:color="auto" w:fill="auto"/>
            <w:tcMar>
              <w:top w:w="40" w:type="dxa"/>
              <w:left w:w="40" w:type="dxa"/>
              <w:bottom w:w="40" w:type="dxa"/>
              <w:right w:w="40" w:type="dxa"/>
            </w:tcMar>
            <w:vAlign w:val="bottom"/>
          </w:tcPr>
          <w:p w14:paraId="0BC9AED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D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D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D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D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E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E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E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E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EF1" w14:textId="77777777">
        <w:trPr>
          <w:jc w:val="center"/>
        </w:trPr>
        <w:tc>
          <w:tcPr>
            <w:tcW w:w="0" w:type="auto"/>
            <w:shd w:val="clear" w:color="auto" w:fill="auto"/>
            <w:tcMar>
              <w:top w:w="40" w:type="dxa"/>
              <w:left w:w="40" w:type="dxa"/>
              <w:bottom w:w="40" w:type="dxa"/>
              <w:right w:w="40" w:type="dxa"/>
            </w:tcMar>
          </w:tcPr>
          <w:p w14:paraId="0BC9AEE6" w14:textId="77777777" w:rsidR="009F0928" w:rsidRDefault="002112BD">
            <w:pPr>
              <w:textAlignment w:val="top"/>
              <w:rPr>
                <w:rFonts w:ascii="Times New Roman" w:hAnsi="Times New Roman"/>
                <w:sz w:val="18"/>
                <w:szCs w:val="18"/>
              </w:rPr>
            </w:pPr>
            <w:r>
              <w:rPr>
                <w:rFonts w:ascii="Arial" w:eastAsia="宋体" w:hAnsi="Arial" w:cs="Arial"/>
                <w:sz w:val="18"/>
                <w:szCs w:val="18"/>
              </w:rPr>
              <w:t>10.17</w:t>
            </w:r>
          </w:p>
        </w:tc>
        <w:tc>
          <w:tcPr>
            <w:tcW w:w="0" w:type="auto"/>
            <w:shd w:val="clear" w:color="auto" w:fill="auto"/>
            <w:tcMar>
              <w:top w:w="40" w:type="dxa"/>
              <w:left w:w="40" w:type="dxa"/>
              <w:bottom w:w="40" w:type="dxa"/>
              <w:right w:w="40" w:type="dxa"/>
            </w:tcMar>
            <w:vAlign w:val="bottom"/>
          </w:tcPr>
          <w:p w14:paraId="0BC9AEE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E8" w14:textId="77777777" w:rsidR="009F0928" w:rsidRDefault="002112BD">
            <w:pPr>
              <w:textAlignment w:val="top"/>
              <w:rPr>
                <w:rFonts w:ascii="Times New Roman" w:hAnsi="Times New Roman"/>
                <w:sz w:val="18"/>
                <w:szCs w:val="18"/>
              </w:rPr>
            </w:pPr>
            <w:hyperlink r:id="rId72" w:history="1">
              <w:r>
                <w:rPr>
                  <w:rStyle w:val="a5"/>
                  <w:rFonts w:ascii="Arial" w:eastAsia="宋体" w:hAnsi="Arial" w:cs="Arial"/>
                  <w:sz w:val="18"/>
                  <w:szCs w:val="18"/>
                </w:rPr>
                <w:t>Credit Agreement, dated as of November 9, 2015, by and among Registrant, JPMorgan Chase Bank, N.A., as Administrative Agent, and the other parties thereto.</w:t>
              </w:r>
            </w:hyperlink>
          </w:p>
        </w:tc>
        <w:tc>
          <w:tcPr>
            <w:tcW w:w="0" w:type="auto"/>
            <w:shd w:val="clear" w:color="auto" w:fill="auto"/>
            <w:tcMar>
              <w:top w:w="40" w:type="dxa"/>
              <w:left w:w="40" w:type="dxa"/>
              <w:bottom w:w="40" w:type="dxa"/>
              <w:right w:w="40" w:type="dxa"/>
            </w:tcMar>
            <w:vAlign w:val="bottom"/>
          </w:tcPr>
          <w:p w14:paraId="0BC9AEE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E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E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EC"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AEE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EE"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EE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EF0"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11/12/2015</w:t>
            </w:r>
          </w:p>
        </w:tc>
      </w:tr>
      <w:tr w:rsidR="009F0928" w14:paraId="0BC9AEFD" w14:textId="77777777">
        <w:trPr>
          <w:jc w:val="center"/>
        </w:trPr>
        <w:tc>
          <w:tcPr>
            <w:tcW w:w="0" w:type="auto"/>
            <w:shd w:val="clear" w:color="auto" w:fill="auto"/>
            <w:tcMar>
              <w:top w:w="40" w:type="dxa"/>
              <w:left w:w="40" w:type="dxa"/>
              <w:bottom w:w="40" w:type="dxa"/>
              <w:right w:w="40" w:type="dxa"/>
            </w:tcMar>
            <w:vAlign w:val="bottom"/>
          </w:tcPr>
          <w:p w14:paraId="0BC9AEF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F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F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F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F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F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F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F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EF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F09" w14:textId="77777777">
        <w:trPr>
          <w:jc w:val="center"/>
        </w:trPr>
        <w:tc>
          <w:tcPr>
            <w:tcW w:w="0" w:type="auto"/>
            <w:shd w:val="clear" w:color="auto" w:fill="auto"/>
            <w:tcMar>
              <w:top w:w="40" w:type="dxa"/>
              <w:left w:w="40" w:type="dxa"/>
              <w:bottom w:w="40" w:type="dxa"/>
              <w:right w:w="40" w:type="dxa"/>
            </w:tcMar>
          </w:tcPr>
          <w:p w14:paraId="0BC9AEFE" w14:textId="77777777" w:rsidR="009F0928" w:rsidRDefault="002112BD">
            <w:pPr>
              <w:textAlignment w:val="top"/>
              <w:rPr>
                <w:rFonts w:ascii="Times New Roman" w:hAnsi="Times New Roman"/>
                <w:sz w:val="18"/>
                <w:szCs w:val="18"/>
              </w:rPr>
            </w:pPr>
            <w:r>
              <w:rPr>
                <w:rFonts w:ascii="Arial" w:eastAsia="宋体" w:hAnsi="Arial" w:cs="Arial"/>
                <w:sz w:val="18"/>
                <w:szCs w:val="18"/>
              </w:rPr>
              <w:t>10.18+</w:t>
            </w:r>
          </w:p>
        </w:tc>
        <w:tc>
          <w:tcPr>
            <w:tcW w:w="0" w:type="auto"/>
            <w:shd w:val="clear" w:color="auto" w:fill="auto"/>
            <w:tcMar>
              <w:top w:w="40" w:type="dxa"/>
              <w:left w:w="40" w:type="dxa"/>
              <w:bottom w:w="40" w:type="dxa"/>
              <w:right w:w="40" w:type="dxa"/>
            </w:tcMar>
            <w:vAlign w:val="bottom"/>
          </w:tcPr>
          <w:p w14:paraId="0BC9AEF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00" w14:textId="77777777" w:rsidR="009F0928" w:rsidRDefault="002112BD">
            <w:pPr>
              <w:textAlignment w:val="top"/>
              <w:rPr>
                <w:rFonts w:ascii="Times New Roman" w:hAnsi="Times New Roman"/>
                <w:sz w:val="18"/>
                <w:szCs w:val="18"/>
              </w:rPr>
            </w:pPr>
            <w:hyperlink r:id="rId73" w:history="1">
              <w:r>
                <w:rPr>
                  <w:rStyle w:val="a5"/>
                  <w:rFonts w:ascii="Arial" w:eastAsia="宋体" w:hAnsi="Arial" w:cs="Arial"/>
                  <w:sz w:val="18"/>
                  <w:szCs w:val="18"/>
                </w:rPr>
                <w:t>Form of New Director Award Agreement under Registrant’s 2008 Equity Incentive Award Plan.</w:t>
              </w:r>
            </w:hyperlink>
          </w:p>
        </w:tc>
        <w:tc>
          <w:tcPr>
            <w:tcW w:w="0" w:type="auto"/>
            <w:shd w:val="clear" w:color="auto" w:fill="auto"/>
            <w:tcMar>
              <w:top w:w="40" w:type="dxa"/>
              <w:left w:w="40" w:type="dxa"/>
              <w:bottom w:w="40" w:type="dxa"/>
              <w:right w:w="40" w:type="dxa"/>
            </w:tcMar>
            <w:vAlign w:val="bottom"/>
          </w:tcPr>
          <w:p w14:paraId="0BC9AF0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0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0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04"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AF0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06"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F0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08"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4/19/2013</w:t>
            </w:r>
          </w:p>
        </w:tc>
      </w:tr>
      <w:tr w:rsidR="009F0928" w14:paraId="0BC9AF15" w14:textId="77777777">
        <w:trPr>
          <w:jc w:val="center"/>
        </w:trPr>
        <w:tc>
          <w:tcPr>
            <w:tcW w:w="0" w:type="auto"/>
            <w:shd w:val="clear" w:color="auto" w:fill="auto"/>
            <w:tcMar>
              <w:top w:w="40" w:type="dxa"/>
              <w:left w:w="40" w:type="dxa"/>
              <w:bottom w:w="40" w:type="dxa"/>
              <w:right w:w="40" w:type="dxa"/>
            </w:tcMar>
            <w:vAlign w:val="bottom"/>
          </w:tcPr>
          <w:p w14:paraId="0BC9AF0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0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0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0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0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0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1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1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1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1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F21" w14:textId="77777777">
        <w:trPr>
          <w:jc w:val="center"/>
        </w:trPr>
        <w:tc>
          <w:tcPr>
            <w:tcW w:w="0" w:type="auto"/>
            <w:shd w:val="clear" w:color="auto" w:fill="auto"/>
            <w:tcMar>
              <w:top w:w="40" w:type="dxa"/>
              <w:left w:w="40" w:type="dxa"/>
              <w:bottom w:w="40" w:type="dxa"/>
              <w:right w:w="40" w:type="dxa"/>
            </w:tcMar>
          </w:tcPr>
          <w:p w14:paraId="0BC9AF16" w14:textId="77777777" w:rsidR="009F0928" w:rsidRDefault="002112BD">
            <w:pPr>
              <w:textAlignment w:val="top"/>
              <w:rPr>
                <w:rFonts w:ascii="Times New Roman" w:hAnsi="Times New Roman"/>
                <w:sz w:val="18"/>
                <w:szCs w:val="18"/>
              </w:rPr>
            </w:pPr>
            <w:r>
              <w:rPr>
                <w:rFonts w:ascii="Arial" w:eastAsia="宋体" w:hAnsi="Arial" w:cs="Arial"/>
                <w:sz w:val="18"/>
                <w:szCs w:val="18"/>
              </w:rPr>
              <w:t>10.19+</w:t>
            </w:r>
          </w:p>
        </w:tc>
        <w:tc>
          <w:tcPr>
            <w:tcW w:w="0" w:type="auto"/>
            <w:shd w:val="clear" w:color="auto" w:fill="auto"/>
            <w:tcMar>
              <w:top w:w="40" w:type="dxa"/>
              <w:left w:w="40" w:type="dxa"/>
              <w:bottom w:w="40" w:type="dxa"/>
              <w:right w:w="40" w:type="dxa"/>
            </w:tcMar>
            <w:vAlign w:val="bottom"/>
          </w:tcPr>
          <w:p w14:paraId="0BC9AF1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18" w14:textId="77777777" w:rsidR="009F0928" w:rsidRDefault="002112BD">
            <w:pPr>
              <w:textAlignment w:val="top"/>
              <w:rPr>
                <w:rFonts w:ascii="Times New Roman" w:hAnsi="Times New Roman"/>
                <w:sz w:val="18"/>
                <w:szCs w:val="18"/>
              </w:rPr>
            </w:pPr>
            <w:hyperlink r:id="rId74" w:history="1">
              <w:r>
                <w:rPr>
                  <w:rStyle w:val="a5"/>
                  <w:rFonts w:ascii="Arial" w:eastAsia="宋体" w:hAnsi="Arial" w:cs="Arial"/>
                  <w:sz w:val="18"/>
                  <w:szCs w:val="18"/>
                </w:rPr>
                <w:t>Form of Director Annual Award Agreement under Registrant’s 2008 Equity Incentive Award Plan.</w:t>
              </w:r>
            </w:hyperlink>
          </w:p>
        </w:tc>
        <w:tc>
          <w:tcPr>
            <w:tcW w:w="0" w:type="auto"/>
            <w:shd w:val="clear" w:color="auto" w:fill="auto"/>
            <w:tcMar>
              <w:top w:w="40" w:type="dxa"/>
              <w:left w:w="40" w:type="dxa"/>
              <w:bottom w:w="40" w:type="dxa"/>
              <w:right w:w="40" w:type="dxa"/>
            </w:tcMar>
            <w:vAlign w:val="bottom"/>
          </w:tcPr>
          <w:p w14:paraId="0BC9AF1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1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1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1C"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AF1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1E"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F1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20"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4/19/2013</w:t>
            </w:r>
          </w:p>
        </w:tc>
      </w:tr>
      <w:tr w:rsidR="009F0928" w14:paraId="0BC9AF2D" w14:textId="77777777">
        <w:trPr>
          <w:jc w:val="center"/>
        </w:trPr>
        <w:tc>
          <w:tcPr>
            <w:tcW w:w="0" w:type="auto"/>
            <w:shd w:val="clear" w:color="auto" w:fill="auto"/>
            <w:tcMar>
              <w:top w:w="40" w:type="dxa"/>
              <w:left w:w="40" w:type="dxa"/>
              <w:bottom w:w="40" w:type="dxa"/>
              <w:right w:w="40" w:type="dxa"/>
            </w:tcMar>
            <w:vAlign w:val="bottom"/>
          </w:tcPr>
          <w:p w14:paraId="0BC9AF2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2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2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2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2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2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2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2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2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2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2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F39" w14:textId="77777777">
        <w:trPr>
          <w:jc w:val="center"/>
        </w:trPr>
        <w:tc>
          <w:tcPr>
            <w:tcW w:w="0" w:type="auto"/>
            <w:shd w:val="clear" w:color="auto" w:fill="auto"/>
            <w:tcMar>
              <w:top w:w="40" w:type="dxa"/>
              <w:left w:w="40" w:type="dxa"/>
              <w:bottom w:w="40" w:type="dxa"/>
              <w:right w:w="40" w:type="dxa"/>
            </w:tcMar>
          </w:tcPr>
          <w:p w14:paraId="0BC9AF2E" w14:textId="77777777" w:rsidR="009F0928" w:rsidRDefault="002112BD">
            <w:pPr>
              <w:textAlignment w:val="top"/>
              <w:rPr>
                <w:rFonts w:ascii="Times New Roman" w:hAnsi="Times New Roman"/>
                <w:sz w:val="18"/>
                <w:szCs w:val="18"/>
              </w:rPr>
            </w:pPr>
            <w:r>
              <w:rPr>
                <w:rFonts w:ascii="Arial" w:eastAsia="宋体" w:hAnsi="Arial" w:cs="Arial"/>
                <w:sz w:val="18"/>
                <w:szCs w:val="18"/>
              </w:rPr>
              <w:t>10.20+</w:t>
            </w:r>
          </w:p>
        </w:tc>
        <w:tc>
          <w:tcPr>
            <w:tcW w:w="0" w:type="auto"/>
            <w:shd w:val="clear" w:color="auto" w:fill="auto"/>
            <w:tcMar>
              <w:top w:w="40" w:type="dxa"/>
              <w:left w:w="40" w:type="dxa"/>
              <w:bottom w:w="40" w:type="dxa"/>
              <w:right w:w="40" w:type="dxa"/>
            </w:tcMar>
            <w:vAlign w:val="bottom"/>
          </w:tcPr>
          <w:p w14:paraId="0BC9AF2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30" w14:textId="77777777" w:rsidR="009F0928" w:rsidRDefault="002112BD">
            <w:pPr>
              <w:textAlignment w:val="top"/>
              <w:rPr>
                <w:rFonts w:ascii="Times New Roman" w:hAnsi="Times New Roman"/>
                <w:sz w:val="18"/>
                <w:szCs w:val="18"/>
              </w:rPr>
            </w:pPr>
            <w:hyperlink r:id="rId75" w:history="1">
              <w:r>
                <w:rPr>
                  <w:rStyle w:val="a5"/>
                  <w:rFonts w:ascii="Arial" w:eastAsia="宋体" w:hAnsi="Arial" w:cs="Arial"/>
                  <w:sz w:val="18"/>
                  <w:szCs w:val="18"/>
                </w:rPr>
                <w:t>Form of Electing Director Quarterly Award Agreement under Registrant’s 2008 Equity Incentive Award Plan.</w:t>
              </w:r>
            </w:hyperlink>
          </w:p>
        </w:tc>
        <w:tc>
          <w:tcPr>
            <w:tcW w:w="0" w:type="auto"/>
            <w:shd w:val="clear" w:color="auto" w:fill="auto"/>
            <w:tcMar>
              <w:top w:w="40" w:type="dxa"/>
              <w:left w:w="40" w:type="dxa"/>
              <w:bottom w:w="40" w:type="dxa"/>
              <w:right w:w="40" w:type="dxa"/>
            </w:tcMar>
            <w:vAlign w:val="bottom"/>
          </w:tcPr>
          <w:p w14:paraId="0BC9AF3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3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3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34"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AF3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36"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F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38"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4/19/2013</w:t>
            </w:r>
          </w:p>
        </w:tc>
      </w:tr>
      <w:tr w:rsidR="009F0928" w14:paraId="0BC9AF45" w14:textId="77777777">
        <w:trPr>
          <w:jc w:val="center"/>
        </w:trPr>
        <w:tc>
          <w:tcPr>
            <w:tcW w:w="0" w:type="auto"/>
            <w:shd w:val="clear" w:color="auto" w:fill="auto"/>
            <w:tcMar>
              <w:top w:w="40" w:type="dxa"/>
              <w:left w:w="40" w:type="dxa"/>
              <w:bottom w:w="40" w:type="dxa"/>
              <w:right w:w="40" w:type="dxa"/>
            </w:tcMar>
            <w:vAlign w:val="bottom"/>
          </w:tcPr>
          <w:p w14:paraId="0BC9AF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3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3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3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3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4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4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4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4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4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F51" w14:textId="77777777">
        <w:trPr>
          <w:jc w:val="center"/>
        </w:trPr>
        <w:tc>
          <w:tcPr>
            <w:tcW w:w="0" w:type="auto"/>
            <w:shd w:val="clear" w:color="auto" w:fill="auto"/>
            <w:tcMar>
              <w:top w:w="40" w:type="dxa"/>
              <w:left w:w="40" w:type="dxa"/>
              <w:bottom w:w="40" w:type="dxa"/>
              <w:right w:w="40" w:type="dxa"/>
            </w:tcMar>
          </w:tcPr>
          <w:p w14:paraId="0BC9AF46" w14:textId="77777777" w:rsidR="009F0928" w:rsidRDefault="002112BD">
            <w:pPr>
              <w:textAlignment w:val="top"/>
              <w:rPr>
                <w:rFonts w:ascii="Times New Roman" w:hAnsi="Times New Roman"/>
                <w:sz w:val="18"/>
                <w:szCs w:val="18"/>
              </w:rPr>
            </w:pPr>
            <w:r>
              <w:rPr>
                <w:rFonts w:ascii="Arial" w:eastAsia="宋体" w:hAnsi="Arial" w:cs="Arial"/>
                <w:sz w:val="18"/>
                <w:szCs w:val="18"/>
              </w:rPr>
              <w:t>10.21+</w:t>
            </w:r>
          </w:p>
        </w:tc>
        <w:tc>
          <w:tcPr>
            <w:tcW w:w="0" w:type="auto"/>
            <w:shd w:val="clear" w:color="auto" w:fill="auto"/>
            <w:tcMar>
              <w:top w:w="40" w:type="dxa"/>
              <w:left w:w="40" w:type="dxa"/>
              <w:bottom w:w="40" w:type="dxa"/>
              <w:right w:w="40" w:type="dxa"/>
            </w:tcMar>
            <w:vAlign w:val="bottom"/>
          </w:tcPr>
          <w:p w14:paraId="0BC9AF4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48" w14:textId="77777777" w:rsidR="009F0928" w:rsidRDefault="002112BD">
            <w:pPr>
              <w:textAlignment w:val="top"/>
              <w:rPr>
                <w:rFonts w:ascii="Times New Roman" w:hAnsi="Times New Roman"/>
                <w:sz w:val="18"/>
                <w:szCs w:val="18"/>
              </w:rPr>
            </w:pPr>
            <w:hyperlink r:id="rId76" w:history="1">
              <w:r>
                <w:rPr>
                  <w:rStyle w:val="a5"/>
                  <w:rFonts w:ascii="Arial" w:eastAsia="宋体" w:hAnsi="Arial" w:cs="Arial"/>
                  <w:sz w:val="18"/>
                  <w:szCs w:val="18"/>
                </w:rPr>
                <w:t>Form of Performance Share Unit Award Agreement under Registrant’s 2008 Equity Incentive Award Plan.</w:t>
              </w:r>
            </w:hyperlink>
          </w:p>
        </w:tc>
        <w:tc>
          <w:tcPr>
            <w:tcW w:w="0" w:type="auto"/>
            <w:shd w:val="clear" w:color="auto" w:fill="auto"/>
            <w:tcMar>
              <w:top w:w="40" w:type="dxa"/>
              <w:left w:w="40" w:type="dxa"/>
              <w:bottom w:w="40" w:type="dxa"/>
              <w:right w:w="40" w:type="dxa"/>
            </w:tcMar>
            <w:vAlign w:val="bottom"/>
          </w:tcPr>
          <w:p w14:paraId="0BC9AF4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4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4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4C"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AF4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4E"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F4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50"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4/19/2013</w:t>
            </w:r>
          </w:p>
        </w:tc>
      </w:tr>
      <w:tr w:rsidR="009F0928" w14:paraId="0BC9AF59" w14:textId="77777777">
        <w:trPr>
          <w:jc w:val="center"/>
        </w:trPr>
        <w:tc>
          <w:tcPr>
            <w:tcW w:w="0" w:type="auto"/>
            <w:shd w:val="clear" w:color="auto" w:fill="auto"/>
            <w:tcMar>
              <w:top w:w="40" w:type="dxa"/>
              <w:left w:w="40" w:type="dxa"/>
              <w:bottom w:w="40" w:type="dxa"/>
              <w:right w:w="40" w:type="dxa"/>
            </w:tcMar>
            <w:vAlign w:val="bottom"/>
          </w:tcPr>
          <w:p w14:paraId="0BC9AF5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5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5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F5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F5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F5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AF5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F65" w14:textId="77777777">
        <w:trPr>
          <w:jc w:val="center"/>
        </w:trPr>
        <w:tc>
          <w:tcPr>
            <w:tcW w:w="0" w:type="auto"/>
            <w:shd w:val="clear" w:color="auto" w:fill="auto"/>
            <w:tcMar>
              <w:top w:w="40" w:type="dxa"/>
              <w:left w:w="40" w:type="dxa"/>
              <w:bottom w:w="40" w:type="dxa"/>
              <w:right w:w="40" w:type="dxa"/>
            </w:tcMar>
          </w:tcPr>
          <w:p w14:paraId="0BC9AF5A" w14:textId="77777777" w:rsidR="009F0928" w:rsidRDefault="002112BD">
            <w:pPr>
              <w:textAlignment w:val="top"/>
              <w:rPr>
                <w:rFonts w:ascii="Times New Roman" w:hAnsi="Times New Roman"/>
                <w:sz w:val="18"/>
                <w:szCs w:val="18"/>
              </w:rPr>
            </w:pPr>
            <w:r>
              <w:rPr>
                <w:rFonts w:ascii="Arial" w:eastAsia="宋体" w:hAnsi="Arial" w:cs="Arial"/>
                <w:sz w:val="18"/>
                <w:szCs w:val="18"/>
              </w:rPr>
              <w:t>10.22+</w:t>
            </w:r>
          </w:p>
        </w:tc>
        <w:tc>
          <w:tcPr>
            <w:tcW w:w="0" w:type="auto"/>
            <w:shd w:val="clear" w:color="auto" w:fill="auto"/>
            <w:tcMar>
              <w:top w:w="40" w:type="dxa"/>
              <w:left w:w="40" w:type="dxa"/>
              <w:bottom w:w="40" w:type="dxa"/>
              <w:right w:w="40" w:type="dxa"/>
            </w:tcMar>
            <w:vAlign w:val="bottom"/>
          </w:tcPr>
          <w:p w14:paraId="0BC9AF5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5C" w14:textId="77777777" w:rsidR="009F0928" w:rsidRDefault="002112BD">
            <w:pPr>
              <w:textAlignment w:val="top"/>
              <w:rPr>
                <w:rFonts w:ascii="Times New Roman" w:hAnsi="Times New Roman"/>
                <w:sz w:val="18"/>
                <w:szCs w:val="18"/>
              </w:rPr>
            </w:pPr>
            <w:hyperlink r:id="rId77" w:history="1">
              <w:r>
                <w:rPr>
                  <w:rStyle w:val="a5"/>
                  <w:rFonts w:ascii="Arial" w:eastAsia="宋体" w:hAnsi="Arial" w:cs="Arial"/>
                  <w:sz w:val="18"/>
                  <w:szCs w:val="18"/>
                </w:rPr>
                <w:t>Form of Global Stock Option Agreement under Registrant’s 2008 Equity Incentive Award Plan.</w:t>
              </w:r>
            </w:hyperlink>
          </w:p>
        </w:tc>
        <w:tc>
          <w:tcPr>
            <w:tcW w:w="0" w:type="auto"/>
            <w:shd w:val="clear" w:color="auto" w:fill="auto"/>
            <w:tcMar>
              <w:top w:w="40" w:type="dxa"/>
              <w:left w:w="40" w:type="dxa"/>
              <w:bottom w:w="40" w:type="dxa"/>
              <w:right w:w="40" w:type="dxa"/>
            </w:tcMar>
            <w:vAlign w:val="bottom"/>
          </w:tcPr>
          <w:p w14:paraId="0BC9AF5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5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5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60"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AF6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62"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F6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64"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7/18/2014</w:t>
            </w:r>
          </w:p>
        </w:tc>
      </w:tr>
      <w:tr w:rsidR="009F0928" w14:paraId="0BC9AF71" w14:textId="77777777">
        <w:trPr>
          <w:jc w:val="center"/>
        </w:trPr>
        <w:tc>
          <w:tcPr>
            <w:tcW w:w="0" w:type="auto"/>
            <w:shd w:val="clear" w:color="auto" w:fill="auto"/>
            <w:tcMar>
              <w:top w:w="40" w:type="dxa"/>
              <w:left w:w="40" w:type="dxa"/>
              <w:bottom w:w="40" w:type="dxa"/>
              <w:right w:w="40" w:type="dxa"/>
            </w:tcMar>
            <w:vAlign w:val="bottom"/>
          </w:tcPr>
          <w:p w14:paraId="0BC9AF6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6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6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6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6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6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6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6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6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6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7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F7D" w14:textId="77777777">
        <w:trPr>
          <w:jc w:val="center"/>
        </w:trPr>
        <w:tc>
          <w:tcPr>
            <w:tcW w:w="0" w:type="auto"/>
            <w:shd w:val="clear" w:color="auto" w:fill="auto"/>
            <w:tcMar>
              <w:top w:w="40" w:type="dxa"/>
              <w:left w:w="40" w:type="dxa"/>
              <w:bottom w:w="40" w:type="dxa"/>
              <w:right w:w="40" w:type="dxa"/>
            </w:tcMar>
          </w:tcPr>
          <w:p w14:paraId="0BC9AF72" w14:textId="77777777" w:rsidR="009F0928" w:rsidRDefault="002112BD">
            <w:pPr>
              <w:textAlignment w:val="top"/>
              <w:rPr>
                <w:rFonts w:ascii="Times New Roman" w:hAnsi="Times New Roman"/>
                <w:sz w:val="18"/>
                <w:szCs w:val="18"/>
              </w:rPr>
            </w:pPr>
            <w:r>
              <w:rPr>
                <w:rFonts w:ascii="Arial" w:eastAsia="宋体" w:hAnsi="Arial" w:cs="Arial"/>
                <w:sz w:val="18"/>
                <w:szCs w:val="18"/>
              </w:rPr>
              <w:t>10.23+</w:t>
            </w:r>
          </w:p>
        </w:tc>
        <w:tc>
          <w:tcPr>
            <w:tcW w:w="0" w:type="auto"/>
            <w:shd w:val="clear" w:color="auto" w:fill="auto"/>
            <w:tcMar>
              <w:top w:w="40" w:type="dxa"/>
              <w:left w:w="40" w:type="dxa"/>
              <w:bottom w:w="40" w:type="dxa"/>
              <w:right w:w="40" w:type="dxa"/>
            </w:tcMar>
            <w:vAlign w:val="bottom"/>
          </w:tcPr>
          <w:p w14:paraId="0BC9AF7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74" w14:textId="77777777" w:rsidR="009F0928" w:rsidRDefault="002112BD">
            <w:pPr>
              <w:textAlignment w:val="top"/>
              <w:rPr>
                <w:rFonts w:ascii="Times New Roman" w:hAnsi="Times New Roman"/>
                <w:sz w:val="18"/>
                <w:szCs w:val="18"/>
              </w:rPr>
            </w:pPr>
            <w:hyperlink r:id="rId78" w:history="1">
              <w:r>
                <w:rPr>
                  <w:rStyle w:val="a5"/>
                  <w:rFonts w:ascii="Arial" w:eastAsia="宋体" w:hAnsi="Arial" w:cs="Arial"/>
                  <w:sz w:val="18"/>
                  <w:szCs w:val="18"/>
                </w:rPr>
                <w:t>Form of Global Restricted Stock Unit Agreement (and Performance-Based Restricted Stock Unit Agreement) under Registrant’s 2008 Equity Incentive Award Pla</w:t>
              </w:r>
              <w:r>
                <w:rPr>
                  <w:rStyle w:val="a5"/>
                  <w:rFonts w:ascii="Arial" w:eastAsia="宋体" w:hAnsi="Arial" w:cs="Arial"/>
                  <w:sz w:val="18"/>
                  <w:szCs w:val="18"/>
                </w:rPr>
                <w:t>n.</w:t>
              </w:r>
            </w:hyperlink>
          </w:p>
        </w:tc>
        <w:tc>
          <w:tcPr>
            <w:tcW w:w="0" w:type="auto"/>
            <w:shd w:val="clear" w:color="auto" w:fill="auto"/>
            <w:tcMar>
              <w:top w:w="40" w:type="dxa"/>
              <w:left w:w="40" w:type="dxa"/>
              <w:bottom w:w="40" w:type="dxa"/>
              <w:right w:w="40" w:type="dxa"/>
            </w:tcMar>
            <w:vAlign w:val="bottom"/>
          </w:tcPr>
          <w:p w14:paraId="0BC9AF7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7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7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78"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AF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7A"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AF7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7C"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7/18/2014</w:t>
            </w:r>
          </w:p>
        </w:tc>
      </w:tr>
      <w:tr w:rsidR="009F0928" w14:paraId="0BC9AF89" w14:textId="77777777">
        <w:trPr>
          <w:jc w:val="center"/>
        </w:trPr>
        <w:tc>
          <w:tcPr>
            <w:tcW w:w="0" w:type="auto"/>
            <w:shd w:val="clear" w:color="auto" w:fill="auto"/>
            <w:tcMar>
              <w:top w:w="40" w:type="dxa"/>
              <w:left w:w="40" w:type="dxa"/>
              <w:bottom w:w="40" w:type="dxa"/>
              <w:right w:w="40" w:type="dxa"/>
            </w:tcMar>
            <w:vAlign w:val="bottom"/>
          </w:tcPr>
          <w:p w14:paraId="0BC9AF7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7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8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8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8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8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8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8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8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8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8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F95" w14:textId="77777777">
        <w:trPr>
          <w:jc w:val="center"/>
        </w:trPr>
        <w:tc>
          <w:tcPr>
            <w:tcW w:w="0" w:type="auto"/>
            <w:shd w:val="clear" w:color="auto" w:fill="auto"/>
            <w:tcMar>
              <w:top w:w="40" w:type="dxa"/>
              <w:left w:w="40" w:type="dxa"/>
              <w:bottom w:w="40" w:type="dxa"/>
              <w:right w:w="40" w:type="dxa"/>
            </w:tcMar>
          </w:tcPr>
          <w:p w14:paraId="0BC9AF8A" w14:textId="77777777" w:rsidR="009F0928" w:rsidRDefault="002112BD">
            <w:pPr>
              <w:textAlignment w:val="top"/>
              <w:rPr>
                <w:rFonts w:ascii="Times New Roman" w:hAnsi="Times New Roman"/>
                <w:sz w:val="18"/>
                <w:szCs w:val="18"/>
              </w:rPr>
            </w:pPr>
            <w:r>
              <w:rPr>
                <w:rFonts w:ascii="Arial" w:eastAsia="宋体" w:hAnsi="Arial" w:cs="Arial"/>
                <w:sz w:val="18"/>
                <w:szCs w:val="18"/>
              </w:rPr>
              <w:t>10.24+</w:t>
            </w:r>
          </w:p>
        </w:tc>
        <w:tc>
          <w:tcPr>
            <w:tcW w:w="0" w:type="auto"/>
            <w:shd w:val="clear" w:color="auto" w:fill="auto"/>
            <w:tcMar>
              <w:top w:w="40" w:type="dxa"/>
              <w:left w:w="40" w:type="dxa"/>
              <w:bottom w:w="40" w:type="dxa"/>
              <w:right w:w="40" w:type="dxa"/>
            </w:tcMar>
            <w:vAlign w:val="bottom"/>
          </w:tcPr>
          <w:p w14:paraId="0BC9AF8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8C" w14:textId="77777777" w:rsidR="009F0928" w:rsidRDefault="002112BD">
            <w:pPr>
              <w:textAlignment w:val="top"/>
              <w:rPr>
                <w:rFonts w:ascii="Times New Roman" w:hAnsi="Times New Roman"/>
                <w:sz w:val="18"/>
                <w:szCs w:val="18"/>
              </w:rPr>
            </w:pPr>
            <w:hyperlink r:id="rId79" w:history="1">
              <w:r>
                <w:rPr>
                  <w:rStyle w:val="a5"/>
                  <w:rFonts w:ascii="Arial" w:eastAsia="宋体" w:hAnsi="Arial" w:cs="Arial"/>
                  <w:sz w:val="18"/>
                  <w:szCs w:val="18"/>
                </w:rPr>
                <w:t>Form of Performance Based Restricted Stock Unit Award Agreement under Registrant’s 2008 Equity Incentive Award Plan.</w:t>
              </w:r>
            </w:hyperlink>
          </w:p>
        </w:tc>
        <w:tc>
          <w:tcPr>
            <w:tcW w:w="0" w:type="auto"/>
            <w:shd w:val="clear" w:color="auto" w:fill="auto"/>
            <w:tcMar>
              <w:top w:w="40" w:type="dxa"/>
              <w:left w:w="40" w:type="dxa"/>
              <w:bottom w:w="40" w:type="dxa"/>
              <w:right w:w="40" w:type="dxa"/>
            </w:tcMar>
            <w:vAlign w:val="bottom"/>
          </w:tcPr>
          <w:p w14:paraId="0BC9AF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8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8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90"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AF9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92"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AF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94"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4/27/2016</w:t>
            </w:r>
          </w:p>
        </w:tc>
      </w:tr>
      <w:tr w:rsidR="009F0928" w14:paraId="0BC9AFA1" w14:textId="77777777">
        <w:trPr>
          <w:jc w:val="center"/>
        </w:trPr>
        <w:tc>
          <w:tcPr>
            <w:tcW w:w="0" w:type="auto"/>
            <w:shd w:val="clear" w:color="auto" w:fill="auto"/>
            <w:tcMar>
              <w:top w:w="40" w:type="dxa"/>
              <w:left w:w="40" w:type="dxa"/>
              <w:bottom w:w="40" w:type="dxa"/>
              <w:right w:w="40" w:type="dxa"/>
            </w:tcMar>
            <w:vAlign w:val="bottom"/>
          </w:tcPr>
          <w:p w14:paraId="0BC9AF9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9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9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9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9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9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9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9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9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FAD" w14:textId="77777777">
        <w:trPr>
          <w:jc w:val="center"/>
        </w:trPr>
        <w:tc>
          <w:tcPr>
            <w:tcW w:w="0" w:type="auto"/>
            <w:shd w:val="clear" w:color="auto" w:fill="auto"/>
            <w:tcMar>
              <w:top w:w="40" w:type="dxa"/>
              <w:left w:w="40" w:type="dxa"/>
              <w:bottom w:w="40" w:type="dxa"/>
              <w:right w:w="40" w:type="dxa"/>
            </w:tcMar>
          </w:tcPr>
          <w:p w14:paraId="0BC9AFA2" w14:textId="77777777" w:rsidR="009F0928" w:rsidRDefault="002112BD">
            <w:pPr>
              <w:textAlignment w:val="top"/>
              <w:rPr>
                <w:rFonts w:ascii="Times New Roman" w:hAnsi="Times New Roman"/>
                <w:sz w:val="18"/>
                <w:szCs w:val="18"/>
              </w:rPr>
            </w:pPr>
            <w:r>
              <w:rPr>
                <w:rFonts w:ascii="Arial" w:eastAsia="宋体" w:hAnsi="Arial" w:cs="Arial"/>
                <w:sz w:val="18"/>
                <w:szCs w:val="18"/>
              </w:rPr>
              <w:t>10.25+</w:t>
            </w:r>
          </w:p>
        </w:tc>
        <w:tc>
          <w:tcPr>
            <w:tcW w:w="0" w:type="auto"/>
            <w:shd w:val="clear" w:color="auto" w:fill="auto"/>
            <w:tcMar>
              <w:top w:w="40" w:type="dxa"/>
              <w:left w:w="40" w:type="dxa"/>
              <w:bottom w:w="40" w:type="dxa"/>
              <w:right w:w="40" w:type="dxa"/>
            </w:tcMar>
            <w:vAlign w:val="bottom"/>
          </w:tcPr>
          <w:p w14:paraId="0BC9AFA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A4" w14:textId="77777777" w:rsidR="009F0928" w:rsidRDefault="002112BD">
            <w:pPr>
              <w:textAlignment w:val="top"/>
              <w:rPr>
                <w:rFonts w:ascii="Times New Roman" w:hAnsi="Times New Roman"/>
                <w:sz w:val="18"/>
                <w:szCs w:val="18"/>
              </w:rPr>
            </w:pPr>
            <w:hyperlink r:id="rId80" w:history="1">
              <w:r>
                <w:rPr>
                  <w:rStyle w:val="a5"/>
                  <w:rFonts w:ascii="Arial" w:eastAsia="宋体" w:hAnsi="Arial" w:cs="Arial"/>
                  <w:sz w:val="18"/>
                  <w:szCs w:val="18"/>
                </w:rPr>
                <w:t>Form of Stock Payment Award Agreement under Registrant’s 2008 Equity Incentive Award Plan.</w:t>
              </w:r>
            </w:hyperlink>
          </w:p>
        </w:tc>
        <w:tc>
          <w:tcPr>
            <w:tcW w:w="0" w:type="auto"/>
            <w:shd w:val="clear" w:color="auto" w:fill="auto"/>
            <w:tcMar>
              <w:top w:w="40" w:type="dxa"/>
              <w:left w:w="40" w:type="dxa"/>
              <w:bottom w:w="40" w:type="dxa"/>
              <w:right w:w="40" w:type="dxa"/>
            </w:tcMar>
            <w:vAlign w:val="bottom"/>
          </w:tcPr>
          <w:p w14:paraId="0BC9AF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A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A8"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AF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AA"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AFA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AC"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7/21/2016</w:t>
            </w:r>
          </w:p>
        </w:tc>
      </w:tr>
      <w:tr w:rsidR="009F0928" w14:paraId="0BC9AFB9" w14:textId="77777777">
        <w:trPr>
          <w:jc w:val="center"/>
        </w:trPr>
        <w:tc>
          <w:tcPr>
            <w:tcW w:w="0" w:type="auto"/>
            <w:shd w:val="clear" w:color="auto" w:fill="auto"/>
            <w:tcMar>
              <w:top w:w="40" w:type="dxa"/>
              <w:left w:w="40" w:type="dxa"/>
              <w:bottom w:w="40" w:type="dxa"/>
              <w:right w:w="40" w:type="dxa"/>
            </w:tcMar>
            <w:vAlign w:val="bottom"/>
          </w:tcPr>
          <w:p w14:paraId="0BC9AFA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A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B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B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B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B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B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FC5" w14:textId="77777777">
        <w:trPr>
          <w:jc w:val="center"/>
        </w:trPr>
        <w:tc>
          <w:tcPr>
            <w:tcW w:w="0" w:type="auto"/>
            <w:shd w:val="clear" w:color="auto" w:fill="auto"/>
            <w:tcMar>
              <w:top w:w="40" w:type="dxa"/>
              <w:left w:w="40" w:type="dxa"/>
              <w:bottom w:w="40" w:type="dxa"/>
              <w:right w:w="40" w:type="dxa"/>
            </w:tcMar>
          </w:tcPr>
          <w:p w14:paraId="0BC9AFBA" w14:textId="77777777" w:rsidR="009F0928" w:rsidRDefault="002112BD">
            <w:pPr>
              <w:textAlignment w:val="top"/>
              <w:rPr>
                <w:rFonts w:ascii="Times New Roman" w:hAnsi="Times New Roman"/>
                <w:sz w:val="18"/>
                <w:szCs w:val="18"/>
              </w:rPr>
            </w:pPr>
            <w:r>
              <w:rPr>
                <w:rFonts w:ascii="Arial" w:eastAsia="宋体" w:hAnsi="Arial" w:cs="Arial"/>
                <w:sz w:val="18"/>
                <w:szCs w:val="18"/>
              </w:rPr>
              <w:t>10.26+</w:t>
            </w:r>
          </w:p>
        </w:tc>
        <w:tc>
          <w:tcPr>
            <w:tcW w:w="0" w:type="auto"/>
            <w:shd w:val="clear" w:color="auto" w:fill="auto"/>
            <w:tcMar>
              <w:top w:w="40" w:type="dxa"/>
              <w:left w:w="40" w:type="dxa"/>
              <w:bottom w:w="40" w:type="dxa"/>
              <w:right w:w="40" w:type="dxa"/>
            </w:tcMar>
            <w:vAlign w:val="bottom"/>
          </w:tcPr>
          <w:p w14:paraId="0BC9AFB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BC" w14:textId="77777777" w:rsidR="009F0928" w:rsidRDefault="002112BD">
            <w:pPr>
              <w:textAlignment w:val="top"/>
              <w:rPr>
                <w:rFonts w:ascii="Times New Roman" w:hAnsi="Times New Roman"/>
                <w:sz w:val="18"/>
                <w:szCs w:val="18"/>
              </w:rPr>
            </w:pPr>
            <w:hyperlink r:id="rId81" w:history="1">
              <w:r>
                <w:rPr>
                  <w:rStyle w:val="a5"/>
                  <w:rFonts w:ascii="Arial" w:eastAsia="宋体" w:hAnsi="Arial" w:cs="Arial"/>
                  <w:sz w:val="18"/>
                  <w:szCs w:val="18"/>
                </w:rPr>
                <w:t xml:space="preserve">Form of Director Restricted Stock Unit Award Agreement under Registrant’s 2008 Equity </w:t>
              </w:r>
              <w:r>
                <w:rPr>
                  <w:rStyle w:val="a5"/>
                  <w:rFonts w:ascii="Arial" w:eastAsia="宋体" w:hAnsi="Arial" w:cs="Arial"/>
                  <w:sz w:val="18"/>
                  <w:szCs w:val="18"/>
                </w:rPr>
                <w:t>Incentive Award Plan.</w:t>
              </w:r>
            </w:hyperlink>
          </w:p>
        </w:tc>
        <w:tc>
          <w:tcPr>
            <w:tcW w:w="0" w:type="auto"/>
            <w:shd w:val="clear" w:color="auto" w:fill="auto"/>
            <w:tcMar>
              <w:top w:w="40" w:type="dxa"/>
              <w:left w:w="40" w:type="dxa"/>
              <w:bottom w:w="40" w:type="dxa"/>
              <w:right w:w="40" w:type="dxa"/>
            </w:tcMar>
            <w:vAlign w:val="bottom"/>
          </w:tcPr>
          <w:p w14:paraId="0BC9AFB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B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B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C0"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AFC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C2"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AFC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C4"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7/21/2016</w:t>
            </w:r>
          </w:p>
        </w:tc>
      </w:tr>
      <w:tr w:rsidR="009F0928" w14:paraId="0BC9AFD1" w14:textId="77777777">
        <w:trPr>
          <w:jc w:val="center"/>
        </w:trPr>
        <w:tc>
          <w:tcPr>
            <w:tcW w:w="0" w:type="auto"/>
            <w:shd w:val="clear" w:color="auto" w:fill="auto"/>
            <w:tcMar>
              <w:top w:w="40" w:type="dxa"/>
              <w:left w:w="40" w:type="dxa"/>
              <w:bottom w:w="40" w:type="dxa"/>
              <w:right w:w="40" w:type="dxa"/>
            </w:tcMar>
            <w:vAlign w:val="bottom"/>
          </w:tcPr>
          <w:p w14:paraId="0BC9AFC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C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C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C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C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C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C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C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C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FDD" w14:textId="77777777">
        <w:trPr>
          <w:jc w:val="center"/>
        </w:trPr>
        <w:tc>
          <w:tcPr>
            <w:tcW w:w="0" w:type="auto"/>
            <w:shd w:val="clear" w:color="auto" w:fill="auto"/>
            <w:tcMar>
              <w:top w:w="40" w:type="dxa"/>
              <w:left w:w="40" w:type="dxa"/>
              <w:bottom w:w="40" w:type="dxa"/>
              <w:right w:w="40" w:type="dxa"/>
            </w:tcMar>
          </w:tcPr>
          <w:p w14:paraId="0BC9AFD2" w14:textId="77777777" w:rsidR="009F0928" w:rsidRDefault="002112BD">
            <w:pPr>
              <w:textAlignment w:val="top"/>
              <w:rPr>
                <w:rFonts w:ascii="Times New Roman" w:hAnsi="Times New Roman"/>
                <w:sz w:val="18"/>
                <w:szCs w:val="18"/>
              </w:rPr>
            </w:pPr>
            <w:r>
              <w:rPr>
                <w:rFonts w:ascii="Arial" w:eastAsia="宋体" w:hAnsi="Arial" w:cs="Arial"/>
                <w:sz w:val="18"/>
                <w:szCs w:val="18"/>
              </w:rPr>
              <w:t>10.27+</w:t>
            </w:r>
          </w:p>
        </w:tc>
        <w:tc>
          <w:tcPr>
            <w:tcW w:w="0" w:type="auto"/>
            <w:shd w:val="clear" w:color="auto" w:fill="auto"/>
            <w:tcMar>
              <w:top w:w="40" w:type="dxa"/>
              <w:left w:w="40" w:type="dxa"/>
              <w:bottom w:w="40" w:type="dxa"/>
              <w:right w:w="40" w:type="dxa"/>
            </w:tcMar>
            <w:vAlign w:val="bottom"/>
          </w:tcPr>
          <w:p w14:paraId="0BC9AF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D4" w14:textId="77777777" w:rsidR="009F0928" w:rsidRDefault="002112BD">
            <w:pPr>
              <w:textAlignment w:val="top"/>
              <w:rPr>
                <w:rFonts w:ascii="Times New Roman" w:hAnsi="Times New Roman"/>
                <w:sz w:val="18"/>
                <w:szCs w:val="18"/>
              </w:rPr>
            </w:pPr>
            <w:hyperlink r:id="rId82" w:history="1">
              <w:r>
                <w:rPr>
                  <w:rStyle w:val="a5"/>
                  <w:rFonts w:ascii="Arial" w:eastAsia="宋体" w:hAnsi="Arial" w:cs="Arial"/>
                  <w:sz w:val="18"/>
                  <w:szCs w:val="18"/>
                </w:rPr>
                <w:t>Form of Performance Based Restricted Stock Unit Award Grant Notice and Performance Based Restricted Stock Unit Award Agreement under Registrant’s 2008 Equit</w:t>
              </w:r>
              <w:r>
                <w:rPr>
                  <w:rStyle w:val="a5"/>
                  <w:rFonts w:ascii="Arial" w:eastAsia="宋体" w:hAnsi="Arial" w:cs="Arial"/>
                  <w:sz w:val="18"/>
                  <w:szCs w:val="18"/>
                </w:rPr>
                <w:t>y Incentive Award Plan.</w:t>
              </w:r>
            </w:hyperlink>
          </w:p>
        </w:tc>
        <w:tc>
          <w:tcPr>
            <w:tcW w:w="0" w:type="auto"/>
            <w:shd w:val="clear" w:color="auto" w:fill="auto"/>
            <w:tcMar>
              <w:top w:w="40" w:type="dxa"/>
              <w:left w:w="40" w:type="dxa"/>
              <w:bottom w:w="40" w:type="dxa"/>
              <w:right w:w="40" w:type="dxa"/>
            </w:tcMar>
            <w:vAlign w:val="bottom"/>
          </w:tcPr>
          <w:p w14:paraId="0BC9AFD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D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D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D8"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10-K</w:t>
            </w:r>
          </w:p>
        </w:tc>
        <w:tc>
          <w:tcPr>
            <w:tcW w:w="0" w:type="auto"/>
            <w:shd w:val="clear" w:color="auto" w:fill="auto"/>
            <w:tcMar>
              <w:top w:w="40" w:type="dxa"/>
              <w:left w:w="40" w:type="dxa"/>
              <w:bottom w:w="40" w:type="dxa"/>
              <w:right w:w="40" w:type="dxa"/>
            </w:tcMar>
            <w:vAlign w:val="bottom"/>
          </w:tcPr>
          <w:p w14:paraId="0BC9AF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DA"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AFD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DC"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1/30/2019</w:t>
            </w:r>
          </w:p>
        </w:tc>
      </w:tr>
      <w:tr w:rsidR="009F0928" w14:paraId="0BC9AFE9" w14:textId="77777777">
        <w:trPr>
          <w:jc w:val="center"/>
        </w:trPr>
        <w:tc>
          <w:tcPr>
            <w:tcW w:w="0" w:type="auto"/>
            <w:shd w:val="clear" w:color="auto" w:fill="auto"/>
            <w:tcMar>
              <w:top w:w="40" w:type="dxa"/>
              <w:left w:w="40" w:type="dxa"/>
              <w:bottom w:w="40" w:type="dxa"/>
              <w:right w:w="40" w:type="dxa"/>
            </w:tcMar>
            <w:vAlign w:val="bottom"/>
          </w:tcPr>
          <w:p w14:paraId="0BC9AF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D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E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E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E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E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E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E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E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AFF5" w14:textId="77777777">
        <w:trPr>
          <w:jc w:val="center"/>
        </w:trPr>
        <w:tc>
          <w:tcPr>
            <w:tcW w:w="0" w:type="auto"/>
            <w:shd w:val="clear" w:color="auto" w:fill="auto"/>
            <w:tcMar>
              <w:top w:w="40" w:type="dxa"/>
              <w:left w:w="40" w:type="dxa"/>
              <w:bottom w:w="40" w:type="dxa"/>
              <w:right w:w="40" w:type="dxa"/>
            </w:tcMar>
          </w:tcPr>
          <w:p w14:paraId="0BC9AFEA" w14:textId="77777777" w:rsidR="009F0928" w:rsidRDefault="002112BD">
            <w:pPr>
              <w:textAlignment w:val="top"/>
              <w:rPr>
                <w:rFonts w:ascii="Times New Roman" w:hAnsi="Times New Roman"/>
                <w:sz w:val="18"/>
                <w:szCs w:val="18"/>
              </w:rPr>
            </w:pPr>
            <w:r>
              <w:rPr>
                <w:rFonts w:ascii="Arial" w:eastAsia="宋体" w:hAnsi="Arial" w:cs="Arial"/>
                <w:sz w:val="18"/>
                <w:szCs w:val="18"/>
              </w:rPr>
              <w:t>10.28+</w:t>
            </w:r>
          </w:p>
        </w:tc>
        <w:tc>
          <w:tcPr>
            <w:tcW w:w="0" w:type="auto"/>
            <w:shd w:val="clear" w:color="auto" w:fill="auto"/>
            <w:tcMar>
              <w:top w:w="40" w:type="dxa"/>
              <w:left w:w="40" w:type="dxa"/>
              <w:bottom w:w="40" w:type="dxa"/>
              <w:right w:w="40" w:type="dxa"/>
            </w:tcMar>
            <w:vAlign w:val="bottom"/>
          </w:tcPr>
          <w:p w14:paraId="0BC9AFE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EC" w14:textId="77777777" w:rsidR="009F0928" w:rsidRDefault="002112BD">
            <w:pPr>
              <w:textAlignment w:val="top"/>
              <w:rPr>
                <w:rFonts w:ascii="Times New Roman" w:hAnsi="Times New Roman"/>
                <w:sz w:val="18"/>
                <w:szCs w:val="18"/>
              </w:rPr>
            </w:pPr>
            <w:hyperlink r:id="rId83" w:history="1">
              <w:r>
                <w:rPr>
                  <w:rStyle w:val="a5"/>
                  <w:rFonts w:ascii="Arial" w:eastAsia="宋体" w:hAnsi="Arial" w:cs="Arial"/>
                  <w:sz w:val="18"/>
                  <w:szCs w:val="18"/>
                </w:rPr>
                <w:t>Form of Restricted Stock Unit Award Grant Notice and Restricted Stock Unit Award Agreement under Registrant’s 2008 Equity Incentive Award Plan.</w:t>
              </w:r>
            </w:hyperlink>
          </w:p>
        </w:tc>
        <w:tc>
          <w:tcPr>
            <w:tcW w:w="0" w:type="auto"/>
            <w:shd w:val="clear" w:color="auto" w:fill="auto"/>
            <w:tcMar>
              <w:top w:w="40" w:type="dxa"/>
              <w:left w:w="40" w:type="dxa"/>
              <w:bottom w:w="40" w:type="dxa"/>
              <w:right w:w="40" w:type="dxa"/>
            </w:tcMar>
            <w:vAlign w:val="bottom"/>
          </w:tcPr>
          <w:p w14:paraId="0BC9AFE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E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E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F0"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w:t>
            </w:r>
            <w:r>
              <w:rPr>
                <w:rFonts w:ascii="Arial" w:eastAsia="宋体" w:hAnsi="Arial" w:cs="Arial"/>
                <w:sz w:val="18"/>
                <w:szCs w:val="18"/>
              </w:rPr>
              <w:t>K</w:t>
            </w:r>
          </w:p>
        </w:tc>
        <w:tc>
          <w:tcPr>
            <w:tcW w:w="0" w:type="auto"/>
            <w:shd w:val="clear" w:color="auto" w:fill="auto"/>
            <w:tcMar>
              <w:top w:w="40" w:type="dxa"/>
              <w:left w:w="40" w:type="dxa"/>
              <w:bottom w:w="40" w:type="dxa"/>
              <w:right w:w="40" w:type="dxa"/>
            </w:tcMar>
            <w:vAlign w:val="bottom"/>
          </w:tcPr>
          <w:p w14:paraId="0BC9AFF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F2"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AFF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AFF4"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1/30/2019</w:t>
            </w:r>
          </w:p>
        </w:tc>
      </w:tr>
      <w:tr w:rsidR="009F0928" w14:paraId="0BC9B001" w14:textId="77777777">
        <w:trPr>
          <w:jc w:val="center"/>
        </w:trPr>
        <w:tc>
          <w:tcPr>
            <w:tcW w:w="0" w:type="auto"/>
            <w:shd w:val="clear" w:color="auto" w:fill="auto"/>
            <w:tcMar>
              <w:top w:w="40" w:type="dxa"/>
              <w:left w:w="40" w:type="dxa"/>
              <w:bottom w:w="40" w:type="dxa"/>
              <w:right w:w="40" w:type="dxa"/>
            </w:tcMar>
            <w:vAlign w:val="bottom"/>
          </w:tcPr>
          <w:p w14:paraId="0BC9AF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F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F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F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F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F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F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F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AFF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B002" w14:textId="77777777" w:rsidR="009F0928" w:rsidRDefault="009F0928">
      <w:pPr>
        <w:rPr>
          <w:rFonts w:ascii="Times New Roman" w:hAnsi="Times New Roman"/>
          <w:sz w:val="20"/>
          <w:szCs w:val="20"/>
        </w:rPr>
      </w:pPr>
    </w:p>
    <w:p w14:paraId="0BC9B003"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F-48</w:t>
      </w:r>
    </w:p>
    <w:p w14:paraId="0BC9B004" w14:textId="77777777" w:rsidR="009F0928" w:rsidRDefault="002112BD">
      <w:r>
        <w:rPr>
          <w:rFonts w:ascii="Times New Roman" w:hAnsi="Times New Roman"/>
          <w:sz w:val="18"/>
          <w:szCs w:val="18"/>
        </w:rPr>
        <w:pict w14:anchorId="0BC9B52A">
          <v:rect id="_x0000_i1134" style="width:415.3pt;height:1.5pt" o:hralign="center" o:hrstd="t" o:hr="t" fillcolor="#a0a0a0" stroked="f"/>
        </w:pict>
      </w:r>
    </w:p>
    <w:p w14:paraId="0BC9B005" w14:textId="77777777" w:rsidR="009F0928" w:rsidRDefault="009F0928">
      <w:pPr>
        <w:spacing w:line="288" w:lineRule="auto"/>
        <w:rPr>
          <w:rFonts w:ascii="Times New Roman" w:hAnsi="Times New Roman"/>
          <w:sz w:val="20"/>
          <w:szCs w:val="20"/>
        </w:rPr>
      </w:pPr>
    </w:p>
    <w:p w14:paraId="0BC9B006" w14:textId="77777777" w:rsidR="009F0928" w:rsidRDefault="009F0928">
      <w:pPr>
        <w:rPr>
          <w:rFonts w:ascii="Times New Roman" w:hAnsi="Times New Roman"/>
          <w:sz w:val="20"/>
          <w:szCs w:val="20"/>
        </w:rPr>
      </w:pPr>
    </w:p>
    <w:tbl>
      <w:tblPr>
        <w:tblW w:w="4995" w:type="pct"/>
        <w:jc w:val="center"/>
        <w:tblCellMar>
          <w:left w:w="0" w:type="dxa"/>
          <w:right w:w="0" w:type="dxa"/>
        </w:tblCellMar>
        <w:tblLook w:val="04A0" w:firstRow="1" w:lastRow="0" w:firstColumn="1" w:lastColumn="0" w:noHBand="0" w:noVBand="1"/>
      </w:tblPr>
      <w:tblGrid>
        <w:gridCol w:w="636"/>
        <w:gridCol w:w="181"/>
        <w:gridCol w:w="3669"/>
        <w:gridCol w:w="131"/>
        <w:gridCol w:w="849"/>
        <w:gridCol w:w="131"/>
        <w:gridCol w:w="517"/>
        <w:gridCol w:w="131"/>
        <w:gridCol w:w="941"/>
        <w:gridCol w:w="131"/>
        <w:gridCol w:w="981"/>
      </w:tblGrid>
      <w:tr w:rsidR="009F0928" w14:paraId="0BC9B008" w14:textId="77777777">
        <w:trPr>
          <w:jc w:val="center"/>
        </w:trPr>
        <w:tc>
          <w:tcPr>
            <w:tcW w:w="0" w:type="auto"/>
            <w:gridSpan w:val="11"/>
            <w:shd w:val="clear" w:color="auto" w:fill="auto"/>
            <w:vAlign w:val="center"/>
          </w:tcPr>
          <w:p w14:paraId="0BC9B007" w14:textId="77777777" w:rsidR="009F0928" w:rsidRDefault="009F0928">
            <w:pPr>
              <w:rPr>
                <w:rFonts w:ascii="Times New Roman" w:hAnsi="Times New Roman"/>
                <w:sz w:val="20"/>
                <w:szCs w:val="20"/>
              </w:rPr>
            </w:pPr>
          </w:p>
        </w:tc>
      </w:tr>
      <w:tr w:rsidR="009F0928" w14:paraId="0BC9B014" w14:textId="77777777">
        <w:trPr>
          <w:jc w:val="center"/>
        </w:trPr>
        <w:tc>
          <w:tcPr>
            <w:tcW w:w="350" w:type="pct"/>
            <w:shd w:val="clear" w:color="auto" w:fill="auto"/>
            <w:vAlign w:val="center"/>
          </w:tcPr>
          <w:p w14:paraId="0BC9B009" w14:textId="77777777" w:rsidR="009F0928" w:rsidRDefault="009F0928">
            <w:pPr>
              <w:rPr>
                <w:rFonts w:ascii="Times New Roman" w:hAnsi="Times New Roman"/>
                <w:sz w:val="20"/>
                <w:szCs w:val="20"/>
              </w:rPr>
            </w:pPr>
          </w:p>
        </w:tc>
        <w:tc>
          <w:tcPr>
            <w:tcW w:w="50" w:type="pct"/>
            <w:shd w:val="clear" w:color="auto" w:fill="auto"/>
            <w:vAlign w:val="center"/>
          </w:tcPr>
          <w:p w14:paraId="0BC9B00A" w14:textId="77777777" w:rsidR="009F0928" w:rsidRDefault="009F0928">
            <w:pPr>
              <w:rPr>
                <w:rFonts w:ascii="Times New Roman" w:hAnsi="Times New Roman"/>
                <w:sz w:val="20"/>
                <w:szCs w:val="20"/>
              </w:rPr>
            </w:pPr>
          </w:p>
        </w:tc>
        <w:tc>
          <w:tcPr>
            <w:tcW w:w="2300" w:type="pct"/>
            <w:shd w:val="clear" w:color="auto" w:fill="auto"/>
            <w:vAlign w:val="center"/>
          </w:tcPr>
          <w:p w14:paraId="0BC9B00B" w14:textId="77777777" w:rsidR="009F0928" w:rsidRDefault="009F0928">
            <w:pPr>
              <w:rPr>
                <w:rFonts w:ascii="Times New Roman" w:hAnsi="Times New Roman"/>
                <w:sz w:val="20"/>
                <w:szCs w:val="20"/>
              </w:rPr>
            </w:pPr>
          </w:p>
        </w:tc>
        <w:tc>
          <w:tcPr>
            <w:tcW w:w="50" w:type="pct"/>
            <w:shd w:val="clear" w:color="auto" w:fill="auto"/>
            <w:vAlign w:val="center"/>
          </w:tcPr>
          <w:p w14:paraId="0BC9B00C" w14:textId="77777777" w:rsidR="009F0928" w:rsidRDefault="009F0928">
            <w:pPr>
              <w:rPr>
                <w:rFonts w:ascii="Times New Roman" w:hAnsi="Times New Roman"/>
                <w:sz w:val="20"/>
                <w:szCs w:val="20"/>
              </w:rPr>
            </w:pPr>
          </w:p>
        </w:tc>
        <w:tc>
          <w:tcPr>
            <w:tcW w:w="600" w:type="pct"/>
            <w:shd w:val="clear" w:color="auto" w:fill="auto"/>
            <w:vAlign w:val="center"/>
          </w:tcPr>
          <w:p w14:paraId="0BC9B00D" w14:textId="77777777" w:rsidR="009F0928" w:rsidRDefault="009F0928">
            <w:pPr>
              <w:rPr>
                <w:rFonts w:ascii="Times New Roman" w:hAnsi="Times New Roman"/>
                <w:sz w:val="20"/>
                <w:szCs w:val="20"/>
              </w:rPr>
            </w:pPr>
          </w:p>
        </w:tc>
        <w:tc>
          <w:tcPr>
            <w:tcW w:w="50" w:type="pct"/>
            <w:shd w:val="clear" w:color="auto" w:fill="auto"/>
            <w:vAlign w:val="center"/>
          </w:tcPr>
          <w:p w14:paraId="0BC9B00E" w14:textId="77777777" w:rsidR="009F0928" w:rsidRDefault="009F0928">
            <w:pPr>
              <w:rPr>
                <w:rFonts w:ascii="Times New Roman" w:hAnsi="Times New Roman"/>
                <w:sz w:val="20"/>
                <w:szCs w:val="20"/>
              </w:rPr>
            </w:pPr>
          </w:p>
        </w:tc>
        <w:tc>
          <w:tcPr>
            <w:tcW w:w="400" w:type="pct"/>
            <w:shd w:val="clear" w:color="auto" w:fill="auto"/>
            <w:vAlign w:val="center"/>
          </w:tcPr>
          <w:p w14:paraId="0BC9B00F" w14:textId="77777777" w:rsidR="009F0928" w:rsidRDefault="009F0928">
            <w:pPr>
              <w:rPr>
                <w:rFonts w:ascii="Times New Roman" w:hAnsi="Times New Roman"/>
                <w:sz w:val="20"/>
                <w:szCs w:val="20"/>
              </w:rPr>
            </w:pPr>
          </w:p>
        </w:tc>
        <w:tc>
          <w:tcPr>
            <w:tcW w:w="50" w:type="pct"/>
            <w:shd w:val="clear" w:color="auto" w:fill="auto"/>
            <w:vAlign w:val="center"/>
          </w:tcPr>
          <w:p w14:paraId="0BC9B010" w14:textId="77777777" w:rsidR="009F0928" w:rsidRDefault="009F0928">
            <w:pPr>
              <w:rPr>
                <w:rFonts w:ascii="Times New Roman" w:hAnsi="Times New Roman"/>
                <w:sz w:val="20"/>
                <w:szCs w:val="20"/>
              </w:rPr>
            </w:pPr>
          </w:p>
        </w:tc>
        <w:tc>
          <w:tcPr>
            <w:tcW w:w="550" w:type="pct"/>
            <w:shd w:val="clear" w:color="auto" w:fill="auto"/>
            <w:vAlign w:val="center"/>
          </w:tcPr>
          <w:p w14:paraId="0BC9B011" w14:textId="77777777" w:rsidR="009F0928" w:rsidRDefault="009F0928">
            <w:pPr>
              <w:rPr>
                <w:rFonts w:ascii="Times New Roman" w:hAnsi="Times New Roman"/>
                <w:sz w:val="20"/>
                <w:szCs w:val="20"/>
              </w:rPr>
            </w:pPr>
          </w:p>
        </w:tc>
        <w:tc>
          <w:tcPr>
            <w:tcW w:w="50" w:type="pct"/>
            <w:shd w:val="clear" w:color="auto" w:fill="auto"/>
            <w:vAlign w:val="center"/>
          </w:tcPr>
          <w:p w14:paraId="0BC9B012" w14:textId="77777777" w:rsidR="009F0928" w:rsidRDefault="009F0928">
            <w:pPr>
              <w:rPr>
                <w:rFonts w:ascii="Times New Roman" w:hAnsi="Times New Roman"/>
                <w:sz w:val="20"/>
                <w:szCs w:val="20"/>
              </w:rPr>
            </w:pPr>
          </w:p>
        </w:tc>
        <w:tc>
          <w:tcPr>
            <w:tcW w:w="550" w:type="pct"/>
            <w:shd w:val="clear" w:color="auto" w:fill="auto"/>
            <w:vAlign w:val="center"/>
          </w:tcPr>
          <w:p w14:paraId="0BC9B013" w14:textId="77777777" w:rsidR="009F0928" w:rsidRDefault="009F0928">
            <w:pPr>
              <w:rPr>
                <w:rFonts w:ascii="Times New Roman" w:hAnsi="Times New Roman"/>
                <w:sz w:val="20"/>
                <w:szCs w:val="20"/>
              </w:rPr>
            </w:pPr>
          </w:p>
        </w:tc>
      </w:tr>
      <w:tr w:rsidR="009F0928" w14:paraId="0BC9B01D" w14:textId="77777777">
        <w:trPr>
          <w:jc w:val="center"/>
        </w:trPr>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0BC9B015" w14:textId="77777777" w:rsidR="009F0928" w:rsidRDefault="002112BD">
            <w:pPr>
              <w:textAlignment w:val="bottom"/>
              <w:rPr>
                <w:rFonts w:ascii="Times New Roman" w:hAnsi="Times New Roman"/>
                <w:sz w:val="14"/>
                <w:szCs w:val="14"/>
              </w:rPr>
            </w:pPr>
            <w:r>
              <w:rPr>
                <w:rFonts w:ascii="Arial" w:eastAsia="宋体" w:hAnsi="Arial" w:cs="Arial"/>
                <w:b/>
                <w:bCs/>
                <w:sz w:val="14"/>
                <w:szCs w:val="14"/>
              </w:rPr>
              <w:t>No.</w:t>
            </w:r>
          </w:p>
        </w:tc>
        <w:tc>
          <w:tcPr>
            <w:tcW w:w="0" w:type="auto"/>
            <w:shd w:val="clear" w:color="auto" w:fill="auto"/>
            <w:tcMar>
              <w:top w:w="40" w:type="dxa"/>
              <w:left w:w="40" w:type="dxa"/>
              <w:bottom w:w="40" w:type="dxa"/>
              <w:right w:w="40" w:type="dxa"/>
            </w:tcMar>
            <w:vAlign w:val="bottom"/>
          </w:tcPr>
          <w:p w14:paraId="0BC9B016"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0BC9B017"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Exhibit Description</w:t>
            </w:r>
          </w:p>
        </w:tc>
        <w:tc>
          <w:tcPr>
            <w:tcW w:w="0" w:type="auto"/>
            <w:shd w:val="clear" w:color="auto" w:fill="auto"/>
            <w:tcMar>
              <w:top w:w="40" w:type="dxa"/>
              <w:left w:w="40" w:type="dxa"/>
              <w:bottom w:w="40" w:type="dxa"/>
              <w:right w:w="40" w:type="dxa"/>
            </w:tcMar>
            <w:vAlign w:val="bottom"/>
          </w:tcPr>
          <w:p w14:paraId="0BC9B018"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0BC9B019"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Filed or Furnished with</w:t>
            </w:r>
          </w:p>
          <w:p w14:paraId="0BC9B01A"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this 10-K</w:t>
            </w:r>
          </w:p>
        </w:tc>
        <w:tc>
          <w:tcPr>
            <w:tcW w:w="0" w:type="auto"/>
            <w:shd w:val="clear" w:color="auto" w:fill="auto"/>
            <w:tcMar>
              <w:top w:w="40" w:type="dxa"/>
              <w:left w:w="40" w:type="dxa"/>
              <w:bottom w:w="40" w:type="dxa"/>
              <w:right w:w="40" w:type="dxa"/>
            </w:tcMar>
            <w:vAlign w:val="bottom"/>
          </w:tcPr>
          <w:p w14:paraId="0BC9B01B"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0BC9B01C"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Incorporated by Reference</w:t>
            </w:r>
          </w:p>
        </w:tc>
      </w:tr>
      <w:tr w:rsidR="009F0928" w14:paraId="0BC9B029" w14:textId="77777777">
        <w:trPr>
          <w:jc w:val="center"/>
        </w:trPr>
        <w:tc>
          <w:tcPr>
            <w:tcW w:w="0" w:type="auto"/>
            <w:vMerge/>
            <w:tcBorders>
              <w:bottom w:val="single" w:sz="8" w:space="0" w:color="000000"/>
            </w:tcBorders>
            <w:shd w:val="clear" w:color="auto" w:fill="auto"/>
            <w:tcMar>
              <w:top w:w="40" w:type="dxa"/>
              <w:left w:w="40" w:type="dxa"/>
              <w:bottom w:w="40" w:type="dxa"/>
              <w:right w:w="40" w:type="dxa"/>
            </w:tcMar>
            <w:vAlign w:val="bottom"/>
          </w:tcPr>
          <w:p w14:paraId="0BC9B01E" w14:textId="77777777" w:rsidR="009F0928" w:rsidRDefault="009F0928">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B01F"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0BC9B020" w14:textId="77777777" w:rsidR="009F0928" w:rsidRDefault="009F0928">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B021"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0BC9B022" w14:textId="77777777" w:rsidR="009F0928" w:rsidRDefault="009F0928">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B023"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024"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Form</w:t>
            </w:r>
          </w:p>
        </w:tc>
        <w:tc>
          <w:tcPr>
            <w:tcW w:w="0" w:type="auto"/>
            <w:shd w:val="clear" w:color="auto" w:fill="auto"/>
            <w:tcMar>
              <w:top w:w="40" w:type="dxa"/>
              <w:left w:w="40" w:type="dxa"/>
              <w:bottom w:w="40" w:type="dxa"/>
              <w:right w:w="40" w:type="dxa"/>
            </w:tcMar>
            <w:vAlign w:val="bottom"/>
          </w:tcPr>
          <w:p w14:paraId="0BC9B025"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026"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File No.</w:t>
            </w:r>
          </w:p>
        </w:tc>
        <w:tc>
          <w:tcPr>
            <w:tcW w:w="0" w:type="auto"/>
            <w:shd w:val="clear" w:color="auto" w:fill="auto"/>
            <w:tcMar>
              <w:top w:w="40" w:type="dxa"/>
              <w:left w:w="40" w:type="dxa"/>
              <w:bottom w:w="40" w:type="dxa"/>
              <w:right w:w="40" w:type="dxa"/>
            </w:tcMar>
            <w:vAlign w:val="bottom"/>
          </w:tcPr>
          <w:p w14:paraId="0BC9B027"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028"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Date Filed</w:t>
            </w:r>
          </w:p>
        </w:tc>
      </w:tr>
      <w:tr w:rsidR="009F0928" w14:paraId="0BC9B035" w14:textId="77777777">
        <w:trPr>
          <w:jc w:val="center"/>
        </w:trPr>
        <w:tc>
          <w:tcPr>
            <w:tcW w:w="0" w:type="auto"/>
            <w:shd w:val="clear" w:color="auto" w:fill="auto"/>
            <w:tcMar>
              <w:top w:w="40" w:type="dxa"/>
              <w:left w:w="40" w:type="dxa"/>
              <w:bottom w:w="40" w:type="dxa"/>
              <w:right w:w="40" w:type="dxa"/>
            </w:tcMar>
          </w:tcPr>
          <w:p w14:paraId="0BC9B02A" w14:textId="77777777" w:rsidR="009F0928" w:rsidRDefault="002112BD">
            <w:pPr>
              <w:textAlignment w:val="top"/>
              <w:rPr>
                <w:rFonts w:ascii="Times New Roman" w:hAnsi="Times New Roman"/>
                <w:sz w:val="18"/>
                <w:szCs w:val="18"/>
              </w:rPr>
            </w:pPr>
            <w:r>
              <w:rPr>
                <w:rFonts w:ascii="Arial" w:eastAsia="宋体" w:hAnsi="Arial" w:cs="Arial"/>
                <w:sz w:val="18"/>
                <w:szCs w:val="18"/>
              </w:rPr>
              <w:t>10.29+</w:t>
            </w:r>
          </w:p>
        </w:tc>
        <w:tc>
          <w:tcPr>
            <w:tcW w:w="0" w:type="auto"/>
            <w:shd w:val="clear" w:color="auto" w:fill="auto"/>
            <w:tcMar>
              <w:top w:w="40" w:type="dxa"/>
              <w:left w:w="40" w:type="dxa"/>
              <w:bottom w:w="40" w:type="dxa"/>
              <w:right w:w="40" w:type="dxa"/>
            </w:tcMar>
            <w:vAlign w:val="bottom"/>
          </w:tcPr>
          <w:p w14:paraId="0BC9B02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2C" w14:textId="77777777" w:rsidR="009F0928" w:rsidRDefault="002112BD">
            <w:pPr>
              <w:textAlignment w:val="top"/>
              <w:rPr>
                <w:rFonts w:ascii="Times New Roman" w:hAnsi="Times New Roman"/>
                <w:sz w:val="18"/>
                <w:szCs w:val="18"/>
              </w:rPr>
            </w:pPr>
            <w:hyperlink r:id="rId84" w:history="1">
              <w:r>
                <w:rPr>
                  <w:rStyle w:val="a5"/>
                  <w:rFonts w:ascii="Arial" w:eastAsia="宋体" w:hAnsi="Arial" w:cs="Arial"/>
                  <w:sz w:val="18"/>
                  <w:szCs w:val="18"/>
                </w:rPr>
                <w:t>Notice Regarding Payment of Dividend Equivalents on Restricted Stock Units and Performance-Based Restricted Stock Units under Registrant’s 2008 Equity Incen</w:t>
              </w:r>
              <w:r>
                <w:rPr>
                  <w:rStyle w:val="a5"/>
                  <w:rFonts w:ascii="Arial" w:eastAsia="宋体" w:hAnsi="Arial" w:cs="Arial"/>
                  <w:sz w:val="18"/>
                  <w:szCs w:val="18"/>
                </w:rPr>
                <w:t>tive Award Plan.</w:t>
              </w:r>
            </w:hyperlink>
          </w:p>
        </w:tc>
        <w:tc>
          <w:tcPr>
            <w:tcW w:w="0" w:type="auto"/>
            <w:shd w:val="clear" w:color="auto" w:fill="auto"/>
            <w:tcMar>
              <w:top w:w="40" w:type="dxa"/>
              <w:left w:w="40" w:type="dxa"/>
              <w:bottom w:w="40" w:type="dxa"/>
              <w:right w:w="40" w:type="dxa"/>
            </w:tcMar>
            <w:vAlign w:val="bottom"/>
          </w:tcPr>
          <w:p w14:paraId="0BC9B02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2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2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30"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10-K</w:t>
            </w:r>
          </w:p>
        </w:tc>
        <w:tc>
          <w:tcPr>
            <w:tcW w:w="0" w:type="auto"/>
            <w:shd w:val="clear" w:color="auto" w:fill="auto"/>
            <w:tcMar>
              <w:top w:w="40" w:type="dxa"/>
              <w:left w:w="40" w:type="dxa"/>
              <w:bottom w:w="40" w:type="dxa"/>
              <w:right w:w="40" w:type="dxa"/>
            </w:tcMar>
            <w:vAlign w:val="bottom"/>
          </w:tcPr>
          <w:p w14:paraId="0BC9B03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32"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B03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34"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1/30/2019</w:t>
            </w:r>
          </w:p>
        </w:tc>
      </w:tr>
      <w:tr w:rsidR="009F0928" w14:paraId="0BC9B041" w14:textId="77777777">
        <w:trPr>
          <w:jc w:val="center"/>
        </w:trPr>
        <w:tc>
          <w:tcPr>
            <w:tcW w:w="0" w:type="auto"/>
            <w:shd w:val="clear" w:color="auto" w:fill="auto"/>
            <w:tcMar>
              <w:top w:w="40" w:type="dxa"/>
              <w:left w:w="40" w:type="dxa"/>
              <w:bottom w:w="40" w:type="dxa"/>
              <w:right w:w="40" w:type="dxa"/>
            </w:tcMar>
            <w:vAlign w:val="bottom"/>
          </w:tcPr>
          <w:p w14:paraId="0BC9B0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3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3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3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3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3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3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4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04D" w14:textId="77777777">
        <w:trPr>
          <w:jc w:val="center"/>
        </w:trPr>
        <w:tc>
          <w:tcPr>
            <w:tcW w:w="0" w:type="auto"/>
            <w:shd w:val="clear" w:color="auto" w:fill="auto"/>
            <w:tcMar>
              <w:top w:w="40" w:type="dxa"/>
              <w:left w:w="40" w:type="dxa"/>
              <w:bottom w:w="40" w:type="dxa"/>
              <w:right w:w="40" w:type="dxa"/>
            </w:tcMar>
          </w:tcPr>
          <w:p w14:paraId="0BC9B042" w14:textId="77777777" w:rsidR="009F0928" w:rsidRDefault="002112BD">
            <w:pPr>
              <w:textAlignment w:val="top"/>
              <w:rPr>
                <w:rFonts w:ascii="Times New Roman" w:hAnsi="Times New Roman"/>
                <w:sz w:val="18"/>
                <w:szCs w:val="18"/>
              </w:rPr>
            </w:pPr>
            <w:r>
              <w:rPr>
                <w:rFonts w:ascii="Arial" w:eastAsia="宋体" w:hAnsi="Arial" w:cs="Arial"/>
                <w:sz w:val="18"/>
                <w:szCs w:val="18"/>
              </w:rPr>
              <w:t>10.30+</w:t>
            </w:r>
          </w:p>
        </w:tc>
        <w:tc>
          <w:tcPr>
            <w:tcW w:w="0" w:type="auto"/>
            <w:shd w:val="clear" w:color="auto" w:fill="auto"/>
            <w:tcMar>
              <w:top w:w="40" w:type="dxa"/>
              <w:left w:w="40" w:type="dxa"/>
              <w:bottom w:w="40" w:type="dxa"/>
              <w:right w:w="40" w:type="dxa"/>
            </w:tcMar>
            <w:vAlign w:val="bottom"/>
          </w:tcPr>
          <w:p w14:paraId="0BC9B04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44" w14:textId="77777777" w:rsidR="009F0928" w:rsidRDefault="002112BD">
            <w:pPr>
              <w:textAlignment w:val="top"/>
              <w:rPr>
                <w:rFonts w:ascii="Times New Roman" w:hAnsi="Times New Roman"/>
                <w:sz w:val="18"/>
                <w:szCs w:val="18"/>
              </w:rPr>
            </w:pPr>
            <w:hyperlink r:id="rId85" w:history="1">
              <w:r>
                <w:rPr>
                  <w:rStyle w:val="a5"/>
                  <w:rFonts w:ascii="Arial" w:eastAsia="宋体" w:hAnsi="Arial" w:cs="Arial"/>
                  <w:sz w:val="18"/>
                  <w:szCs w:val="18"/>
                </w:rPr>
                <w:t>Letter Agreement dated September 29, 2014 between Registrant and Devin Wenig.</w:t>
              </w:r>
            </w:hyperlink>
          </w:p>
        </w:tc>
        <w:tc>
          <w:tcPr>
            <w:tcW w:w="0" w:type="auto"/>
            <w:shd w:val="clear" w:color="auto" w:fill="auto"/>
            <w:tcMar>
              <w:top w:w="40" w:type="dxa"/>
              <w:left w:w="40" w:type="dxa"/>
              <w:bottom w:w="40" w:type="dxa"/>
              <w:right w:w="40" w:type="dxa"/>
            </w:tcMar>
            <w:vAlign w:val="bottom"/>
          </w:tcPr>
          <w:p w14:paraId="0BC9B04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4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4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48"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B04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4A"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B04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4C"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10/16/2014</w:t>
            </w:r>
          </w:p>
        </w:tc>
      </w:tr>
      <w:tr w:rsidR="009F0928" w14:paraId="0BC9B059" w14:textId="77777777">
        <w:trPr>
          <w:jc w:val="center"/>
        </w:trPr>
        <w:tc>
          <w:tcPr>
            <w:tcW w:w="0" w:type="auto"/>
            <w:shd w:val="clear" w:color="auto" w:fill="auto"/>
            <w:tcMar>
              <w:top w:w="40" w:type="dxa"/>
              <w:left w:w="40" w:type="dxa"/>
              <w:bottom w:w="40" w:type="dxa"/>
              <w:right w:w="40" w:type="dxa"/>
            </w:tcMar>
            <w:vAlign w:val="bottom"/>
          </w:tcPr>
          <w:p w14:paraId="0BC9B04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4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5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5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5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5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5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5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5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5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5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065" w14:textId="77777777">
        <w:trPr>
          <w:jc w:val="center"/>
        </w:trPr>
        <w:tc>
          <w:tcPr>
            <w:tcW w:w="0" w:type="auto"/>
            <w:shd w:val="clear" w:color="auto" w:fill="auto"/>
            <w:tcMar>
              <w:top w:w="40" w:type="dxa"/>
              <w:left w:w="40" w:type="dxa"/>
              <w:bottom w:w="40" w:type="dxa"/>
              <w:right w:w="40" w:type="dxa"/>
            </w:tcMar>
          </w:tcPr>
          <w:p w14:paraId="0BC9B05A" w14:textId="77777777" w:rsidR="009F0928" w:rsidRDefault="002112BD">
            <w:pPr>
              <w:textAlignment w:val="top"/>
              <w:rPr>
                <w:rFonts w:ascii="Times New Roman" w:hAnsi="Times New Roman"/>
                <w:sz w:val="18"/>
                <w:szCs w:val="18"/>
              </w:rPr>
            </w:pPr>
            <w:r>
              <w:rPr>
                <w:rFonts w:ascii="Arial" w:eastAsia="宋体" w:hAnsi="Arial" w:cs="Arial"/>
                <w:sz w:val="18"/>
                <w:szCs w:val="18"/>
              </w:rPr>
              <w:t>10.31+</w:t>
            </w:r>
          </w:p>
        </w:tc>
        <w:tc>
          <w:tcPr>
            <w:tcW w:w="0" w:type="auto"/>
            <w:shd w:val="clear" w:color="auto" w:fill="auto"/>
            <w:tcMar>
              <w:top w:w="40" w:type="dxa"/>
              <w:left w:w="40" w:type="dxa"/>
              <w:bottom w:w="40" w:type="dxa"/>
              <w:right w:w="40" w:type="dxa"/>
            </w:tcMar>
            <w:vAlign w:val="bottom"/>
          </w:tcPr>
          <w:p w14:paraId="0BC9B05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5C" w14:textId="77777777" w:rsidR="009F0928" w:rsidRDefault="002112BD">
            <w:pPr>
              <w:textAlignment w:val="top"/>
              <w:rPr>
                <w:rFonts w:ascii="Times New Roman" w:hAnsi="Times New Roman"/>
                <w:sz w:val="18"/>
                <w:szCs w:val="18"/>
              </w:rPr>
            </w:pPr>
            <w:hyperlink r:id="rId86" w:history="1">
              <w:r>
                <w:rPr>
                  <w:rStyle w:val="a5"/>
                  <w:rFonts w:ascii="Arial" w:eastAsia="宋体" w:hAnsi="Arial" w:cs="Arial"/>
                  <w:sz w:val="18"/>
                  <w:szCs w:val="18"/>
                </w:rPr>
                <w:t>Amended and Restated eBay Inc. Change in Control Severance Plan for Key Employees, effective January 1, 2016.</w:t>
              </w:r>
            </w:hyperlink>
          </w:p>
        </w:tc>
        <w:tc>
          <w:tcPr>
            <w:tcW w:w="0" w:type="auto"/>
            <w:shd w:val="clear" w:color="auto" w:fill="auto"/>
            <w:tcMar>
              <w:top w:w="40" w:type="dxa"/>
              <w:left w:w="40" w:type="dxa"/>
              <w:bottom w:w="40" w:type="dxa"/>
              <w:right w:w="40" w:type="dxa"/>
            </w:tcMar>
            <w:vAlign w:val="bottom"/>
          </w:tcPr>
          <w:p w14:paraId="0BC9B05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5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5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60"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B06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62"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B06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64"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4/27/2016</w:t>
            </w:r>
          </w:p>
        </w:tc>
      </w:tr>
      <w:tr w:rsidR="009F0928" w14:paraId="0BC9B071" w14:textId="77777777">
        <w:trPr>
          <w:jc w:val="center"/>
        </w:trPr>
        <w:tc>
          <w:tcPr>
            <w:tcW w:w="0" w:type="auto"/>
            <w:shd w:val="clear" w:color="auto" w:fill="auto"/>
            <w:tcMar>
              <w:top w:w="40" w:type="dxa"/>
              <w:left w:w="40" w:type="dxa"/>
              <w:bottom w:w="40" w:type="dxa"/>
              <w:right w:w="40" w:type="dxa"/>
            </w:tcMar>
            <w:vAlign w:val="bottom"/>
          </w:tcPr>
          <w:p w14:paraId="0BC9B06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6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6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6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6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6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6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6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6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6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7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07D" w14:textId="77777777">
        <w:trPr>
          <w:jc w:val="center"/>
        </w:trPr>
        <w:tc>
          <w:tcPr>
            <w:tcW w:w="0" w:type="auto"/>
            <w:shd w:val="clear" w:color="auto" w:fill="auto"/>
            <w:tcMar>
              <w:top w:w="40" w:type="dxa"/>
              <w:left w:w="40" w:type="dxa"/>
              <w:bottom w:w="40" w:type="dxa"/>
              <w:right w:w="40" w:type="dxa"/>
            </w:tcMar>
          </w:tcPr>
          <w:p w14:paraId="0BC9B072" w14:textId="77777777" w:rsidR="009F0928" w:rsidRDefault="002112BD">
            <w:pPr>
              <w:textAlignment w:val="top"/>
              <w:rPr>
                <w:rFonts w:ascii="Times New Roman" w:hAnsi="Times New Roman"/>
                <w:sz w:val="18"/>
                <w:szCs w:val="18"/>
              </w:rPr>
            </w:pPr>
            <w:r>
              <w:rPr>
                <w:rFonts w:ascii="Arial" w:eastAsia="宋体" w:hAnsi="Arial" w:cs="Arial"/>
                <w:sz w:val="18"/>
                <w:szCs w:val="18"/>
              </w:rPr>
              <w:t>10.32</w:t>
            </w:r>
          </w:p>
        </w:tc>
        <w:tc>
          <w:tcPr>
            <w:tcW w:w="0" w:type="auto"/>
            <w:shd w:val="clear" w:color="auto" w:fill="auto"/>
            <w:tcMar>
              <w:top w:w="40" w:type="dxa"/>
              <w:left w:w="40" w:type="dxa"/>
              <w:bottom w:w="40" w:type="dxa"/>
              <w:right w:w="40" w:type="dxa"/>
            </w:tcMar>
            <w:vAlign w:val="bottom"/>
          </w:tcPr>
          <w:p w14:paraId="0BC9B07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74" w14:textId="77777777" w:rsidR="009F0928" w:rsidRDefault="002112BD">
            <w:pPr>
              <w:textAlignment w:val="bottom"/>
              <w:rPr>
                <w:rFonts w:ascii="Times New Roman" w:hAnsi="Times New Roman"/>
                <w:sz w:val="18"/>
                <w:szCs w:val="18"/>
              </w:rPr>
            </w:pPr>
            <w:hyperlink r:id="rId87" w:history="1">
              <w:r>
                <w:rPr>
                  <w:rStyle w:val="a5"/>
                  <w:rFonts w:ascii="Arial" w:eastAsia="宋体" w:hAnsi="Arial" w:cs="Arial"/>
                  <w:sz w:val="18"/>
                  <w:szCs w:val="18"/>
                </w:rPr>
                <w:t xml:space="preserve">Amendment dated June 30, 2016, to the Operating Agreement by and among Registrant, eBay International AG, </w:t>
              </w:r>
              <w:r>
                <w:rPr>
                  <w:rStyle w:val="a5"/>
                  <w:rFonts w:ascii="Arial" w:eastAsia="宋体" w:hAnsi="Arial" w:cs="Arial"/>
                  <w:sz w:val="18"/>
                  <w:szCs w:val="18"/>
                </w:rPr>
                <w:t>PayPal Holdings, Inc., PayPal, Inc., PayPal Pte. Ltd. and PayPal Payments Pte. Holdings S.C.S.</w:t>
              </w:r>
            </w:hyperlink>
          </w:p>
        </w:tc>
        <w:tc>
          <w:tcPr>
            <w:tcW w:w="0" w:type="auto"/>
            <w:shd w:val="clear" w:color="auto" w:fill="auto"/>
            <w:tcMar>
              <w:top w:w="40" w:type="dxa"/>
              <w:left w:w="40" w:type="dxa"/>
              <w:bottom w:w="40" w:type="dxa"/>
              <w:right w:w="40" w:type="dxa"/>
            </w:tcMar>
            <w:vAlign w:val="bottom"/>
          </w:tcPr>
          <w:p w14:paraId="0BC9B07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7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7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78"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B0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7A"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B07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7C"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7/21/2016</w:t>
            </w:r>
          </w:p>
        </w:tc>
      </w:tr>
      <w:tr w:rsidR="009F0928" w14:paraId="0BC9B089" w14:textId="77777777">
        <w:trPr>
          <w:jc w:val="center"/>
        </w:trPr>
        <w:tc>
          <w:tcPr>
            <w:tcW w:w="0" w:type="auto"/>
            <w:shd w:val="clear" w:color="auto" w:fill="auto"/>
            <w:tcMar>
              <w:top w:w="40" w:type="dxa"/>
              <w:left w:w="40" w:type="dxa"/>
              <w:bottom w:w="40" w:type="dxa"/>
              <w:right w:w="40" w:type="dxa"/>
            </w:tcMar>
            <w:vAlign w:val="bottom"/>
          </w:tcPr>
          <w:p w14:paraId="0BC9B07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7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8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8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8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8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8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8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8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8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8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095" w14:textId="77777777">
        <w:trPr>
          <w:jc w:val="center"/>
        </w:trPr>
        <w:tc>
          <w:tcPr>
            <w:tcW w:w="0" w:type="auto"/>
            <w:shd w:val="clear" w:color="auto" w:fill="auto"/>
            <w:tcMar>
              <w:top w:w="40" w:type="dxa"/>
              <w:left w:w="40" w:type="dxa"/>
              <w:bottom w:w="40" w:type="dxa"/>
              <w:right w:w="40" w:type="dxa"/>
            </w:tcMar>
          </w:tcPr>
          <w:p w14:paraId="0BC9B08A" w14:textId="77777777" w:rsidR="009F0928" w:rsidRDefault="002112BD">
            <w:pPr>
              <w:textAlignment w:val="top"/>
              <w:rPr>
                <w:rFonts w:ascii="Times New Roman" w:hAnsi="Times New Roman"/>
                <w:sz w:val="18"/>
                <w:szCs w:val="18"/>
              </w:rPr>
            </w:pPr>
            <w:r>
              <w:rPr>
                <w:rFonts w:ascii="Arial" w:eastAsia="宋体" w:hAnsi="Arial" w:cs="Arial"/>
                <w:sz w:val="18"/>
                <w:szCs w:val="18"/>
              </w:rPr>
              <w:t>10.33+</w:t>
            </w:r>
          </w:p>
        </w:tc>
        <w:tc>
          <w:tcPr>
            <w:tcW w:w="0" w:type="auto"/>
            <w:shd w:val="clear" w:color="auto" w:fill="auto"/>
            <w:tcMar>
              <w:top w:w="40" w:type="dxa"/>
              <w:left w:w="40" w:type="dxa"/>
              <w:bottom w:w="40" w:type="dxa"/>
              <w:right w:w="40" w:type="dxa"/>
            </w:tcMar>
            <w:vAlign w:val="bottom"/>
          </w:tcPr>
          <w:p w14:paraId="0BC9B08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8C" w14:textId="77777777" w:rsidR="009F0928" w:rsidRDefault="002112BD">
            <w:pPr>
              <w:textAlignment w:val="top"/>
              <w:rPr>
                <w:rFonts w:ascii="Times New Roman" w:hAnsi="Times New Roman"/>
                <w:sz w:val="18"/>
                <w:szCs w:val="18"/>
              </w:rPr>
            </w:pPr>
            <w:hyperlink r:id="rId88" w:history="1">
              <w:r>
                <w:rPr>
                  <w:rStyle w:val="a5"/>
                  <w:rFonts w:ascii="Arial" w:eastAsia="宋体" w:hAnsi="Arial" w:cs="Arial"/>
                  <w:sz w:val="18"/>
                  <w:szCs w:val="18"/>
                </w:rPr>
                <w:t>Operating Agreement, dated as of July 17, 2015,  by and among Registrant, eBay International AG, PayPal Holdings, Inc., PayPal, Inc., PayPal Pte. Ltd. and PayPa</w:t>
              </w:r>
              <w:r>
                <w:rPr>
                  <w:rStyle w:val="a5"/>
                  <w:rFonts w:ascii="Arial" w:eastAsia="宋体" w:hAnsi="Arial" w:cs="Arial"/>
                  <w:sz w:val="18"/>
                  <w:szCs w:val="18"/>
                </w:rPr>
                <w:t xml:space="preserve">l Payments Pte. Holdings S.C.S. </w:t>
              </w:r>
            </w:hyperlink>
          </w:p>
        </w:tc>
        <w:tc>
          <w:tcPr>
            <w:tcW w:w="0" w:type="auto"/>
            <w:shd w:val="clear" w:color="auto" w:fill="auto"/>
            <w:tcMar>
              <w:top w:w="40" w:type="dxa"/>
              <w:left w:w="40" w:type="dxa"/>
              <w:bottom w:w="40" w:type="dxa"/>
              <w:right w:w="40" w:type="dxa"/>
            </w:tcMar>
            <w:vAlign w:val="bottom"/>
          </w:tcPr>
          <w:p w14:paraId="0BC9B0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8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8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90"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B09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92"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B0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94"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7/20/2015</w:t>
            </w:r>
          </w:p>
        </w:tc>
      </w:tr>
      <w:tr w:rsidR="009F0928" w14:paraId="0BC9B0A1" w14:textId="77777777">
        <w:trPr>
          <w:jc w:val="center"/>
        </w:trPr>
        <w:tc>
          <w:tcPr>
            <w:tcW w:w="0" w:type="auto"/>
            <w:shd w:val="clear" w:color="auto" w:fill="auto"/>
            <w:tcMar>
              <w:top w:w="40" w:type="dxa"/>
              <w:left w:w="40" w:type="dxa"/>
              <w:bottom w:w="40" w:type="dxa"/>
              <w:right w:w="40" w:type="dxa"/>
            </w:tcMar>
            <w:vAlign w:val="bottom"/>
          </w:tcPr>
          <w:p w14:paraId="0BC9B09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9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9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9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9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9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9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9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9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0AD" w14:textId="77777777">
        <w:trPr>
          <w:jc w:val="center"/>
        </w:trPr>
        <w:tc>
          <w:tcPr>
            <w:tcW w:w="0" w:type="auto"/>
            <w:shd w:val="clear" w:color="auto" w:fill="auto"/>
            <w:tcMar>
              <w:top w:w="40" w:type="dxa"/>
              <w:left w:w="40" w:type="dxa"/>
              <w:bottom w:w="40" w:type="dxa"/>
              <w:right w:w="40" w:type="dxa"/>
            </w:tcMar>
          </w:tcPr>
          <w:p w14:paraId="0BC9B0A2" w14:textId="77777777" w:rsidR="009F0928" w:rsidRDefault="002112BD">
            <w:pPr>
              <w:textAlignment w:val="top"/>
              <w:rPr>
                <w:rFonts w:ascii="Times New Roman" w:hAnsi="Times New Roman"/>
                <w:sz w:val="18"/>
                <w:szCs w:val="18"/>
              </w:rPr>
            </w:pPr>
            <w:r>
              <w:rPr>
                <w:rFonts w:ascii="Arial" w:eastAsia="宋体" w:hAnsi="Arial" w:cs="Arial"/>
                <w:sz w:val="18"/>
                <w:szCs w:val="18"/>
              </w:rPr>
              <w:t>10.34</w:t>
            </w:r>
          </w:p>
        </w:tc>
        <w:tc>
          <w:tcPr>
            <w:tcW w:w="0" w:type="auto"/>
            <w:shd w:val="clear" w:color="auto" w:fill="auto"/>
            <w:tcMar>
              <w:top w:w="40" w:type="dxa"/>
              <w:left w:w="40" w:type="dxa"/>
              <w:bottom w:w="40" w:type="dxa"/>
              <w:right w:w="40" w:type="dxa"/>
            </w:tcMar>
            <w:vAlign w:val="bottom"/>
          </w:tcPr>
          <w:p w14:paraId="0BC9B0A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A4" w14:textId="77777777" w:rsidR="009F0928" w:rsidRDefault="002112BD">
            <w:pPr>
              <w:textAlignment w:val="top"/>
              <w:rPr>
                <w:rFonts w:ascii="Times New Roman" w:hAnsi="Times New Roman"/>
                <w:sz w:val="18"/>
                <w:szCs w:val="18"/>
              </w:rPr>
            </w:pPr>
            <w:hyperlink r:id="rId89" w:history="1">
              <w:r>
                <w:rPr>
                  <w:rStyle w:val="a5"/>
                  <w:rFonts w:ascii="Arial" w:eastAsia="宋体" w:hAnsi="Arial" w:cs="Arial"/>
                  <w:sz w:val="18"/>
                  <w:szCs w:val="18"/>
                </w:rPr>
                <w:t>Transition Services Agreement, dated as of July 17, 2015, by and between Registrant and PayPal Holdings, Inc.</w:t>
              </w:r>
            </w:hyperlink>
          </w:p>
        </w:tc>
        <w:tc>
          <w:tcPr>
            <w:tcW w:w="0" w:type="auto"/>
            <w:shd w:val="clear" w:color="auto" w:fill="auto"/>
            <w:tcMar>
              <w:top w:w="40" w:type="dxa"/>
              <w:left w:w="40" w:type="dxa"/>
              <w:bottom w:w="40" w:type="dxa"/>
              <w:right w:w="40" w:type="dxa"/>
            </w:tcMar>
            <w:vAlign w:val="bottom"/>
          </w:tcPr>
          <w:p w14:paraId="0BC9B0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A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A8"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B0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AA"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B0A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AC"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7/20/2015</w:t>
            </w:r>
          </w:p>
        </w:tc>
      </w:tr>
      <w:tr w:rsidR="009F0928" w14:paraId="0BC9B0B9" w14:textId="77777777">
        <w:trPr>
          <w:jc w:val="center"/>
        </w:trPr>
        <w:tc>
          <w:tcPr>
            <w:tcW w:w="0" w:type="auto"/>
            <w:shd w:val="clear" w:color="auto" w:fill="auto"/>
            <w:tcMar>
              <w:top w:w="40" w:type="dxa"/>
              <w:left w:w="40" w:type="dxa"/>
              <w:bottom w:w="40" w:type="dxa"/>
              <w:right w:w="40" w:type="dxa"/>
            </w:tcMar>
            <w:vAlign w:val="bottom"/>
          </w:tcPr>
          <w:p w14:paraId="0BC9B0A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A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B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B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B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B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B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0C5" w14:textId="77777777">
        <w:trPr>
          <w:jc w:val="center"/>
        </w:trPr>
        <w:tc>
          <w:tcPr>
            <w:tcW w:w="0" w:type="auto"/>
            <w:shd w:val="clear" w:color="auto" w:fill="auto"/>
            <w:tcMar>
              <w:top w:w="40" w:type="dxa"/>
              <w:left w:w="40" w:type="dxa"/>
              <w:bottom w:w="40" w:type="dxa"/>
              <w:right w:w="40" w:type="dxa"/>
            </w:tcMar>
          </w:tcPr>
          <w:p w14:paraId="0BC9B0BA" w14:textId="77777777" w:rsidR="009F0928" w:rsidRDefault="002112BD">
            <w:pPr>
              <w:textAlignment w:val="top"/>
              <w:rPr>
                <w:rFonts w:ascii="Times New Roman" w:hAnsi="Times New Roman"/>
                <w:sz w:val="18"/>
                <w:szCs w:val="18"/>
              </w:rPr>
            </w:pPr>
            <w:r>
              <w:rPr>
                <w:rFonts w:ascii="Arial" w:eastAsia="宋体" w:hAnsi="Arial" w:cs="Arial"/>
                <w:sz w:val="18"/>
                <w:szCs w:val="18"/>
              </w:rPr>
              <w:t>10.35+</w:t>
            </w:r>
          </w:p>
        </w:tc>
        <w:tc>
          <w:tcPr>
            <w:tcW w:w="0" w:type="auto"/>
            <w:shd w:val="clear" w:color="auto" w:fill="auto"/>
            <w:tcMar>
              <w:top w:w="40" w:type="dxa"/>
              <w:left w:w="40" w:type="dxa"/>
              <w:bottom w:w="40" w:type="dxa"/>
              <w:right w:w="40" w:type="dxa"/>
            </w:tcMar>
            <w:vAlign w:val="bottom"/>
          </w:tcPr>
          <w:p w14:paraId="0BC9B0B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BC" w14:textId="77777777" w:rsidR="009F0928" w:rsidRDefault="002112BD">
            <w:pPr>
              <w:textAlignment w:val="top"/>
              <w:rPr>
                <w:rFonts w:ascii="Times New Roman" w:hAnsi="Times New Roman"/>
                <w:sz w:val="18"/>
                <w:szCs w:val="18"/>
              </w:rPr>
            </w:pPr>
            <w:hyperlink r:id="rId90" w:history="1">
              <w:r>
                <w:rPr>
                  <w:rStyle w:val="a5"/>
                  <w:rFonts w:ascii="Arial" w:eastAsia="宋体" w:hAnsi="Arial" w:cs="Arial"/>
                  <w:sz w:val="18"/>
                  <w:szCs w:val="18"/>
                </w:rPr>
                <w:t>Tax Matters Agreement, dated as of July 17, 2015, by and between Registrant and PayPal Holdings, Inc.</w:t>
              </w:r>
            </w:hyperlink>
          </w:p>
        </w:tc>
        <w:tc>
          <w:tcPr>
            <w:tcW w:w="0" w:type="auto"/>
            <w:shd w:val="clear" w:color="auto" w:fill="auto"/>
            <w:tcMar>
              <w:top w:w="40" w:type="dxa"/>
              <w:left w:w="40" w:type="dxa"/>
              <w:bottom w:w="40" w:type="dxa"/>
              <w:right w:w="40" w:type="dxa"/>
            </w:tcMar>
            <w:vAlign w:val="bottom"/>
          </w:tcPr>
          <w:p w14:paraId="0BC9B0B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B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B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C0"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B0C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C2"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B0C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C4"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7/20/2015</w:t>
            </w:r>
          </w:p>
        </w:tc>
      </w:tr>
      <w:tr w:rsidR="009F0928" w14:paraId="0BC9B0D1" w14:textId="77777777">
        <w:trPr>
          <w:jc w:val="center"/>
        </w:trPr>
        <w:tc>
          <w:tcPr>
            <w:tcW w:w="0" w:type="auto"/>
            <w:shd w:val="clear" w:color="auto" w:fill="auto"/>
            <w:tcMar>
              <w:top w:w="40" w:type="dxa"/>
              <w:left w:w="40" w:type="dxa"/>
              <w:bottom w:w="40" w:type="dxa"/>
              <w:right w:w="40" w:type="dxa"/>
            </w:tcMar>
            <w:vAlign w:val="bottom"/>
          </w:tcPr>
          <w:p w14:paraId="0BC9B0C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C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C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C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C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C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C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C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C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0DD" w14:textId="77777777">
        <w:trPr>
          <w:jc w:val="center"/>
        </w:trPr>
        <w:tc>
          <w:tcPr>
            <w:tcW w:w="0" w:type="auto"/>
            <w:shd w:val="clear" w:color="auto" w:fill="auto"/>
            <w:tcMar>
              <w:top w:w="40" w:type="dxa"/>
              <w:left w:w="40" w:type="dxa"/>
              <w:bottom w:w="40" w:type="dxa"/>
              <w:right w:w="40" w:type="dxa"/>
            </w:tcMar>
          </w:tcPr>
          <w:p w14:paraId="0BC9B0D2" w14:textId="77777777" w:rsidR="009F0928" w:rsidRDefault="002112BD">
            <w:pPr>
              <w:textAlignment w:val="top"/>
              <w:rPr>
                <w:rFonts w:ascii="Times New Roman" w:hAnsi="Times New Roman"/>
                <w:sz w:val="18"/>
                <w:szCs w:val="18"/>
              </w:rPr>
            </w:pPr>
            <w:r>
              <w:rPr>
                <w:rFonts w:ascii="Arial" w:eastAsia="宋体" w:hAnsi="Arial" w:cs="Arial"/>
                <w:sz w:val="18"/>
                <w:szCs w:val="18"/>
              </w:rPr>
              <w:t>10.36+</w:t>
            </w:r>
          </w:p>
        </w:tc>
        <w:tc>
          <w:tcPr>
            <w:tcW w:w="0" w:type="auto"/>
            <w:shd w:val="clear" w:color="auto" w:fill="auto"/>
            <w:tcMar>
              <w:top w:w="40" w:type="dxa"/>
              <w:left w:w="40" w:type="dxa"/>
              <w:bottom w:w="40" w:type="dxa"/>
              <w:right w:w="40" w:type="dxa"/>
            </w:tcMar>
            <w:vAlign w:val="bottom"/>
          </w:tcPr>
          <w:p w14:paraId="0BC9B0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D4" w14:textId="77777777" w:rsidR="009F0928" w:rsidRDefault="002112BD">
            <w:pPr>
              <w:textAlignment w:val="bottom"/>
              <w:rPr>
                <w:rFonts w:ascii="Times New Roman" w:hAnsi="Times New Roman"/>
                <w:sz w:val="18"/>
                <w:szCs w:val="18"/>
              </w:rPr>
            </w:pPr>
            <w:hyperlink r:id="rId91" w:history="1">
              <w:r>
                <w:rPr>
                  <w:rStyle w:val="a5"/>
                  <w:rFonts w:ascii="Arial" w:eastAsia="宋体" w:hAnsi="Arial" w:cs="Arial"/>
                  <w:sz w:val="18"/>
                  <w:szCs w:val="18"/>
                </w:rPr>
                <w:t>Employee Matters Agreement, dated as of July 17, 2015, by and between Registrant and PayPal Holdings, Inc.</w:t>
              </w:r>
            </w:hyperlink>
          </w:p>
        </w:tc>
        <w:tc>
          <w:tcPr>
            <w:tcW w:w="0" w:type="auto"/>
            <w:shd w:val="clear" w:color="auto" w:fill="auto"/>
            <w:tcMar>
              <w:top w:w="40" w:type="dxa"/>
              <w:left w:w="40" w:type="dxa"/>
              <w:bottom w:w="40" w:type="dxa"/>
              <w:right w:w="40" w:type="dxa"/>
            </w:tcMar>
            <w:vAlign w:val="bottom"/>
          </w:tcPr>
          <w:p w14:paraId="0BC9B0D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D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D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D8"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B0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DA"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B0D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DC"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7/20/2015</w:t>
            </w:r>
          </w:p>
        </w:tc>
      </w:tr>
      <w:tr w:rsidR="009F0928" w14:paraId="0BC9B0E9" w14:textId="77777777">
        <w:trPr>
          <w:jc w:val="center"/>
        </w:trPr>
        <w:tc>
          <w:tcPr>
            <w:tcW w:w="0" w:type="auto"/>
            <w:shd w:val="clear" w:color="auto" w:fill="auto"/>
            <w:tcMar>
              <w:top w:w="40" w:type="dxa"/>
              <w:left w:w="40" w:type="dxa"/>
              <w:bottom w:w="40" w:type="dxa"/>
              <w:right w:w="40" w:type="dxa"/>
            </w:tcMar>
            <w:vAlign w:val="bottom"/>
          </w:tcPr>
          <w:p w14:paraId="0BC9B0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D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E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E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E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E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E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E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E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0F5" w14:textId="77777777">
        <w:trPr>
          <w:jc w:val="center"/>
        </w:trPr>
        <w:tc>
          <w:tcPr>
            <w:tcW w:w="0" w:type="auto"/>
            <w:shd w:val="clear" w:color="auto" w:fill="auto"/>
            <w:tcMar>
              <w:top w:w="40" w:type="dxa"/>
              <w:left w:w="40" w:type="dxa"/>
              <w:bottom w:w="40" w:type="dxa"/>
              <w:right w:w="40" w:type="dxa"/>
            </w:tcMar>
          </w:tcPr>
          <w:p w14:paraId="0BC9B0EA" w14:textId="77777777" w:rsidR="009F0928" w:rsidRDefault="002112BD">
            <w:pPr>
              <w:textAlignment w:val="top"/>
              <w:rPr>
                <w:rFonts w:ascii="Times New Roman" w:hAnsi="Times New Roman"/>
                <w:sz w:val="18"/>
                <w:szCs w:val="18"/>
              </w:rPr>
            </w:pPr>
            <w:r>
              <w:rPr>
                <w:rFonts w:ascii="Arial" w:eastAsia="宋体" w:hAnsi="Arial" w:cs="Arial"/>
                <w:sz w:val="18"/>
                <w:szCs w:val="18"/>
              </w:rPr>
              <w:t>10.37+</w:t>
            </w:r>
          </w:p>
        </w:tc>
        <w:tc>
          <w:tcPr>
            <w:tcW w:w="0" w:type="auto"/>
            <w:shd w:val="clear" w:color="auto" w:fill="auto"/>
            <w:tcMar>
              <w:top w:w="40" w:type="dxa"/>
              <w:left w:w="40" w:type="dxa"/>
              <w:bottom w:w="40" w:type="dxa"/>
              <w:right w:w="40" w:type="dxa"/>
            </w:tcMar>
            <w:vAlign w:val="bottom"/>
          </w:tcPr>
          <w:p w14:paraId="0BC9B0E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EC" w14:textId="77777777" w:rsidR="009F0928" w:rsidRDefault="002112BD">
            <w:pPr>
              <w:textAlignment w:val="top"/>
              <w:rPr>
                <w:rFonts w:ascii="Times New Roman" w:hAnsi="Times New Roman"/>
                <w:sz w:val="18"/>
                <w:szCs w:val="18"/>
              </w:rPr>
            </w:pPr>
            <w:hyperlink r:id="rId92" w:history="1">
              <w:r>
                <w:rPr>
                  <w:rStyle w:val="a5"/>
                  <w:rFonts w:ascii="Arial" w:eastAsia="宋体" w:hAnsi="Arial" w:cs="Arial"/>
                  <w:sz w:val="18"/>
                  <w:szCs w:val="18"/>
                </w:rPr>
                <w:t xml:space="preserve">Intellectual Property Matters Agreement, dated as of July 17, 2015, by and among </w:t>
              </w:r>
              <w:r>
                <w:rPr>
                  <w:rStyle w:val="a5"/>
                  <w:rFonts w:ascii="Arial" w:eastAsia="宋体" w:hAnsi="Arial" w:cs="Arial"/>
                  <w:sz w:val="18"/>
                  <w:szCs w:val="18"/>
                </w:rPr>
                <w:t>Registrant, eBay International AG, PayPal Holdings, Inc., PayPal, Inc., PayPal Pte. Ltd. and PayPal Payments Pte. Holdings S.C.S.</w:t>
              </w:r>
            </w:hyperlink>
          </w:p>
        </w:tc>
        <w:tc>
          <w:tcPr>
            <w:tcW w:w="0" w:type="auto"/>
            <w:shd w:val="clear" w:color="auto" w:fill="auto"/>
            <w:tcMar>
              <w:top w:w="40" w:type="dxa"/>
              <w:left w:w="40" w:type="dxa"/>
              <w:bottom w:w="40" w:type="dxa"/>
              <w:right w:w="40" w:type="dxa"/>
            </w:tcMar>
            <w:vAlign w:val="bottom"/>
          </w:tcPr>
          <w:p w14:paraId="0BC9B0E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E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E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F0"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B0F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F2"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B0F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0F4"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7/20/2015</w:t>
            </w:r>
          </w:p>
        </w:tc>
      </w:tr>
      <w:tr w:rsidR="009F0928" w14:paraId="0BC9B101" w14:textId="77777777">
        <w:trPr>
          <w:jc w:val="center"/>
        </w:trPr>
        <w:tc>
          <w:tcPr>
            <w:tcW w:w="0" w:type="auto"/>
            <w:shd w:val="clear" w:color="auto" w:fill="auto"/>
            <w:tcMar>
              <w:top w:w="40" w:type="dxa"/>
              <w:left w:w="40" w:type="dxa"/>
              <w:bottom w:w="40" w:type="dxa"/>
              <w:right w:w="40" w:type="dxa"/>
            </w:tcMar>
            <w:vAlign w:val="bottom"/>
          </w:tcPr>
          <w:p w14:paraId="0BC9B0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F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F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F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F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F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F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F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0F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10D" w14:textId="77777777">
        <w:trPr>
          <w:jc w:val="center"/>
        </w:trPr>
        <w:tc>
          <w:tcPr>
            <w:tcW w:w="0" w:type="auto"/>
            <w:shd w:val="clear" w:color="auto" w:fill="auto"/>
            <w:tcMar>
              <w:top w:w="40" w:type="dxa"/>
              <w:left w:w="40" w:type="dxa"/>
              <w:bottom w:w="40" w:type="dxa"/>
              <w:right w:w="40" w:type="dxa"/>
            </w:tcMar>
          </w:tcPr>
          <w:p w14:paraId="0BC9B102" w14:textId="77777777" w:rsidR="009F0928" w:rsidRDefault="002112BD">
            <w:pPr>
              <w:textAlignment w:val="top"/>
              <w:rPr>
                <w:rFonts w:ascii="Times New Roman" w:hAnsi="Times New Roman"/>
                <w:sz w:val="18"/>
                <w:szCs w:val="18"/>
              </w:rPr>
            </w:pPr>
            <w:r>
              <w:rPr>
                <w:rFonts w:ascii="Arial" w:eastAsia="宋体" w:hAnsi="Arial" w:cs="Arial"/>
                <w:sz w:val="18"/>
                <w:szCs w:val="18"/>
              </w:rPr>
              <w:t>10.38+</w:t>
            </w:r>
          </w:p>
        </w:tc>
        <w:tc>
          <w:tcPr>
            <w:tcW w:w="0" w:type="auto"/>
            <w:shd w:val="clear" w:color="auto" w:fill="auto"/>
            <w:tcMar>
              <w:top w:w="40" w:type="dxa"/>
              <w:left w:w="40" w:type="dxa"/>
              <w:bottom w:w="40" w:type="dxa"/>
              <w:right w:w="40" w:type="dxa"/>
            </w:tcMar>
            <w:vAlign w:val="bottom"/>
          </w:tcPr>
          <w:p w14:paraId="0BC9B10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04" w14:textId="77777777" w:rsidR="009F0928" w:rsidRDefault="002112BD">
            <w:pPr>
              <w:textAlignment w:val="top"/>
              <w:rPr>
                <w:rFonts w:ascii="Times New Roman" w:hAnsi="Times New Roman"/>
                <w:sz w:val="18"/>
                <w:szCs w:val="18"/>
              </w:rPr>
            </w:pPr>
            <w:hyperlink r:id="rId93" w:history="1">
              <w:r>
                <w:rPr>
                  <w:rStyle w:val="a5"/>
                  <w:rFonts w:ascii="Arial" w:eastAsia="宋体" w:hAnsi="Arial" w:cs="Arial"/>
                  <w:sz w:val="18"/>
                  <w:szCs w:val="18"/>
                </w:rPr>
                <w:t>Letter dated September 30, 2014 from Registrant to Scott Schenkel.</w:t>
              </w:r>
            </w:hyperlink>
          </w:p>
        </w:tc>
        <w:tc>
          <w:tcPr>
            <w:tcW w:w="0" w:type="auto"/>
            <w:shd w:val="clear" w:color="auto" w:fill="auto"/>
            <w:tcMar>
              <w:top w:w="40" w:type="dxa"/>
              <w:left w:w="40" w:type="dxa"/>
              <w:bottom w:w="40" w:type="dxa"/>
              <w:right w:w="40" w:type="dxa"/>
            </w:tcMar>
            <w:vAlign w:val="bottom"/>
          </w:tcPr>
          <w:p w14:paraId="0BC9B10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0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0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08"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B10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0A"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000-24821</w:t>
            </w:r>
          </w:p>
        </w:tc>
        <w:tc>
          <w:tcPr>
            <w:tcW w:w="0" w:type="auto"/>
            <w:shd w:val="clear" w:color="auto" w:fill="auto"/>
            <w:tcMar>
              <w:top w:w="40" w:type="dxa"/>
              <w:left w:w="40" w:type="dxa"/>
              <w:bottom w:w="40" w:type="dxa"/>
              <w:right w:w="40" w:type="dxa"/>
            </w:tcMar>
            <w:vAlign w:val="bottom"/>
          </w:tcPr>
          <w:p w14:paraId="0BC9B10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0C"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7/21/2015</w:t>
            </w:r>
          </w:p>
        </w:tc>
      </w:tr>
      <w:tr w:rsidR="009F0928" w14:paraId="0BC9B119" w14:textId="77777777">
        <w:trPr>
          <w:jc w:val="center"/>
        </w:trPr>
        <w:tc>
          <w:tcPr>
            <w:tcW w:w="0" w:type="auto"/>
            <w:shd w:val="clear" w:color="auto" w:fill="auto"/>
            <w:tcMar>
              <w:top w:w="40" w:type="dxa"/>
              <w:left w:w="40" w:type="dxa"/>
              <w:bottom w:w="40" w:type="dxa"/>
              <w:right w:w="40" w:type="dxa"/>
            </w:tcMar>
            <w:vAlign w:val="bottom"/>
          </w:tcPr>
          <w:p w14:paraId="0BC9B10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0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1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1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1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1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1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1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125" w14:textId="77777777">
        <w:trPr>
          <w:jc w:val="center"/>
        </w:trPr>
        <w:tc>
          <w:tcPr>
            <w:tcW w:w="0" w:type="auto"/>
            <w:shd w:val="clear" w:color="auto" w:fill="auto"/>
            <w:tcMar>
              <w:top w:w="40" w:type="dxa"/>
              <w:left w:w="40" w:type="dxa"/>
              <w:bottom w:w="40" w:type="dxa"/>
              <w:right w:w="40" w:type="dxa"/>
            </w:tcMar>
          </w:tcPr>
          <w:p w14:paraId="0BC9B11A" w14:textId="77777777" w:rsidR="009F0928" w:rsidRDefault="002112BD">
            <w:pPr>
              <w:textAlignment w:val="top"/>
              <w:rPr>
                <w:rFonts w:ascii="Times New Roman" w:hAnsi="Times New Roman"/>
                <w:sz w:val="18"/>
                <w:szCs w:val="18"/>
              </w:rPr>
            </w:pPr>
            <w:r>
              <w:rPr>
                <w:rFonts w:ascii="Arial" w:eastAsia="宋体" w:hAnsi="Arial" w:cs="Arial"/>
                <w:sz w:val="18"/>
                <w:szCs w:val="18"/>
              </w:rPr>
              <w:t>10.39+</w:t>
            </w:r>
          </w:p>
        </w:tc>
        <w:tc>
          <w:tcPr>
            <w:tcW w:w="0" w:type="auto"/>
            <w:shd w:val="clear" w:color="auto" w:fill="auto"/>
            <w:tcMar>
              <w:top w:w="40" w:type="dxa"/>
              <w:left w:w="40" w:type="dxa"/>
              <w:bottom w:w="40" w:type="dxa"/>
              <w:right w:w="40" w:type="dxa"/>
            </w:tcMar>
            <w:vAlign w:val="bottom"/>
          </w:tcPr>
          <w:p w14:paraId="0BC9B11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1C" w14:textId="77777777" w:rsidR="009F0928" w:rsidRDefault="002112BD">
            <w:pPr>
              <w:textAlignment w:val="top"/>
              <w:rPr>
                <w:rFonts w:ascii="Times New Roman" w:hAnsi="Times New Roman"/>
                <w:sz w:val="18"/>
                <w:szCs w:val="18"/>
              </w:rPr>
            </w:pPr>
            <w:hyperlink r:id="rId94" w:history="1">
              <w:r>
                <w:rPr>
                  <w:rStyle w:val="a5"/>
                  <w:rFonts w:ascii="Arial" w:eastAsia="宋体" w:hAnsi="Arial" w:cs="Arial"/>
                  <w:sz w:val="18"/>
                  <w:szCs w:val="18"/>
                </w:rPr>
                <w:t>Offer Letter dated April 2, 2015 between Registrant and Marie Oh Huber.</w:t>
              </w:r>
            </w:hyperlink>
          </w:p>
        </w:tc>
        <w:tc>
          <w:tcPr>
            <w:tcW w:w="0" w:type="auto"/>
            <w:shd w:val="clear" w:color="auto" w:fill="auto"/>
            <w:tcMar>
              <w:top w:w="40" w:type="dxa"/>
              <w:left w:w="40" w:type="dxa"/>
              <w:bottom w:w="40" w:type="dxa"/>
              <w:right w:w="40" w:type="dxa"/>
            </w:tcMar>
            <w:vAlign w:val="bottom"/>
          </w:tcPr>
          <w:p w14:paraId="0BC9B11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1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20"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B12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22"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B12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24"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4/27/2016</w:t>
            </w:r>
          </w:p>
        </w:tc>
      </w:tr>
      <w:tr w:rsidR="009F0928" w14:paraId="0BC9B131" w14:textId="77777777">
        <w:trPr>
          <w:jc w:val="center"/>
        </w:trPr>
        <w:tc>
          <w:tcPr>
            <w:tcW w:w="0" w:type="auto"/>
            <w:shd w:val="clear" w:color="auto" w:fill="auto"/>
            <w:tcMar>
              <w:top w:w="40" w:type="dxa"/>
              <w:left w:w="40" w:type="dxa"/>
              <w:bottom w:w="40" w:type="dxa"/>
              <w:right w:w="40" w:type="dxa"/>
            </w:tcMar>
            <w:vAlign w:val="bottom"/>
          </w:tcPr>
          <w:p w14:paraId="0BC9B12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2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2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2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2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2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2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2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2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2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3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13D" w14:textId="77777777">
        <w:trPr>
          <w:jc w:val="center"/>
        </w:trPr>
        <w:tc>
          <w:tcPr>
            <w:tcW w:w="0" w:type="auto"/>
            <w:shd w:val="clear" w:color="auto" w:fill="auto"/>
            <w:tcMar>
              <w:top w:w="40" w:type="dxa"/>
              <w:left w:w="40" w:type="dxa"/>
              <w:bottom w:w="40" w:type="dxa"/>
              <w:right w:w="40" w:type="dxa"/>
            </w:tcMar>
          </w:tcPr>
          <w:p w14:paraId="0BC9B132" w14:textId="77777777" w:rsidR="009F0928" w:rsidRDefault="002112BD">
            <w:pPr>
              <w:textAlignment w:val="top"/>
              <w:rPr>
                <w:rFonts w:ascii="Times New Roman" w:hAnsi="Times New Roman"/>
                <w:sz w:val="18"/>
                <w:szCs w:val="18"/>
              </w:rPr>
            </w:pPr>
            <w:r>
              <w:rPr>
                <w:rFonts w:ascii="Arial" w:eastAsia="宋体" w:hAnsi="Arial" w:cs="Arial"/>
                <w:sz w:val="18"/>
                <w:szCs w:val="18"/>
              </w:rPr>
              <w:t>10.40</w:t>
            </w:r>
          </w:p>
        </w:tc>
        <w:tc>
          <w:tcPr>
            <w:tcW w:w="0" w:type="auto"/>
            <w:shd w:val="clear" w:color="auto" w:fill="auto"/>
            <w:tcMar>
              <w:top w:w="40" w:type="dxa"/>
              <w:left w:w="40" w:type="dxa"/>
              <w:bottom w:w="40" w:type="dxa"/>
              <w:right w:w="40" w:type="dxa"/>
            </w:tcMar>
            <w:vAlign w:val="bottom"/>
          </w:tcPr>
          <w:p w14:paraId="0BC9B13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34" w14:textId="77777777" w:rsidR="009F0928" w:rsidRDefault="002112BD">
            <w:pPr>
              <w:textAlignment w:val="bottom"/>
              <w:rPr>
                <w:rFonts w:ascii="Times New Roman" w:hAnsi="Times New Roman"/>
                <w:sz w:val="18"/>
                <w:szCs w:val="18"/>
              </w:rPr>
            </w:pPr>
            <w:hyperlink r:id="rId95" w:history="1">
              <w:r>
                <w:rPr>
                  <w:rStyle w:val="a5"/>
                  <w:rFonts w:ascii="Arial" w:eastAsia="宋体" w:hAnsi="Arial" w:cs="Arial"/>
                  <w:sz w:val="18"/>
                  <w:szCs w:val="18"/>
                </w:rPr>
                <w:t>Cooperation Agreement, dated February 28, 2019, by and among Elliott Associates, L.P., Elliott International, L.P., Elliott International Capital Adviso</w:t>
              </w:r>
              <w:r>
                <w:rPr>
                  <w:rStyle w:val="a5"/>
                  <w:rFonts w:ascii="Arial" w:eastAsia="宋体" w:hAnsi="Arial" w:cs="Arial"/>
                  <w:sz w:val="18"/>
                  <w:szCs w:val="18"/>
                </w:rPr>
                <w:t>rs Inc. and Registrant.</w:t>
              </w:r>
            </w:hyperlink>
          </w:p>
        </w:tc>
        <w:tc>
          <w:tcPr>
            <w:tcW w:w="0" w:type="auto"/>
            <w:shd w:val="clear" w:color="auto" w:fill="auto"/>
            <w:tcMar>
              <w:top w:w="40" w:type="dxa"/>
              <w:left w:w="40" w:type="dxa"/>
              <w:bottom w:w="40" w:type="dxa"/>
              <w:right w:w="40" w:type="dxa"/>
            </w:tcMar>
            <w:vAlign w:val="bottom"/>
          </w:tcPr>
          <w:p w14:paraId="0BC9B13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38"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B13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3A"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B13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3C"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2/28/2019</w:t>
            </w:r>
          </w:p>
        </w:tc>
      </w:tr>
      <w:tr w:rsidR="009F0928" w14:paraId="0BC9B149" w14:textId="77777777">
        <w:trPr>
          <w:jc w:val="center"/>
        </w:trPr>
        <w:tc>
          <w:tcPr>
            <w:tcW w:w="0" w:type="auto"/>
            <w:shd w:val="clear" w:color="auto" w:fill="auto"/>
            <w:tcMar>
              <w:top w:w="40" w:type="dxa"/>
              <w:left w:w="40" w:type="dxa"/>
              <w:bottom w:w="40" w:type="dxa"/>
              <w:right w:w="40" w:type="dxa"/>
            </w:tcMar>
            <w:vAlign w:val="bottom"/>
          </w:tcPr>
          <w:p w14:paraId="0BC9B13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3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4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4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4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4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4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4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4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4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4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155" w14:textId="77777777">
        <w:trPr>
          <w:jc w:val="center"/>
        </w:trPr>
        <w:tc>
          <w:tcPr>
            <w:tcW w:w="0" w:type="auto"/>
            <w:shd w:val="clear" w:color="auto" w:fill="auto"/>
            <w:tcMar>
              <w:top w:w="40" w:type="dxa"/>
              <w:left w:w="40" w:type="dxa"/>
              <w:bottom w:w="40" w:type="dxa"/>
              <w:right w:w="40" w:type="dxa"/>
            </w:tcMar>
          </w:tcPr>
          <w:p w14:paraId="0BC9B14A" w14:textId="77777777" w:rsidR="009F0928" w:rsidRDefault="002112BD">
            <w:pPr>
              <w:textAlignment w:val="top"/>
              <w:rPr>
                <w:rFonts w:ascii="Times New Roman" w:hAnsi="Times New Roman"/>
                <w:sz w:val="18"/>
                <w:szCs w:val="18"/>
              </w:rPr>
            </w:pPr>
            <w:r>
              <w:rPr>
                <w:rFonts w:ascii="Arial" w:eastAsia="宋体" w:hAnsi="Arial" w:cs="Arial"/>
                <w:sz w:val="18"/>
                <w:szCs w:val="18"/>
              </w:rPr>
              <w:t>10.41</w:t>
            </w:r>
          </w:p>
        </w:tc>
        <w:tc>
          <w:tcPr>
            <w:tcW w:w="0" w:type="auto"/>
            <w:shd w:val="clear" w:color="auto" w:fill="auto"/>
            <w:tcMar>
              <w:top w:w="40" w:type="dxa"/>
              <w:left w:w="40" w:type="dxa"/>
              <w:bottom w:w="40" w:type="dxa"/>
              <w:right w:w="40" w:type="dxa"/>
            </w:tcMar>
            <w:vAlign w:val="bottom"/>
          </w:tcPr>
          <w:p w14:paraId="0BC9B14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4C" w14:textId="77777777" w:rsidR="009F0928" w:rsidRDefault="002112BD">
            <w:pPr>
              <w:textAlignment w:val="bottom"/>
              <w:rPr>
                <w:rFonts w:ascii="Times New Roman" w:hAnsi="Times New Roman"/>
                <w:sz w:val="18"/>
                <w:szCs w:val="18"/>
              </w:rPr>
            </w:pPr>
            <w:hyperlink r:id="rId96" w:history="1">
              <w:r>
                <w:rPr>
                  <w:rStyle w:val="a5"/>
                  <w:rFonts w:ascii="Arial" w:eastAsia="宋体" w:hAnsi="Arial" w:cs="Arial"/>
                  <w:sz w:val="18"/>
                  <w:szCs w:val="18"/>
                </w:rPr>
                <w:t>Agreement, dated February 28, 2019 by and among Starboard Value LP and affiliates and Registrant.</w:t>
              </w:r>
            </w:hyperlink>
          </w:p>
        </w:tc>
        <w:tc>
          <w:tcPr>
            <w:tcW w:w="0" w:type="auto"/>
            <w:shd w:val="clear" w:color="auto" w:fill="auto"/>
            <w:tcMar>
              <w:top w:w="40" w:type="dxa"/>
              <w:left w:w="40" w:type="dxa"/>
              <w:bottom w:w="40" w:type="dxa"/>
              <w:right w:w="40" w:type="dxa"/>
            </w:tcMar>
            <w:vAlign w:val="bottom"/>
          </w:tcPr>
          <w:p w14:paraId="0BC9B14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4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4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50"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B15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52"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B15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54"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2/28/2019</w:t>
            </w:r>
          </w:p>
        </w:tc>
      </w:tr>
      <w:tr w:rsidR="009F0928" w14:paraId="0BC9B161" w14:textId="77777777">
        <w:trPr>
          <w:jc w:val="center"/>
        </w:trPr>
        <w:tc>
          <w:tcPr>
            <w:tcW w:w="0" w:type="auto"/>
            <w:shd w:val="clear" w:color="auto" w:fill="auto"/>
            <w:tcMar>
              <w:top w:w="40" w:type="dxa"/>
              <w:left w:w="40" w:type="dxa"/>
              <w:bottom w:w="40" w:type="dxa"/>
              <w:right w:w="40" w:type="dxa"/>
            </w:tcMar>
            <w:vAlign w:val="bottom"/>
          </w:tcPr>
          <w:p w14:paraId="0BC9B15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5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5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5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5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5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5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5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5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5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6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16D" w14:textId="77777777">
        <w:trPr>
          <w:jc w:val="center"/>
        </w:trPr>
        <w:tc>
          <w:tcPr>
            <w:tcW w:w="0" w:type="auto"/>
            <w:shd w:val="clear" w:color="auto" w:fill="auto"/>
            <w:tcMar>
              <w:top w:w="40" w:type="dxa"/>
              <w:left w:w="40" w:type="dxa"/>
              <w:bottom w:w="40" w:type="dxa"/>
              <w:right w:w="40" w:type="dxa"/>
            </w:tcMar>
          </w:tcPr>
          <w:p w14:paraId="0BC9B162" w14:textId="77777777" w:rsidR="009F0928" w:rsidRDefault="002112BD">
            <w:pPr>
              <w:textAlignment w:val="top"/>
              <w:rPr>
                <w:rFonts w:ascii="Times New Roman" w:hAnsi="Times New Roman"/>
                <w:sz w:val="18"/>
                <w:szCs w:val="18"/>
              </w:rPr>
            </w:pPr>
            <w:r>
              <w:rPr>
                <w:rFonts w:ascii="Arial" w:eastAsia="宋体" w:hAnsi="Arial" w:cs="Arial"/>
                <w:sz w:val="18"/>
                <w:szCs w:val="18"/>
              </w:rPr>
              <w:t>10.42+</w:t>
            </w:r>
          </w:p>
        </w:tc>
        <w:tc>
          <w:tcPr>
            <w:tcW w:w="0" w:type="auto"/>
            <w:shd w:val="clear" w:color="auto" w:fill="auto"/>
            <w:tcMar>
              <w:top w:w="40" w:type="dxa"/>
              <w:left w:w="40" w:type="dxa"/>
              <w:bottom w:w="40" w:type="dxa"/>
              <w:right w:w="40" w:type="dxa"/>
            </w:tcMar>
            <w:vAlign w:val="bottom"/>
          </w:tcPr>
          <w:p w14:paraId="0BC9B16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64" w14:textId="77777777" w:rsidR="009F0928" w:rsidRDefault="002112BD">
            <w:pPr>
              <w:textAlignment w:val="bottom"/>
              <w:rPr>
                <w:rFonts w:ascii="Times New Roman" w:hAnsi="Times New Roman"/>
                <w:sz w:val="18"/>
                <w:szCs w:val="18"/>
              </w:rPr>
            </w:pPr>
            <w:hyperlink r:id="rId97" w:history="1">
              <w:r>
                <w:rPr>
                  <w:rStyle w:val="a5"/>
                  <w:rFonts w:ascii="Arial" w:eastAsia="宋体" w:hAnsi="Arial" w:cs="Arial"/>
                  <w:sz w:val="18"/>
                  <w:szCs w:val="18"/>
                </w:rPr>
                <w:t>Offer Letter dated February 1, 2017, between Registrant and Wendy Jones</w:t>
              </w:r>
            </w:hyperlink>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B1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6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6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68"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B16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6A" w14:textId="77777777" w:rsidR="009F0928" w:rsidRDefault="002112BD">
            <w:pPr>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B16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6C"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7/18/2019</w:t>
            </w:r>
          </w:p>
        </w:tc>
      </w:tr>
      <w:tr w:rsidR="009F0928" w14:paraId="0BC9B179" w14:textId="77777777">
        <w:trPr>
          <w:jc w:val="center"/>
        </w:trPr>
        <w:tc>
          <w:tcPr>
            <w:tcW w:w="0" w:type="auto"/>
            <w:shd w:val="clear" w:color="auto" w:fill="auto"/>
            <w:tcMar>
              <w:top w:w="40" w:type="dxa"/>
              <w:left w:w="40" w:type="dxa"/>
              <w:bottom w:w="40" w:type="dxa"/>
              <w:right w:w="40" w:type="dxa"/>
            </w:tcMar>
            <w:vAlign w:val="bottom"/>
          </w:tcPr>
          <w:p w14:paraId="0BC9B16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6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7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7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7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7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7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7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7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7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7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185" w14:textId="77777777">
        <w:trPr>
          <w:jc w:val="center"/>
        </w:trPr>
        <w:tc>
          <w:tcPr>
            <w:tcW w:w="0" w:type="auto"/>
            <w:shd w:val="clear" w:color="auto" w:fill="auto"/>
            <w:tcMar>
              <w:top w:w="40" w:type="dxa"/>
              <w:left w:w="40" w:type="dxa"/>
              <w:bottom w:w="40" w:type="dxa"/>
              <w:right w:w="40" w:type="dxa"/>
            </w:tcMar>
          </w:tcPr>
          <w:p w14:paraId="0BC9B17A" w14:textId="77777777" w:rsidR="009F0928" w:rsidRDefault="002112BD">
            <w:pPr>
              <w:textAlignment w:val="top"/>
              <w:rPr>
                <w:rFonts w:ascii="Times New Roman" w:hAnsi="Times New Roman"/>
                <w:sz w:val="18"/>
                <w:szCs w:val="18"/>
              </w:rPr>
            </w:pPr>
            <w:r>
              <w:rPr>
                <w:rFonts w:ascii="Arial" w:eastAsia="宋体" w:hAnsi="Arial" w:cs="Arial"/>
                <w:sz w:val="18"/>
                <w:szCs w:val="18"/>
              </w:rPr>
              <w:t>10.43+</w:t>
            </w:r>
          </w:p>
        </w:tc>
        <w:tc>
          <w:tcPr>
            <w:tcW w:w="0" w:type="auto"/>
            <w:shd w:val="clear" w:color="auto" w:fill="auto"/>
            <w:tcMar>
              <w:top w:w="40" w:type="dxa"/>
              <w:left w:w="40" w:type="dxa"/>
              <w:bottom w:w="40" w:type="dxa"/>
              <w:right w:w="40" w:type="dxa"/>
            </w:tcMar>
            <w:vAlign w:val="bottom"/>
          </w:tcPr>
          <w:p w14:paraId="0BC9B17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7C" w14:textId="77777777" w:rsidR="009F0928" w:rsidRDefault="002112BD">
            <w:pPr>
              <w:textAlignment w:val="bottom"/>
              <w:rPr>
                <w:rFonts w:ascii="Times New Roman" w:hAnsi="Times New Roman"/>
                <w:sz w:val="18"/>
                <w:szCs w:val="18"/>
              </w:rPr>
            </w:pPr>
            <w:hyperlink r:id="rId98" w:history="1">
              <w:r>
                <w:rPr>
                  <w:rStyle w:val="a5"/>
                  <w:rFonts w:ascii="Arial" w:eastAsia="宋体" w:hAnsi="Arial" w:cs="Arial"/>
                  <w:sz w:val="18"/>
                  <w:szCs w:val="18"/>
                </w:rPr>
                <w:t>Offer Letter dated July 3, 2018, between Registrant and Wendy Jones</w:t>
              </w:r>
            </w:hyperlink>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B17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7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7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80"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B18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82" w14:textId="77777777" w:rsidR="009F0928" w:rsidRDefault="002112BD">
            <w:pPr>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B18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84"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7/18/2019</w:t>
            </w:r>
          </w:p>
        </w:tc>
      </w:tr>
      <w:tr w:rsidR="009F0928" w14:paraId="0BC9B191" w14:textId="77777777">
        <w:trPr>
          <w:jc w:val="center"/>
        </w:trPr>
        <w:tc>
          <w:tcPr>
            <w:tcW w:w="0" w:type="auto"/>
            <w:shd w:val="clear" w:color="auto" w:fill="auto"/>
            <w:tcMar>
              <w:top w:w="40" w:type="dxa"/>
              <w:left w:w="40" w:type="dxa"/>
              <w:bottom w:w="40" w:type="dxa"/>
              <w:right w:w="40" w:type="dxa"/>
            </w:tcMar>
            <w:vAlign w:val="bottom"/>
          </w:tcPr>
          <w:p w14:paraId="0BC9B18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8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8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8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8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8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8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8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8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19D" w14:textId="77777777">
        <w:trPr>
          <w:jc w:val="center"/>
        </w:trPr>
        <w:tc>
          <w:tcPr>
            <w:tcW w:w="0" w:type="auto"/>
            <w:shd w:val="clear" w:color="auto" w:fill="auto"/>
            <w:tcMar>
              <w:top w:w="40" w:type="dxa"/>
              <w:left w:w="40" w:type="dxa"/>
              <w:bottom w:w="40" w:type="dxa"/>
              <w:right w:w="40" w:type="dxa"/>
            </w:tcMar>
          </w:tcPr>
          <w:p w14:paraId="0BC9B192" w14:textId="77777777" w:rsidR="009F0928" w:rsidRDefault="002112BD">
            <w:pPr>
              <w:textAlignment w:val="top"/>
              <w:rPr>
                <w:rFonts w:ascii="Times New Roman" w:hAnsi="Times New Roman"/>
                <w:sz w:val="18"/>
                <w:szCs w:val="18"/>
              </w:rPr>
            </w:pPr>
            <w:r>
              <w:rPr>
                <w:rFonts w:ascii="Arial" w:eastAsia="宋体" w:hAnsi="Arial" w:cs="Arial"/>
                <w:sz w:val="18"/>
                <w:szCs w:val="18"/>
              </w:rPr>
              <w:t>10.44+</w:t>
            </w:r>
          </w:p>
        </w:tc>
        <w:tc>
          <w:tcPr>
            <w:tcW w:w="0" w:type="auto"/>
            <w:shd w:val="clear" w:color="auto" w:fill="auto"/>
            <w:tcMar>
              <w:top w:w="40" w:type="dxa"/>
              <w:left w:w="40" w:type="dxa"/>
              <w:bottom w:w="40" w:type="dxa"/>
              <w:right w:w="40" w:type="dxa"/>
            </w:tcMar>
            <w:vAlign w:val="bottom"/>
          </w:tcPr>
          <w:p w14:paraId="0BC9B1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94" w14:textId="77777777" w:rsidR="009F0928" w:rsidRDefault="002112BD">
            <w:pPr>
              <w:textAlignment w:val="bottom"/>
              <w:rPr>
                <w:rFonts w:ascii="Times New Roman" w:hAnsi="Times New Roman"/>
                <w:sz w:val="18"/>
                <w:szCs w:val="18"/>
              </w:rPr>
            </w:pPr>
            <w:hyperlink r:id="rId99" w:history="1">
              <w:r>
                <w:rPr>
                  <w:rStyle w:val="a5"/>
                  <w:rFonts w:ascii="Arial" w:eastAsia="宋体" w:hAnsi="Arial" w:cs="Arial"/>
                  <w:sz w:val="18"/>
                  <w:szCs w:val="18"/>
                </w:rPr>
                <w:t>Amended and Restated eBay Inc, SVP and Above Standard Severance Plan, effective September 18, 2019</w:t>
              </w:r>
            </w:hyperlink>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0BC9B19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9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98"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B19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9A" w14:textId="77777777" w:rsidR="009F0928" w:rsidRDefault="002112BD">
            <w:pPr>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B19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9C"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10/24/2019</w:t>
            </w:r>
          </w:p>
        </w:tc>
      </w:tr>
      <w:tr w:rsidR="009F0928" w14:paraId="0BC9B1A9" w14:textId="77777777">
        <w:trPr>
          <w:jc w:val="center"/>
        </w:trPr>
        <w:tc>
          <w:tcPr>
            <w:tcW w:w="0" w:type="auto"/>
            <w:shd w:val="clear" w:color="auto" w:fill="auto"/>
            <w:tcMar>
              <w:top w:w="40" w:type="dxa"/>
              <w:left w:w="40" w:type="dxa"/>
              <w:bottom w:w="40" w:type="dxa"/>
              <w:right w:w="40" w:type="dxa"/>
            </w:tcMar>
            <w:vAlign w:val="bottom"/>
          </w:tcPr>
          <w:p w14:paraId="0BC9B19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9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A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A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A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A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A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A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1B5" w14:textId="77777777">
        <w:trPr>
          <w:jc w:val="center"/>
        </w:trPr>
        <w:tc>
          <w:tcPr>
            <w:tcW w:w="0" w:type="auto"/>
            <w:shd w:val="clear" w:color="auto" w:fill="auto"/>
            <w:tcMar>
              <w:top w:w="40" w:type="dxa"/>
              <w:left w:w="40" w:type="dxa"/>
              <w:bottom w:w="40" w:type="dxa"/>
              <w:right w:w="40" w:type="dxa"/>
            </w:tcMar>
          </w:tcPr>
          <w:p w14:paraId="0BC9B1AA" w14:textId="77777777" w:rsidR="009F0928" w:rsidRDefault="002112BD">
            <w:pPr>
              <w:textAlignment w:val="top"/>
              <w:rPr>
                <w:rFonts w:ascii="Times New Roman" w:hAnsi="Times New Roman"/>
                <w:sz w:val="18"/>
                <w:szCs w:val="18"/>
              </w:rPr>
            </w:pPr>
            <w:r>
              <w:rPr>
                <w:rFonts w:ascii="Arial" w:eastAsia="宋体" w:hAnsi="Arial" w:cs="Arial"/>
                <w:sz w:val="18"/>
                <w:szCs w:val="18"/>
              </w:rPr>
              <w:t>10.45+</w:t>
            </w:r>
          </w:p>
        </w:tc>
        <w:tc>
          <w:tcPr>
            <w:tcW w:w="0" w:type="auto"/>
            <w:shd w:val="clear" w:color="auto" w:fill="auto"/>
            <w:tcMar>
              <w:top w:w="40" w:type="dxa"/>
              <w:left w:w="40" w:type="dxa"/>
              <w:bottom w:w="40" w:type="dxa"/>
              <w:right w:w="40" w:type="dxa"/>
            </w:tcMar>
            <w:vAlign w:val="bottom"/>
          </w:tcPr>
          <w:p w14:paraId="0BC9B1A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AC" w14:textId="77777777" w:rsidR="009F0928" w:rsidRDefault="002112BD">
            <w:pPr>
              <w:textAlignment w:val="bottom"/>
              <w:rPr>
                <w:rFonts w:ascii="Times New Roman" w:hAnsi="Times New Roman"/>
                <w:sz w:val="18"/>
                <w:szCs w:val="18"/>
              </w:rPr>
            </w:pPr>
            <w:hyperlink r:id="rId100" w:history="1">
              <w:r>
                <w:rPr>
                  <w:rStyle w:val="a5"/>
                  <w:rFonts w:ascii="Arial" w:eastAsia="宋体" w:hAnsi="Arial" w:cs="Arial"/>
                  <w:sz w:val="18"/>
                  <w:szCs w:val="18"/>
                </w:rPr>
                <w:t>Letter Agreement between Devin N. Wenig and eBay Inc., dated September 24, 2019.</w:t>
              </w:r>
            </w:hyperlink>
          </w:p>
        </w:tc>
        <w:tc>
          <w:tcPr>
            <w:tcW w:w="0" w:type="auto"/>
            <w:shd w:val="clear" w:color="auto" w:fill="auto"/>
            <w:tcMar>
              <w:top w:w="40" w:type="dxa"/>
              <w:left w:w="40" w:type="dxa"/>
              <w:bottom w:w="40" w:type="dxa"/>
              <w:right w:w="40" w:type="dxa"/>
            </w:tcMar>
            <w:vAlign w:val="bottom"/>
          </w:tcPr>
          <w:p w14:paraId="0BC9B1A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A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A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B0"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B1B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B2" w14:textId="77777777" w:rsidR="009F0928" w:rsidRDefault="002112BD">
            <w:pPr>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B1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B4"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9/25/2019</w:t>
            </w:r>
          </w:p>
        </w:tc>
      </w:tr>
      <w:tr w:rsidR="009F0928" w14:paraId="0BC9B1C1" w14:textId="77777777">
        <w:trPr>
          <w:jc w:val="center"/>
        </w:trPr>
        <w:tc>
          <w:tcPr>
            <w:tcW w:w="0" w:type="auto"/>
            <w:shd w:val="clear" w:color="auto" w:fill="auto"/>
            <w:tcMar>
              <w:top w:w="40" w:type="dxa"/>
              <w:left w:w="40" w:type="dxa"/>
              <w:bottom w:w="40" w:type="dxa"/>
              <w:right w:w="40" w:type="dxa"/>
            </w:tcMar>
            <w:vAlign w:val="bottom"/>
          </w:tcPr>
          <w:p w14:paraId="0BC9B1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B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B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B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B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B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B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B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B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B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1CD" w14:textId="77777777">
        <w:trPr>
          <w:jc w:val="center"/>
        </w:trPr>
        <w:tc>
          <w:tcPr>
            <w:tcW w:w="0" w:type="auto"/>
            <w:shd w:val="clear" w:color="auto" w:fill="auto"/>
            <w:tcMar>
              <w:top w:w="40" w:type="dxa"/>
              <w:left w:w="40" w:type="dxa"/>
              <w:bottom w:w="40" w:type="dxa"/>
              <w:right w:w="40" w:type="dxa"/>
            </w:tcMar>
          </w:tcPr>
          <w:p w14:paraId="0BC9B1C2" w14:textId="77777777" w:rsidR="009F0928" w:rsidRDefault="002112BD">
            <w:pPr>
              <w:textAlignment w:val="top"/>
              <w:rPr>
                <w:rFonts w:ascii="Times New Roman" w:hAnsi="Times New Roman"/>
                <w:sz w:val="18"/>
                <w:szCs w:val="18"/>
              </w:rPr>
            </w:pPr>
            <w:r>
              <w:rPr>
                <w:rFonts w:ascii="Arial" w:eastAsia="宋体" w:hAnsi="Arial" w:cs="Arial"/>
                <w:sz w:val="18"/>
                <w:szCs w:val="18"/>
              </w:rPr>
              <w:t>10.46+</w:t>
            </w:r>
          </w:p>
        </w:tc>
        <w:tc>
          <w:tcPr>
            <w:tcW w:w="0" w:type="auto"/>
            <w:shd w:val="clear" w:color="auto" w:fill="auto"/>
            <w:tcMar>
              <w:top w:w="40" w:type="dxa"/>
              <w:left w:w="40" w:type="dxa"/>
              <w:bottom w:w="40" w:type="dxa"/>
              <w:right w:w="40" w:type="dxa"/>
            </w:tcMar>
            <w:vAlign w:val="bottom"/>
          </w:tcPr>
          <w:p w14:paraId="0BC9B1C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C4" w14:textId="77777777" w:rsidR="009F0928" w:rsidRDefault="002112BD">
            <w:pPr>
              <w:textAlignment w:val="bottom"/>
              <w:rPr>
                <w:rFonts w:ascii="Times New Roman" w:hAnsi="Times New Roman"/>
                <w:sz w:val="18"/>
                <w:szCs w:val="18"/>
              </w:rPr>
            </w:pPr>
            <w:hyperlink r:id="rId101" w:history="1">
              <w:r>
                <w:rPr>
                  <w:rStyle w:val="a5"/>
                  <w:rFonts w:ascii="Arial" w:eastAsia="宋体" w:hAnsi="Arial" w:cs="Arial"/>
                  <w:sz w:val="18"/>
                  <w:szCs w:val="18"/>
                </w:rPr>
                <w:t>Letter Agreement between Scott Schenkel and eBay Inc., dated October 11, 2019.</w:t>
              </w:r>
            </w:hyperlink>
          </w:p>
        </w:tc>
        <w:tc>
          <w:tcPr>
            <w:tcW w:w="0" w:type="auto"/>
            <w:shd w:val="clear" w:color="auto" w:fill="auto"/>
            <w:tcMar>
              <w:top w:w="40" w:type="dxa"/>
              <w:left w:w="40" w:type="dxa"/>
              <w:bottom w:w="40" w:type="dxa"/>
              <w:right w:w="40" w:type="dxa"/>
            </w:tcMar>
            <w:vAlign w:val="bottom"/>
          </w:tcPr>
          <w:p w14:paraId="0BC9B1C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C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C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C8"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B1C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CA" w14:textId="77777777" w:rsidR="009F0928" w:rsidRDefault="002112BD">
            <w:pPr>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B1C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CC"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10/16/2019</w:t>
            </w:r>
          </w:p>
        </w:tc>
      </w:tr>
      <w:tr w:rsidR="009F0928" w14:paraId="0BC9B1D9" w14:textId="77777777">
        <w:trPr>
          <w:jc w:val="center"/>
        </w:trPr>
        <w:tc>
          <w:tcPr>
            <w:tcW w:w="0" w:type="auto"/>
            <w:shd w:val="clear" w:color="auto" w:fill="auto"/>
            <w:tcMar>
              <w:top w:w="40" w:type="dxa"/>
              <w:left w:w="40" w:type="dxa"/>
              <w:bottom w:w="40" w:type="dxa"/>
              <w:right w:w="40" w:type="dxa"/>
            </w:tcMar>
            <w:vAlign w:val="bottom"/>
          </w:tcPr>
          <w:p w14:paraId="0BC9B1C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C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D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D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D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D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D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D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D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D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1E5" w14:textId="77777777">
        <w:trPr>
          <w:jc w:val="center"/>
        </w:trPr>
        <w:tc>
          <w:tcPr>
            <w:tcW w:w="0" w:type="auto"/>
            <w:shd w:val="clear" w:color="auto" w:fill="auto"/>
            <w:tcMar>
              <w:top w:w="40" w:type="dxa"/>
              <w:left w:w="40" w:type="dxa"/>
              <w:bottom w:w="40" w:type="dxa"/>
              <w:right w:w="40" w:type="dxa"/>
            </w:tcMar>
          </w:tcPr>
          <w:p w14:paraId="0BC9B1DA" w14:textId="77777777" w:rsidR="009F0928" w:rsidRDefault="002112BD">
            <w:pPr>
              <w:textAlignment w:val="top"/>
              <w:rPr>
                <w:rFonts w:ascii="Times New Roman" w:hAnsi="Times New Roman"/>
                <w:sz w:val="18"/>
                <w:szCs w:val="18"/>
              </w:rPr>
            </w:pPr>
            <w:r>
              <w:rPr>
                <w:rFonts w:ascii="Arial" w:eastAsia="宋体" w:hAnsi="Arial" w:cs="Arial"/>
                <w:sz w:val="18"/>
                <w:szCs w:val="18"/>
              </w:rPr>
              <w:t>10.47+</w:t>
            </w:r>
          </w:p>
        </w:tc>
        <w:tc>
          <w:tcPr>
            <w:tcW w:w="0" w:type="auto"/>
            <w:shd w:val="clear" w:color="auto" w:fill="auto"/>
            <w:tcMar>
              <w:top w:w="40" w:type="dxa"/>
              <w:left w:w="40" w:type="dxa"/>
              <w:bottom w:w="40" w:type="dxa"/>
              <w:right w:w="40" w:type="dxa"/>
            </w:tcMar>
            <w:vAlign w:val="bottom"/>
          </w:tcPr>
          <w:p w14:paraId="0BC9B1D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DC" w14:textId="77777777" w:rsidR="009F0928" w:rsidRDefault="002112BD">
            <w:pPr>
              <w:textAlignment w:val="bottom"/>
              <w:rPr>
                <w:rFonts w:ascii="Times New Roman" w:hAnsi="Times New Roman"/>
                <w:sz w:val="18"/>
                <w:szCs w:val="18"/>
              </w:rPr>
            </w:pPr>
            <w:hyperlink r:id="rId102" w:history="1">
              <w:r>
                <w:rPr>
                  <w:rStyle w:val="a5"/>
                  <w:rFonts w:ascii="Arial" w:eastAsia="宋体" w:hAnsi="Arial" w:cs="Arial"/>
                  <w:sz w:val="18"/>
                  <w:szCs w:val="18"/>
                </w:rPr>
                <w:t>Letter Agreement between Andrew Cring and eBay Inc., dated October 11, 2019.</w:t>
              </w:r>
            </w:hyperlink>
          </w:p>
        </w:tc>
        <w:tc>
          <w:tcPr>
            <w:tcW w:w="0" w:type="auto"/>
            <w:shd w:val="clear" w:color="auto" w:fill="auto"/>
            <w:tcMar>
              <w:top w:w="40" w:type="dxa"/>
              <w:left w:w="40" w:type="dxa"/>
              <w:bottom w:w="40" w:type="dxa"/>
              <w:right w:w="40" w:type="dxa"/>
            </w:tcMar>
            <w:vAlign w:val="bottom"/>
          </w:tcPr>
          <w:p w14:paraId="0BC9B1D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D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E0"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8-K</w:t>
            </w:r>
          </w:p>
        </w:tc>
        <w:tc>
          <w:tcPr>
            <w:tcW w:w="0" w:type="auto"/>
            <w:shd w:val="clear" w:color="auto" w:fill="auto"/>
            <w:tcMar>
              <w:top w:w="40" w:type="dxa"/>
              <w:left w:w="40" w:type="dxa"/>
              <w:bottom w:w="40" w:type="dxa"/>
              <w:right w:w="40" w:type="dxa"/>
            </w:tcMar>
            <w:vAlign w:val="bottom"/>
          </w:tcPr>
          <w:p w14:paraId="0BC9B1E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E2" w14:textId="77777777" w:rsidR="009F0928" w:rsidRDefault="002112BD">
            <w:pPr>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B1E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E4"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10/16/2019</w:t>
            </w:r>
          </w:p>
        </w:tc>
      </w:tr>
      <w:tr w:rsidR="009F0928" w14:paraId="0BC9B1F1" w14:textId="77777777">
        <w:trPr>
          <w:jc w:val="center"/>
        </w:trPr>
        <w:tc>
          <w:tcPr>
            <w:tcW w:w="0" w:type="auto"/>
            <w:shd w:val="clear" w:color="auto" w:fill="auto"/>
            <w:tcMar>
              <w:top w:w="40" w:type="dxa"/>
              <w:left w:w="40" w:type="dxa"/>
              <w:bottom w:w="40" w:type="dxa"/>
              <w:right w:w="40" w:type="dxa"/>
            </w:tcMar>
            <w:vAlign w:val="bottom"/>
          </w:tcPr>
          <w:p w14:paraId="0BC9B1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E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E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E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E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E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E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E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E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E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F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1FD" w14:textId="77777777">
        <w:trPr>
          <w:jc w:val="center"/>
        </w:trPr>
        <w:tc>
          <w:tcPr>
            <w:tcW w:w="0" w:type="auto"/>
            <w:shd w:val="clear" w:color="auto" w:fill="auto"/>
            <w:tcMar>
              <w:top w:w="40" w:type="dxa"/>
              <w:left w:w="40" w:type="dxa"/>
              <w:bottom w:w="40" w:type="dxa"/>
              <w:right w:w="40" w:type="dxa"/>
            </w:tcMar>
          </w:tcPr>
          <w:p w14:paraId="0BC9B1F2" w14:textId="77777777" w:rsidR="009F0928" w:rsidRDefault="002112BD">
            <w:pPr>
              <w:textAlignment w:val="top"/>
              <w:rPr>
                <w:rFonts w:ascii="Times New Roman" w:hAnsi="Times New Roman"/>
                <w:sz w:val="18"/>
                <w:szCs w:val="18"/>
              </w:rPr>
            </w:pPr>
            <w:r>
              <w:rPr>
                <w:rFonts w:ascii="Arial" w:eastAsia="宋体" w:hAnsi="Arial" w:cs="Arial"/>
                <w:sz w:val="18"/>
                <w:szCs w:val="18"/>
              </w:rPr>
              <w:t>10.48+</w:t>
            </w:r>
          </w:p>
        </w:tc>
        <w:tc>
          <w:tcPr>
            <w:tcW w:w="0" w:type="auto"/>
            <w:shd w:val="clear" w:color="auto" w:fill="auto"/>
            <w:tcMar>
              <w:top w:w="40" w:type="dxa"/>
              <w:left w:w="40" w:type="dxa"/>
              <w:bottom w:w="40" w:type="dxa"/>
              <w:right w:w="40" w:type="dxa"/>
            </w:tcMar>
            <w:vAlign w:val="bottom"/>
          </w:tcPr>
          <w:p w14:paraId="0BC9B1F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F4" w14:textId="77777777" w:rsidR="009F0928" w:rsidRDefault="002112BD">
            <w:pPr>
              <w:textAlignment w:val="bottom"/>
              <w:rPr>
                <w:rFonts w:ascii="Times New Roman" w:hAnsi="Times New Roman"/>
                <w:sz w:val="18"/>
                <w:szCs w:val="18"/>
              </w:rPr>
            </w:pPr>
            <w:hyperlink r:id="rId103" w:history="1">
              <w:r>
                <w:rPr>
                  <w:rStyle w:val="a5"/>
                  <w:rFonts w:ascii="Arial" w:eastAsia="宋体" w:hAnsi="Arial" w:cs="Arial"/>
                  <w:sz w:val="18"/>
                  <w:szCs w:val="18"/>
                </w:rPr>
                <w:t>Offer Letter dated June 25, 2019 between Registrant and Jae Hyun Lee.</w:t>
              </w:r>
            </w:hyperlink>
          </w:p>
        </w:tc>
        <w:tc>
          <w:tcPr>
            <w:tcW w:w="0" w:type="auto"/>
            <w:shd w:val="clear" w:color="auto" w:fill="auto"/>
            <w:tcMar>
              <w:top w:w="40" w:type="dxa"/>
              <w:left w:w="40" w:type="dxa"/>
              <w:bottom w:w="40" w:type="dxa"/>
              <w:right w:w="40" w:type="dxa"/>
            </w:tcMar>
            <w:vAlign w:val="bottom"/>
          </w:tcPr>
          <w:p w14:paraId="0BC9B1F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F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F8"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10-Q</w:t>
            </w:r>
          </w:p>
        </w:tc>
        <w:tc>
          <w:tcPr>
            <w:tcW w:w="0" w:type="auto"/>
            <w:shd w:val="clear" w:color="auto" w:fill="auto"/>
            <w:tcMar>
              <w:top w:w="40" w:type="dxa"/>
              <w:left w:w="40" w:type="dxa"/>
              <w:bottom w:w="40" w:type="dxa"/>
              <w:right w:w="40" w:type="dxa"/>
            </w:tcMar>
            <w:vAlign w:val="bottom"/>
          </w:tcPr>
          <w:p w14:paraId="0BC9B1F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FA" w14:textId="77777777" w:rsidR="009F0928" w:rsidRDefault="002112BD">
            <w:pPr>
              <w:textAlignment w:val="top"/>
              <w:rPr>
                <w:rFonts w:ascii="Times New Roman" w:hAnsi="Times New Roman"/>
                <w:sz w:val="18"/>
                <w:szCs w:val="18"/>
              </w:rPr>
            </w:pPr>
            <w:r>
              <w:rPr>
                <w:rFonts w:ascii="Arial" w:eastAsia="宋体" w:hAnsi="Arial" w:cs="Arial"/>
                <w:sz w:val="18"/>
                <w:szCs w:val="18"/>
              </w:rPr>
              <w:t>001-37713</w:t>
            </w:r>
          </w:p>
        </w:tc>
        <w:tc>
          <w:tcPr>
            <w:tcW w:w="0" w:type="auto"/>
            <w:shd w:val="clear" w:color="auto" w:fill="auto"/>
            <w:tcMar>
              <w:top w:w="40" w:type="dxa"/>
              <w:left w:w="40" w:type="dxa"/>
              <w:bottom w:w="40" w:type="dxa"/>
              <w:right w:w="40" w:type="dxa"/>
            </w:tcMar>
            <w:vAlign w:val="bottom"/>
          </w:tcPr>
          <w:p w14:paraId="0BC9B1F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1FC" w14:textId="77777777" w:rsidR="009F0928" w:rsidRDefault="002112BD">
            <w:pPr>
              <w:jc w:val="right"/>
              <w:textAlignment w:val="top"/>
              <w:rPr>
                <w:rFonts w:ascii="Times New Roman" w:hAnsi="Times New Roman"/>
                <w:sz w:val="18"/>
                <w:szCs w:val="18"/>
              </w:rPr>
            </w:pPr>
            <w:r>
              <w:rPr>
                <w:rFonts w:ascii="Arial" w:eastAsia="宋体" w:hAnsi="Arial" w:cs="Arial"/>
                <w:sz w:val="18"/>
                <w:szCs w:val="18"/>
              </w:rPr>
              <w:t>10/24/2019</w:t>
            </w:r>
          </w:p>
        </w:tc>
      </w:tr>
      <w:tr w:rsidR="009F0928" w14:paraId="0BC9B209" w14:textId="77777777">
        <w:trPr>
          <w:jc w:val="center"/>
        </w:trPr>
        <w:tc>
          <w:tcPr>
            <w:tcW w:w="0" w:type="auto"/>
            <w:shd w:val="clear" w:color="auto" w:fill="auto"/>
            <w:tcMar>
              <w:top w:w="40" w:type="dxa"/>
              <w:left w:w="40" w:type="dxa"/>
              <w:bottom w:w="40" w:type="dxa"/>
              <w:right w:w="40" w:type="dxa"/>
            </w:tcMar>
            <w:vAlign w:val="bottom"/>
          </w:tcPr>
          <w:p w14:paraId="0BC9B1F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1F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2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20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20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20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2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20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20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20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20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15" w14:textId="77777777">
        <w:trPr>
          <w:jc w:val="center"/>
        </w:trPr>
        <w:tc>
          <w:tcPr>
            <w:tcW w:w="0" w:type="auto"/>
            <w:shd w:val="clear" w:color="auto" w:fill="auto"/>
            <w:tcMar>
              <w:top w:w="40" w:type="dxa"/>
              <w:left w:w="40" w:type="dxa"/>
              <w:bottom w:w="40" w:type="dxa"/>
              <w:right w:w="40" w:type="dxa"/>
            </w:tcMar>
          </w:tcPr>
          <w:p w14:paraId="0BC9B20A" w14:textId="77777777" w:rsidR="009F0928" w:rsidRDefault="002112BD">
            <w:pPr>
              <w:textAlignment w:val="top"/>
              <w:rPr>
                <w:rFonts w:ascii="Times New Roman" w:hAnsi="Times New Roman"/>
                <w:sz w:val="18"/>
                <w:szCs w:val="18"/>
              </w:rPr>
            </w:pPr>
            <w:r>
              <w:rPr>
                <w:rFonts w:ascii="Arial" w:eastAsia="宋体" w:hAnsi="Arial" w:cs="Arial"/>
                <w:sz w:val="18"/>
                <w:szCs w:val="18"/>
              </w:rPr>
              <w:t>21.01</w:t>
            </w:r>
          </w:p>
        </w:tc>
        <w:tc>
          <w:tcPr>
            <w:tcW w:w="0" w:type="auto"/>
            <w:shd w:val="clear" w:color="auto" w:fill="auto"/>
            <w:tcMar>
              <w:top w:w="40" w:type="dxa"/>
              <w:left w:w="40" w:type="dxa"/>
              <w:bottom w:w="40" w:type="dxa"/>
              <w:right w:w="40" w:type="dxa"/>
            </w:tcMar>
            <w:vAlign w:val="bottom"/>
          </w:tcPr>
          <w:p w14:paraId="0BC9B20B"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0C" w14:textId="77777777" w:rsidR="009F0928" w:rsidRDefault="002112BD">
            <w:pPr>
              <w:textAlignment w:val="bottom"/>
              <w:rPr>
                <w:rFonts w:ascii="Times New Roman" w:hAnsi="Times New Roman"/>
                <w:sz w:val="18"/>
                <w:szCs w:val="18"/>
              </w:rPr>
            </w:pPr>
            <w:hyperlink r:id="rId104" w:history="1">
              <w:r>
                <w:rPr>
                  <w:rStyle w:val="a5"/>
                  <w:rFonts w:ascii="Arial" w:eastAsia="宋体" w:hAnsi="Arial" w:cs="Arial"/>
                  <w:sz w:val="18"/>
                  <w:szCs w:val="18"/>
                </w:rPr>
                <w:t>List of Subsidiaries.</w:t>
              </w:r>
            </w:hyperlink>
          </w:p>
        </w:tc>
        <w:tc>
          <w:tcPr>
            <w:tcW w:w="0" w:type="auto"/>
            <w:shd w:val="clear" w:color="auto" w:fill="auto"/>
            <w:tcMar>
              <w:top w:w="40" w:type="dxa"/>
              <w:left w:w="40" w:type="dxa"/>
              <w:bottom w:w="40" w:type="dxa"/>
              <w:right w:w="40" w:type="dxa"/>
            </w:tcMar>
            <w:vAlign w:val="bottom"/>
          </w:tcPr>
          <w:p w14:paraId="0BC9B20D" w14:textId="77777777" w:rsidR="009F0928" w:rsidRDefault="002112BD">
            <w:pPr>
              <w:jc w:val="cente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0E" w14:textId="77777777" w:rsidR="009F0928" w:rsidRDefault="002112BD">
            <w:pPr>
              <w:jc w:val="center"/>
              <w:textAlignment w:val="bottom"/>
              <w:rPr>
                <w:rFonts w:ascii="Times New Roman" w:hAnsi="Times New Roman"/>
                <w:sz w:val="18"/>
                <w:szCs w:val="18"/>
              </w:rPr>
            </w:pPr>
            <w:r>
              <w:rPr>
                <w:rFonts w:ascii="Arial" w:eastAsia="宋体" w:hAnsi="Arial" w:cs="Arial"/>
                <w:sz w:val="18"/>
                <w:szCs w:val="18"/>
              </w:rPr>
              <w:t>X</w:t>
            </w:r>
          </w:p>
        </w:tc>
        <w:tc>
          <w:tcPr>
            <w:tcW w:w="0" w:type="auto"/>
            <w:shd w:val="clear" w:color="auto" w:fill="auto"/>
            <w:tcMar>
              <w:top w:w="40" w:type="dxa"/>
              <w:left w:w="40" w:type="dxa"/>
              <w:bottom w:w="40" w:type="dxa"/>
              <w:right w:w="40" w:type="dxa"/>
            </w:tcMar>
          </w:tcPr>
          <w:p w14:paraId="0BC9B20F"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11"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1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13"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1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1C" w14:textId="77777777">
        <w:trPr>
          <w:jc w:val="center"/>
        </w:trPr>
        <w:tc>
          <w:tcPr>
            <w:tcW w:w="0" w:type="auto"/>
            <w:shd w:val="clear" w:color="auto" w:fill="auto"/>
            <w:tcMar>
              <w:top w:w="40" w:type="dxa"/>
              <w:left w:w="40" w:type="dxa"/>
              <w:bottom w:w="40" w:type="dxa"/>
              <w:right w:w="40" w:type="dxa"/>
            </w:tcMar>
            <w:vAlign w:val="bottom"/>
          </w:tcPr>
          <w:p w14:paraId="0BC9B2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1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1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1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1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28" w14:textId="77777777">
        <w:trPr>
          <w:jc w:val="center"/>
        </w:trPr>
        <w:tc>
          <w:tcPr>
            <w:tcW w:w="0" w:type="auto"/>
            <w:shd w:val="clear" w:color="auto" w:fill="auto"/>
            <w:tcMar>
              <w:top w:w="40" w:type="dxa"/>
              <w:left w:w="40" w:type="dxa"/>
              <w:bottom w:w="40" w:type="dxa"/>
              <w:right w:w="40" w:type="dxa"/>
            </w:tcMar>
          </w:tcPr>
          <w:p w14:paraId="0BC9B21D" w14:textId="77777777" w:rsidR="009F0928" w:rsidRDefault="002112BD">
            <w:pPr>
              <w:textAlignment w:val="top"/>
              <w:rPr>
                <w:rFonts w:ascii="Times New Roman" w:hAnsi="Times New Roman"/>
                <w:sz w:val="18"/>
                <w:szCs w:val="18"/>
              </w:rPr>
            </w:pPr>
            <w:r>
              <w:rPr>
                <w:rFonts w:ascii="Arial" w:eastAsia="宋体" w:hAnsi="Arial" w:cs="Arial"/>
                <w:sz w:val="18"/>
                <w:szCs w:val="18"/>
              </w:rPr>
              <w:t>23.01</w:t>
            </w:r>
          </w:p>
        </w:tc>
        <w:tc>
          <w:tcPr>
            <w:tcW w:w="0" w:type="auto"/>
            <w:shd w:val="clear" w:color="auto" w:fill="auto"/>
            <w:tcMar>
              <w:top w:w="40" w:type="dxa"/>
              <w:left w:w="40" w:type="dxa"/>
              <w:bottom w:w="40" w:type="dxa"/>
              <w:right w:w="40" w:type="dxa"/>
            </w:tcMar>
            <w:vAlign w:val="bottom"/>
          </w:tcPr>
          <w:p w14:paraId="0BC9B21E"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1F" w14:textId="77777777" w:rsidR="009F0928" w:rsidRDefault="002112BD">
            <w:pPr>
              <w:textAlignment w:val="bottom"/>
              <w:rPr>
                <w:rFonts w:ascii="Times New Roman" w:hAnsi="Times New Roman"/>
                <w:sz w:val="18"/>
                <w:szCs w:val="18"/>
              </w:rPr>
            </w:pPr>
            <w:hyperlink r:id="rId105" w:history="1">
              <w:r>
                <w:rPr>
                  <w:rStyle w:val="a5"/>
                  <w:rFonts w:ascii="Arial" w:eastAsia="宋体" w:hAnsi="Arial" w:cs="Arial"/>
                  <w:sz w:val="18"/>
                  <w:szCs w:val="18"/>
                </w:rPr>
                <w:t>PricewaterhouseCoopers LLP consent.</w:t>
              </w:r>
            </w:hyperlink>
          </w:p>
        </w:tc>
        <w:tc>
          <w:tcPr>
            <w:tcW w:w="0" w:type="auto"/>
            <w:shd w:val="clear" w:color="auto" w:fill="auto"/>
            <w:tcMar>
              <w:top w:w="40" w:type="dxa"/>
              <w:left w:w="40" w:type="dxa"/>
              <w:bottom w:w="40" w:type="dxa"/>
              <w:right w:w="40" w:type="dxa"/>
            </w:tcMar>
            <w:vAlign w:val="bottom"/>
          </w:tcPr>
          <w:p w14:paraId="0BC9B220" w14:textId="77777777" w:rsidR="009F0928" w:rsidRDefault="002112BD">
            <w:pPr>
              <w:jc w:val="cente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21" w14:textId="77777777" w:rsidR="009F0928" w:rsidRDefault="002112BD">
            <w:pPr>
              <w:jc w:val="center"/>
              <w:textAlignment w:val="bottom"/>
              <w:rPr>
                <w:rFonts w:ascii="Times New Roman" w:hAnsi="Times New Roman"/>
                <w:sz w:val="18"/>
                <w:szCs w:val="18"/>
              </w:rPr>
            </w:pPr>
            <w:r>
              <w:rPr>
                <w:rFonts w:ascii="Arial" w:eastAsia="宋体" w:hAnsi="Arial" w:cs="Arial"/>
                <w:sz w:val="18"/>
                <w:szCs w:val="18"/>
              </w:rPr>
              <w:t>X</w:t>
            </w:r>
          </w:p>
        </w:tc>
        <w:tc>
          <w:tcPr>
            <w:tcW w:w="0" w:type="auto"/>
            <w:shd w:val="clear" w:color="auto" w:fill="auto"/>
            <w:tcMar>
              <w:top w:w="40" w:type="dxa"/>
              <w:left w:w="40" w:type="dxa"/>
              <w:bottom w:w="40" w:type="dxa"/>
              <w:right w:w="40" w:type="dxa"/>
            </w:tcMar>
          </w:tcPr>
          <w:p w14:paraId="0BC9B222"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2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24"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2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26"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2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2F" w14:textId="77777777">
        <w:trPr>
          <w:jc w:val="center"/>
        </w:trPr>
        <w:tc>
          <w:tcPr>
            <w:tcW w:w="0" w:type="auto"/>
            <w:shd w:val="clear" w:color="auto" w:fill="auto"/>
            <w:tcMar>
              <w:top w:w="40" w:type="dxa"/>
              <w:left w:w="40" w:type="dxa"/>
              <w:bottom w:w="40" w:type="dxa"/>
              <w:right w:w="40" w:type="dxa"/>
            </w:tcMar>
            <w:vAlign w:val="bottom"/>
          </w:tcPr>
          <w:p w14:paraId="0BC9B22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2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2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2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2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2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B230" w14:textId="77777777" w:rsidR="009F0928" w:rsidRDefault="009F0928">
      <w:pPr>
        <w:rPr>
          <w:rFonts w:ascii="Times New Roman" w:hAnsi="Times New Roman"/>
          <w:sz w:val="20"/>
          <w:szCs w:val="20"/>
        </w:rPr>
      </w:pPr>
    </w:p>
    <w:p w14:paraId="0BC9B231"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F-49</w:t>
      </w:r>
    </w:p>
    <w:p w14:paraId="0BC9B232" w14:textId="77777777" w:rsidR="009F0928" w:rsidRDefault="002112BD">
      <w:r>
        <w:rPr>
          <w:rFonts w:ascii="Times New Roman" w:hAnsi="Times New Roman"/>
          <w:sz w:val="18"/>
          <w:szCs w:val="18"/>
        </w:rPr>
        <w:pict w14:anchorId="0BC9B52B">
          <v:rect id="_x0000_i1135" style="width:415.3pt;height:1.5pt" o:hralign="center" o:hrstd="t" o:hr="t" fillcolor="#a0a0a0" stroked="f"/>
        </w:pict>
      </w:r>
    </w:p>
    <w:p w14:paraId="0BC9B233" w14:textId="77777777" w:rsidR="009F0928" w:rsidRDefault="009F0928">
      <w:pPr>
        <w:spacing w:line="288" w:lineRule="auto"/>
        <w:rPr>
          <w:rFonts w:ascii="Times New Roman" w:hAnsi="Times New Roman"/>
          <w:sz w:val="20"/>
          <w:szCs w:val="20"/>
        </w:rPr>
      </w:pPr>
    </w:p>
    <w:p w14:paraId="0BC9B234" w14:textId="77777777" w:rsidR="009F0928" w:rsidRDefault="009F0928">
      <w:pPr>
        <w:rPr>
          <w:rFonts w:ascii="Times New Roman" w:hAnsi="Times New Roman"/>
          <w:sz w:val="20"/>
          <w:szCs w:val="20"/>
        </w:rPr>
      </w:pPr>
    </w:p>
    <w:tbl>
      <w:tblPr>
        <w:tblW w:w="4995" w:type="pct"/>
        <w:jc w:val="center"/>
        <w:tblCellMar>
          <w:left w:w="0" w:type="dxa"/>
          <w:right w:w="0" w:type="dxa"/>
        </w:tblCellMar>
        <w:tblLook w:val="04A0" w:firstRow="1" w:lastRow="0" w:firstColumn="1" w:lastColumn="0" w:noHBand="0" w:noVBand="1"/>
      </w:tblPr>
      <w:tblGrid>
        <w:gridCol w:w="811"/>
        <w:gridCol w:w="181"/>
        <w:gridCol w:w="3712"/>
        <w:gridCol w:w="131"/>
        <w:gridCol w:w="892"/>
        <w:gridCol w:w="131"/>
        <w:gridCol w:w="560"/>
        <w:gridCol w:w="131"/>
        <w:gridCol w:w="809"/>
        <w:gridCol w:w="131"/>
        <w:gridCol w:w="809"/>
      </w:tblGrid>
      <w:tr w:rsidR="009F0928" w14:paraId="0BC9B236" w14:textId="77777777">
        <w:trPr>
          <w:jc w:val="center"/>
        </w:trPr>
        <w:tc>
          <w:tcPr>
            <w:tcW w:w="0" w:type="auto"/>
            <w:gridSpan w:val="11"/>
            <w:shd w:val="clear" w:color="auto" w:fill="auto"/>
            <w:vAlign w:val="center"/>
          </w:tcPr>
          <w:p w14:paraId="0BC9B235" w14:textId="77777777" w:rsidR="009F0928" w:rsidRDefault="009F0928">
            <w:pPr>
              <w:rPr>
                <w:rFonts w:ascii="Times New Roman" w:hAnsi="Times New Roman"/>
                <w:sz w:val="20"/>
                <w:szCs w:val="20"/>
              </w:rPr>
            </w:pPr>
          </w:p>
        </w:tc>
      </w:tr>
      <w:tr w:rsidR="009F0928" w14:paraId="0BC9B242" w14:textId="77777777">
        <w:trPr>
          <w:jc w:val="center"/>
        </w:trPr>
        <w:tc>
          <w:tcPr>
            <w:tcW w:w="350" w:type="pct"/>
            <w:shd w:val="clear" w:color="auto" w:fill="auto"/>
            <w:vAlign w:val="center"/>
          </w:tcPr>
          <w:p w14:paraId="0BC9B237" w14:textId="77777777" w:rsidR="009F0928" w:rsidRDefault="009F0928">
            <w:pPr>
              <w:rPr>
                <w:rFonts w:ascii="Times New Roman" w:hAnsi="Times New Roman"/>
                <w:sz w:val="20"/>
                <w:szCs w:val="20"/>
              </w:rPr>
            </w:pPr>
          </w:p>
        </w:tc>
        <w:tc>
          <w:tcPr>
            <w:tcW w:w="50" w:type="pct"/>
            <w:shd w:val="clear" w:color="auto" w:fill="auto"/>
            <w:vAlign w:val="center"/>
          </w:tcPr>
          <w:p w14:paraId="0BC9B238" w14:textId="77777777" w:rsidR="009F0928" w:rsidRDefault="009F0928">
            <w:pPr>
              <w:rPr>
                <w:rFonts w:ascii="Times New Roman" w:hAnsi="Times New Roman"/>
                <w:sz w:val="20"/>
                <w:szCs w:val="20"/>
              </w:rPr>
            </w:pPr>
          </w:p>
        </w:tc>
        <w:tc>
          <w:tcPr>
            <w:tcW w:w="2300" w:type="pct"/>
            <w:shd w:val="clear" w:color="auto" w:fill="auto"/>
            <w:vAlign w:val="center"/>
          </w:tcPr>
          <w:p w14:paraId="0BC9B239" w14:textId="77777777" w:rsidR="009F0928" w:rsidRDefault="009F0928">
            <w:pPr>
              <w:rPr>
                <w:rFonts w:ascii="Times New Roman" w:hAnsi="Times New Roman"/>
                <w:sz w:val="20"/>
                <w:szCs w:val="20"/>
              </w:rPr>
            </w:pPr>
          </w:p>
        </w:tc>
        <w:tc>
          <w:tcPr>
            <w:tcW w:w="50" w:type="pct"/>
            <w:shd w:val="clear" w:color="auto" w:fill="auto"/>
            <w:vAlign w:val="center"/>
          </w:tcPr>
          <w:p w14:paraId="0BC9B23A" w14:textId="77777777" w:rsidR="009F0928" w:rsidRDefault="009F0928">
            <w:pPr>
              <w:rPr>
                <w:rFonts w:ascii="Times New Roman" w:hAnsi="Times New Roman"/>
                <w:sz w:val="20"/>
                <w:szCs w:val="20"/>
              </w:rPr>
            </w:pPr>
          </w:p>
        </w:tc>
        <w:tc>
          <w:tcPr>
            <w:tcW w:w="600" w:type="pct"/>
            <w:shd w:val="clear" w:color="auto" w:fill="auto"/>
            <w:vAlign w:val="center"/>
          </w:tcPr>
          <w:p w14:paraId="0BC9B23B" w14:textId="77777777" w:rsidR="009F0928" w:rsidRDefault="009F0928">
            <w:pPr>
              <w:rPr>
                <w:rFonts w:ascii="Times New Roman" w:hAnsi="Times New Roman"/>
                <w:sz w:val="20"/>
                <w:szCs w:val="20"/>
              </w:rPr>
            </w:pPr>
          </w:p>
        </w:tc>
        <w:tc>
          <w:tcPr>
            <w:tcW w:w="50" w:type="pct"/>
            <w:shd w:val="clear" w:color="auto" w:fill="auto"/>
            <w:vAlign w:val="center"/>
          </w:tcPr>
          <w:p w14:paraId="0BC9B23C" w14:textId="77777777" w:rsidR="009F0928" w:rsidRDefault="009F0928">
            <w:pPr>
              <w:rPr>
                <w:rFonts w:ascii="Times New Roman" w:hAnsi="Times New Roman"/>
                <w:sz w:val="20"/>
                <w:szCs w:val="20"/>
              </w:rPr>
            </w:pPr>
          </w:p>
        </w:tc>
        <w:tc>
          <w:tcPr>
            <w:tcW w:w="400" w:type="pct"/>
            <w:shd w:val="clear" w:color="auto" w:fill="auto"/>
            <w:vAlign w:val="center"/>
          </w:tcPr>
          <w:p w14:paraId="0BC9B23D" w14:textId="77777777" w:rsidR="009F0928" w:rsidRDefault="009F0928">
            <w:pPr>
              <w:rPr>
                <w:rFonts w:ascii="Times New Roman" w:hAnsi="Times New Roman"/>
                <w:sz w:val="20"/>
                <w:szCs w:val="20"/>
              </w:rPr>
            </w:pPr>
          </w:p>
        </w:tc>
        <w:tc>
          <w:tcPr>
            <w:tcW w:w="50" w:type="pct"/>
            <w:shd w:val="clear" w:color="auto" w:fill="auto"/>
            <w:vAlign w:val="center"/>
          </w:tcPr>
          <w:p w14:paraId="0BC9B23E" w14:textId="77777777" w:rsidR="009F0928" w:rsidRDefault="009F0928">
            <w:pPr>
              <w:rPr>
                <w:rFonts w:ascii="Times New Roman" w:hAnsi="Times New Roman"/>
                <w:sz w:val="20"/>
                <w:szCs w:val="20"/>
              </w:rPr>
            </w:pPr>
          </w:p>
        </w:tc>
        <w:tc>
          <w:tcPr>
            <w:tcW w:w="550" w:type="pct"/>
            <w:shd w:val="clear" w:color="auto" w:fill="auto"/>
            <w:vAlign w:val="center"/>
          </w:tcPr>
          <w:p w14:paraId="0BC9B23F" w14:textId="77777777" w:rsidR="009F0928" w:rsidRDefault="009F0928">
            <w:pPr>
              <w:rPr>
                <w:rFonts w:ascii="Times New Roman" w:hAnsi="Times New Roman"/>
                <w:sz w:val="20"/>
                <w:szCs w:val="20"/>
              </w:rPr>
            </w:pPr>
          </w:p>
        </w:tc>
        <w:tc>
          <w:tcPr>
            <w:tcW w:w="50" w:type="pct"/>
            <w:shd w:val="clear" w:color="auto" w:fill="auto"/>
            <w:vAlign w:val="center"/>
          </w:tcPr>
          <w:p w14:paraId="0BC9B240" w14:textId="77777777" w:rsidR="009F0928" w:rsidRDefault="009F0928">
            <w:pPr>
              <w:rPr>
                <w:rFonts w:ascii="Times New Roman" w:hAnsi="Times New Roman"/>
                <w:sz w:val="20"/>
                <w:szCs w:val="20"/>
              </w:rPr>
            </w:pPr>
          </w:p>
        </w:tc>
        <w:tc>
          <w:tcPr>
            <w:tcW w:w="550" w:type="pct"/>
            <w:shd w:val="clear" w:color="auto" w:fill="auto"/>
            <w:vAlign w:val="center"/>
          </w:tcPr>
          <w:p w14:paraId="0BC9B241" w14:textId="77777777" w:rsidR="009F0928" w:rsidRDefault="009F0928">
            <w:pPr>
              <w:rPr>
                <w:rFonts w:ascii="Times New Roman" w:hAnsi="Times New Roman"/>
                <w:sz w:val="20"/>
                <w:szCs w:val="20"/>
              </w:rPr>
            </w:pPr>
          </w:p>
        </w:tc>
      </w:tr>
      <w:tr w:rsidR="009F0928" w14:paraId="0BC9B24B" w14:textId="77777777">
        <w:trPr>
          <w:jc w:val="center"/>
        </w:trPr>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0BC9B243" w14:textId="77777777" w:rsidR="009F0928" w:rsidRDefault="002112BD">
            <w:pPr>
              <w:textAlignment w:val="bottom"/>
              <w:rPr>
                <w:rFonts w:ascii="Times New Roman" w:hAnsi="Times New Roman"/>
                <w:sz w:val="14"/>
                <w:szCs w:val="14"/>
              </w:rPr>
            </w:pPr>
            <w:r>
              <w:rPr>
                <w:rFonts w:ascii="Arial" w:eastAsia="宋体" w:hAnsi="Arial" w:cs="Arial"/>
                <w:b/>
                <w:bCs/>
                <w:sz w:val="14"/>
                <w:szCs w:val="14"/>
              </w:rPr>
              <w:t>No.</w:t>
            </w:r>
          </w:p>
        </w:tc>
        <w:tc>
          <w:tcPr>
            <w:tcW w:w="0" w:type="auto"/>
            <w:shd w:val="clear" w:color="auto" w:fill="auto"/>
            <w:tcMar>
              <w:top w:w="40" w:type="dxa"/>
              <w:left w:w="40" w:type="dxa"/>
              <w:bottom w:w="40" w:type="dxa"/>
              <w:right w:w="40" w:type="dxa"/>
            </w:tcMar>
            <w:vAlign w:val="bottom"/>
          </w:tcPr>
          <w:p w14:paraId="0BC9B244"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0BC9B245"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Exhibit Description</w:t>
            </w:r>
          </w:p>
        </w:tc>
        <w:tc>
          <w:tcPr>
            <w:tcW w:w="0" w:type="auto"/>
            <w:shd w:val="clear" w:color="auto" w:fill="auto"/>
            <w:tcMar>
              <w:top w:w="40" w:type="dxa"/>
              <w:left w:w="40" w:type="dxa"/>
              <w:bottom w:w="40" w:type="dxa"/>
              <w:right w:w="40" w:type="dxa"/>
            </w:tcMar>
            <w:vAlign w:val="bottom"/>
          </w:tcPr>
          <w:p w14:paraId="0BC9B246"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0BC9B247"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Filed or Furnished with</w:t>
            </w:r>
          </w:p>
          <w:p w14:paraId="0BC9B248"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this 10-K</w:t>
            </w:r>
          </w:p>
        </w:tc>
        <w:tc>
          <w:tcPr>
            <w:tcW w:w="0" w:type="auto"/>
            <w:shd w:val="clear" w:color="auto" w:fill="auto"/>
            <w:tcMar>
              <w:top w:w="40" w:type="dxa"/>
              <w:left w:w="40" w:type="dxa"/>
              <w:bottom w:w="40" w:type="dxa"/>
              <w:right w:w="40" w:type="dxa"/>
            </w:tcMar>
            <w:vAlign w:val="bottom"/>
          </w:tcPr>
          <w:p w14:paraId="0BC9B249"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0BC9B24A"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Incorporated by Reference</w:t>
            </w:r>
          </w:p>
        </w:tc>
      </w:tr>
      <w:tr w:rsidR="009F0928" w14:paraId="0BC9B257" w14:textId="77777777">
        <w:trPr>
          <w:jc w:val="center"/>
        </w:trPr>
        <w:tc>
          <w:tcPr>
            <w:tcW w:w="0" w:type="auto"/>
            <w:vMerge/>
            <w:tcBorders>
              <w:bottom w:val="single" w:sz="8" w:space="0" w:color="000000"/>
            </w:tcBorders>
            <w:shd w:val="clear" w:color="auto" w:fill="auto"/>
            <w:tcMar>
              <w:top w:w="40" w:type="dxa"/>
              <w:left w:w="40" w:type="dxa"/>
              <w:bottom w:w="40" w:type="dxa"/>
              <w:right w:w="40" w:type="dxa"/>
            </w:tcMar>
            <w:vAlign w:val="bottom"/>
          </w:tcPr>
          <w:p w14:paraId="0BC9B24C" w14:textId="77777777" w:rsidR="009F0928" w:rsidRDefault="009F0928">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B24D"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0BC9B24E" w14:textId="77777777" w:rsidR="009F0928" w:rsidRDefault="009F0928">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B24F"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0BC9B250" w14:textId="77777777" w:rsidR="009F0928" w:rsidRDefault="009F0928">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0BC9B251"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252"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Form</w:t>
            </w:r>
          </w:p>
        </w:tc>
        <w:tc>
          <w:tcPr>
            <w:tcW w:w="0" w:type="auto"/>
            <w:shd w:val="clear" w:color="auto" w:fill="auto"/>
            <w:tcMar>
              <w:top w:w="40" w:type="dxa"/>
              <w:left w:w="40" w:type="dxa"/>
              <w:bottom w:w="40" w:type="dxa"/>
              <w:right w:w="40" w:type="dxa"/>
            </w:tcMar>
            <w:vAlign w:val="bottom"/>
          </w:tcPr>
          <w:p w14:paraId="0BC9B253"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254"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File No.</w:t>
            </w:r>
          </w:p>
        </w:tc>
        <w:tc>
          <w:tcPr>
            <w:tcW w:w="0" w:type="auto"/>
            <w:shd w:val="clear" w:color="auto" w:fill="auto"/>
            <w:tcMar>
              <w:top w:w="40" w:type="dxa"/>
              <w:left w:w="40" w:type="dxa"/>
              <w:bottom w:w="40" w:type="dxa"/>
              <w:right w:w="40" w:type="dxa"/>
            </w:tcMar>
            <w:vAlign w:val="bottom"/>
          </w:tcPr>
          <w:p w14:paraId="0BC9B255" w14:textId="77777777" w:rsidR="009F0928" w:rsidRDefault="002112BD">
            <w:pPr>
              <w:textAlignment w:val="bottom"/>
              <w:rPr>
                <w:rFonts w:ascii="Times New Roman" w:hAnsi="Times New Roman"/>
                <w:sz w:val="14"/>
                <w:szCs w:val="14"/>
              </w:rPr>
            </w:pPr>
            <w:r>
              <w:rPr>
                <w:rFonts w:ascii="Arial" w:eastAsia="宋体" w:hAnsi="Arial" w:cs="Arial"/>
                <w:sz w:val="14"/>
                <w:szCs w:val="14"/>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256" w14:textId="77777777" w:rsidR="009F0928" w:rsidRDefault="002112BD">
            <w:pPr>
              <w:jc w:val="center"/>
              <w:textAlignment w:val="bottom"/>
              <w:rPr>
                <w:rFonts w:ascii="Times New Roman" w:hAnsi="Times New Roman"/>
                <w:sz w:val="14"/>
                <w:szCs w:val="14"/>
              </w:rPr>
            </w:pPr>
            <w:r>
              <w:rPr>
                <w:rFonts w:ascii="Arial" w:eastAsia="宋体" w:hAnsi="Arial" w:cs="Arial"/>
                <w:b/>
                <w:bCs/>
                <w:sz w:val="14"/>
                <w:szCs w:val="14"/>
              </w:rPr>
              <w:t>Date Filed</w:t>
            </w:r>
          </w:p>
        </w:tc>
      </w:tr>
      <w:tr w:rsidR="009F0928" w14:paraId="0BC9B263" w14:textId="77777777">
        <w:trPr>
          <w:jc w:val="center"/>
        </w:trPr>
        <w:tc>
          <w:tcPr>
            <w:tcW w:w="0" w:type="auto"/>
            <w:shd w:val="clear" w:color="auto" w:fill="auto"/>
            <w:tcMar>
              <w:top w:w="40" w:type="dxa"/>
              <w:left w:w="40" w:type="dxa"/>
              <w:bottom w:w="40" w:type="dxa"/>
              <w:right w:w="40" w:type="dxa"/>
            </w:tcMar>
          </w:tcPr>
          <w:p w14:paraId="0BC9B258" w14:textId="77777777" w:rsidR="009F0928" w:rsidRDefault="002112BD">
            <w:pPr>
              <w:textAlignment w:val="top"/>
              <w:rPr>
                <w:rFonts w:ascii="Times New Roman" w:hAnsi="Times New Roman"/>
                <w:sz w:val="18"/>
                <w:szCs w:val="18"/>
              </w:rPr>
            </w:pPr>
            <w:r>
              <w:rPr>
                <w:rFonts w:ascii="Arial" w:eastAsia="宋体" w:hAnsi="Arial" w:cs="Arial"/>
                <w:sz w:val="18"/>
                <w:szCs w:val="18"/>
              </w:rPr>
              <w:t>24.01</w:t>
            </w:r>
          </w:p>
        </w:tc>
        <w:tc>
          <w:tcPr>
            <w:tcW w:w="0" w:type="auto"/>
            <w:shd w:val="clear" w:color="auto" w:fill="auto"/>
            <w:tcMar>
              <w:top w:w="40" w:type="dxa"/>
              <w:left w:w="40" w:type="dxa"/>
              <w:bottom w:w="40" w:type="dxa"/>
              <w:right w:w="40" w:type="dxa"/>
            </w:tcMar>
            <w:vAlign w:val="bottom"/>
          </w:tcPr>
          <w:p w14:paraId="0BC9B259"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5A" w14:textId="77777777" w:rsidR="009F0928" w:rsidRDefault="002112BD">
            <w:pPr>
              <w:textAlignment w:val="bottom"/>
              <w:rPr>
                <w:rFonts w:ascii="Times New Roman" w:hAnsi="Times New Roman"/>
                <w:sz w:val="18"/>
                <w:szCs w:val="18"/>
              </w:rPr>
            </w:pPr>
            <w:r>
              <w:rPr>
                <w:rFonts w:ascii="Arial" w:eastAsia="宋体" w:hAnsi="Arial" w:cs="Arial"/>
                <w:sz w:val="18"/>
                <w:szCs w:val="18"/>
              </w:rPr>
              <w:t>Power of Attorney (see signature page).</w:t>
            </w:r>
          </w:p>
        </w:tc>
        <w:tc>
          <w:tcPr>
            <w:tcW w:w="0" w:type="auto"/>
            <w:shd w:val="clear" w:color="auto" w:fill="auto"/>
            <w:tcMar>
              <w:top w:w="40" w:type="dxa"/>
              <w:left w:w="40" w:type="dxa"/>
              <w:bottom w:w="40" w:type="dxa"/>
              <w:right w:w="40" w:type="dxa"/>
            </w:tcMar>
            <w:vAlign w:val="bottom"/>
          </w:tcPr>
          <w:p w14:paraId="0BC9B25B" w14:textId="77777777" w:rsidR="009F0928" w:rsidRDefault="002112BD">
            <w:pPr>
              <w:jc w:val="cente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5C" w14:textId="77777777" w:rsidR="009F0928" w:rsidRDefault="002112BD">
            <w:pPr>
              <w:jc w:val="center"/>
              <w:textAlignment w:val="bottom"/>
              <w:rPr>
                <w:rFonts w:ascii="Times New Roman" w:hAnsi="Times New Roman"/>
                <w:sz w:val="18"/>
                <w:szCs w:val="18"/>
              </w:rPr>
            </w:pPr>
            <w:r>
              <w:rPr>
                <w:rFonts w:ascii="Arial" w:eastAsia="宋体" w:hAnsi="Arial" w:cs="Arial"/>
                <w:sz w:val="18"/>
                <w:szCs w:val="18"/>
              </w:rPr>
              <w:t>X</w:t>
            </w:r>
          </w:p>
        </w:tc>
        <w:tc>
          <w:tcPr>
            <w:tcW w:w="0" w:type="auto"/>
            <w:shd w:val="clear" w:color="auto" w:fill="auto"/>
            <w:tcMar>
              <w:top w:w="40" w:type="dxa"/>
              <w:left w:w="40" w:type="dxa"/>
              <w:bottom w:w="40" w:type="dxa"/>
              <w:right w:w="40" w:type="dxa"/>
            </w:tcMar>
          </w:tcPr>
          <w:p w14:paraId="0BC9B25D"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5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5F"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6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61"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6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6A" w14:textId="77777777">
        <w:trPr>
          <w:jc w:val="center"/>
        </w:trPr>
        <w:tc>
          <w:tcPr>
            <w:tcW w:w="0" w:type="auto"/>
            <w:shd w:val="clear" w:color="auto" w:fill="auto"/>
            <w:tcMar>
              <w:top w:w="40" w:type="dxa"/>
              <w:left w:w="40" w:type="dxa"/>
              <w:bottom w:w="40" w:type="dxa"/>
              <w:right w:w="40" w:type="dxa"/>
            </w:tcMar>
            <w:vAlign w:val="bottom"/>
          </w:tcPr>
          <w:p w14:paraId="0BC9B26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6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6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6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6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6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76" w14:textId="77777777">
        <w:trPr>
          <w:jc w:val="center"/>
        </w:trPr>
        <w:tc>
          <w:tcPr>
            <w:tcW w:w="0" w:type="auto"/>
            <w:shd w:val="clear" w:color="auto" w:fill="auto"/>
            <w:tcMar>
              <w:top w:w="40" w:type="dxa"/>
              <w:left w:w="40" w:type="dxa"/>
              <w:bottom w:w="40" w:type="dxa"/>
              <w:right w:w="40" w:type="dxa"/>
            </w:tcMar>
          </w:tcPr>
          <w:p w14:paraId="0BC9B26B" w14:textId="77777777" w:rsidR="009F0928" w:rsidRDefault="002112BD">
            <w:pPr>
              <w:textAlignment w:val="top"/>
              <w:rPr>
                <w:rFonts w:ascii="Times New Roman" w:hAnsi="Times New Roman"/>
                <w:sz w:val="18"/>
                <w:szCs w:val="18"/>
              </w:rPr>
            </w:pPr>
            <w:r>
              <w:rPr>
                <w:rFonts w:ascii="Arial" w:eastAsia="宋体" w:hAnsi="Arial" w:cs="Arial"/>
                <w:sz w:val="18"/>
                <w:szCs w:val="18"/>
              </w:rPr>
              <w:t>31.01</w:t>
            </w:r>
          </w:p>
        </w:tc>
        <w:tc>
          <w:tcPr>
            <w:tcW w:w="0" w:type="auto"/>
            <w:shd w:val="clear" w:color="auto" w:fill="auto"/>
            <w:tcMar>
              <w:top w:w="40" w:type="dxa"/>
              <w:left w:w="40" w:type="dxa"/>
              <w:bottom w:w="40" w:type="dxa"/>
              <w:right w:w="40" w:type="dxa"/>
            </w:tcMar>
            <w:vAlign w:val="bottom"/>
          </w:tcPr>
          <w:p w14:paraId="0BC9B26C"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6D" w14:textId="77777777" w:rsidR="009F0928" w:rsidRDefault="002112BD">
            <w:pPr>
              <w:textAlignment w:val="bottom"/>
              <w:rPr>
                <w:rFonts w:ascii="Times New Roman" w:hAnsi="Times New Roman"/>
                <w:sz w:val="18"/>
                <w:szCs w:val="18"/>
              </w:rPr>
            </w:pPr>
            <w:hyperlink r:id="rId106" w:history="1">
              <w:r>
                <w:rPr>
                  <w:rStyle w:val="a5"/>
                  <w:rFonts w:ascii="Arial" w:eastAsia="宋体" w:hAnsi="Arial" w:cs="Arial"/>
                  <w:sz w:val="18"/>
                  <w:szCs w:val="18"/>
                </w:rPr>
                <w:t>Certification of Registrant’s Chief Executive Officer, as required by Section 302 of the Sarbanes-Oxley Act of 2002.</w:t>
              </w:r>
            </w:hyperlink>
          </w:p>
        </w:tc>
        <w:tc>
          <w:tcPr>
            <w:tcW w:w="0" w:type="auto"/>
            <w:shd w:val="clear" w:color="auto" w:fill="auto"/>
            <w:tcMar>
              <w:top w:w="40" w:type="dxa"/>
              <w:left w:w="40" w:type="dxa"/>
              <w:bottom w:w="40" w:type="dxa"/>
              <w:right w:w="40" w:type="dxa"/>
            </w:tcMar>
          </w:tcPr>
          <w:p w14:paraId="0BC9B26E"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B26F"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X</w:t>
            </w:r>
          </w:p>
        </w:tc>
        <w:tc>
          <w:tcPr>
            <w:tcW w:w="0" w:type="auto"/>
            <w:shd w:val="clear" w:color="auto" w:fill="auto"/>
            <w:tcMar>
              <w:top w:w="40" w:type="dxa"/>
              <w:left w:w="40" w:type="dxa"/>
              <w:bottom w:w="40" w:type="dxa"/>
              <w:right w:w="40" w:type="dxa"/>
            </w:tcMar>
          </w:tcPr>
          <w:p w14:paraId="0BC9B270"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7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72"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7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74"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7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7D" w14:textId="77777777">
        <w:trPr>
          <w:jc w:val="center"/>
        </w:trPr>
        <w:tc>
          <w:tcPr>
            <w:tcW w:w="0" w:type="auto"/>
            <w:shd w:val="clear" w:color="auto" w:fill="auto"/>
            <w:tcMar>
              <w:top w:w="40" w:type="dxa"/>
              <w:left w:w="40" w:type="dxa"/>
              <w:bottom w:w="40" w:type="dxa"/>
              <w:right w:w="40" w:type="dxa"/>
            </w:tcMar>
            <w:vAlign w:val="bottom"/>
          </w:tcPr>
          <w:p w14:paraId="0BC9B27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7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7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7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7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7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89" w14:textId="77777777">
        <w:trPr>
          <w:jc w:val="center"/>
        </w:trPr>
        <w:tc>
          <w:tcPr>
            <w:tcW w:w="0" w:type="auto"/>
            <w:shd w:val="clear" w:color="auto" w:fill="auto"/>
            <w:tcMar>
              <w:top w:w="40" w:type="dxa"/>
              <w:left w:w="40" w:type="dxa"/>
              <w:bottom w:w="40" w:type="dxa"/>
              <w:right w:w="40" w:type="dxa"/>
            </w:tcMar>
          </w:tcPr>
          <w:p w14:paraId="0BC9B27E" w14:textId="77777777" w:rsidR="009F0928" w:rsidRDefault="002112BD">
            <w:pPr>
              <w:textAlignment w:val="top"/>
              <w:rPr>
                <w:rFonts w:ascii="Times New Roman" w:hAnsi="Times New Roman"/>
                <w:sz w:val="18"/>
                <w:szCs w:val="18"/>
              </w:rPr>
            </w:pPr>
            <w:r>
              <w:rPr>
                <w:rFonts w:ascii="Arial" w:eastAsia="宋体" w:hAnsi="Arial" w:cs="Arial"/>
                <w:sz w:val="18"/>
                <w:szCs w:val="18"/>
              </w:rPr>
              <w:t>31.02</w:t>
            </w:r>
          </w:p>
        </w:tc>
        <w:tc>
          <w:tcPr>
            <w:tcW w:w="0" w:type="auto"/>
            <w:shd w:val="clear" w:color="auto" w:fill="auto"/>
            <w:tcMar>
              <w:top w:w="40" w:type="dxa"/>
              <w:left w:w="40" w:type="dxa"/>
              <w:bottom w:w="40" w:type="dxa"/>
              <w:right w:w="40" w:type="dxa"/>
            </w:tcMar>
            <w:vAlign w:val="bottom"/>
          </w:tcPr>
          <w:p w14:paraId="0BC9B27F"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80" w14:textId="77777777" w:rsidR="009F0928" w:rsidRDefault="002112BD">
            <w:pPr>
              <w:textAlignment w:val="bottom"/>
              <w:rPr>
                <w:rFonts w:ascii="Times New Roman" w:hAnsi="Times New Roman"/>
                <w:sz w:val="18"/>
                <w:szCs w:val="18"/>
              </w:rPr>
            </w:pPr>
            <w:hyperlink r:id="rId107" w:history="1">
              <w:r>
                <w:rPr>
                  <w:rStyle w:val="a5"/>
                  <w:rFonts w:ascii="Arial" w:eastAsia="宋体" w:hAnsi="Arial" w:cs="Arial"/>
                  <w:sz w:val="18"/>
                  <w:szCs w:val="18"/>
                </w:rPr>
                <w:t>Certification of Registrant’s Chief Financial Officer, as required by Section 302 of the Sarbanes-Oxley Act of 2002.</w:t>
              </w:r>
            </w:hyperlink>
          </w:p>
        </w:tc>
        <w:tc>
          <w:tcPr>
            <w:tcW w:w="0" w:type="auto"/>
            <w:shd w:val="clear" w:color="auto" w:fill="auto"/>
            <w:tcMar>
              <w:top w:w="40" w:type="dxa"/>
              <w:left w:w="40" w:type="dxa"/>
              <w:bottom w:w="40" w:type="dxa"/>
              <w:right w:w="40" w:type="dxa"/>
            </w:tcMar>
          </w:tcPr>
          <w:p w14:paraId="0BC9B281"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B282"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X</w:t>
            </w:r>
          </w:p>
        </w:tc>
        <w:tc>
          <w:tcPr>
            <w:tcW w:w="0" w:type="auto"/>
            <w:shd w:val="clear" w:color="auto" w:fill="auto"/>
            <w:tcMar>
              <w:top w:w="40" w:type="dxa"/>
              <w:left w:w="40" w:type="dxa"/>
              <w:bottom w:w="40" w:type="dxa"/>
              <w:right w:w="40" w:type="dxa"/>
            </w:tcMar>
          </w:tcPr>
          <w:p w14:paraId="0BC9B283"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8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85"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8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87"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8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90" w14:textId="77777777">
        <w:trPr>
          <w:jc w:val="center"/>
        </w:trPr>
        <w:tc>
          <w:tcPr>
            <w:tcW w:w="0" w:type="auto"/>
            <w:shd w:val="clear" w:color="auto" w:fill="auto"/>
            <w:tcMar>
              <w:top w:w="40" w:type="dxa"/>
              <w:left w:w="40" w:type="dxa"/>
              <w:bottom w:w="40" w:type="dxa"/>
              <w:right w:w="40" w:type="dxa"/>
            </w:tcMar>
            <w:vAlign w:val="bottom"/>
          </w:tcPr>
          <w:p w14:paraId="0BC9B28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8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8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8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8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9C" w14:textId="77777777">
        <w:trPr>
          <w:jc w:val="center"/>
        </w:trPr>
        <w:tc>
          <w:tcPr>
            <w:tcW w:w="0" w:type="auto"/>
            <w:shd w:val="clear" w:color="auto" w:fill="auto"/>
            <w:tcMar>
              <w:top w:w="40" w:type="dxa"/>
              <w:left w:w="40" w:type="dxa"/>
              <w:bottom w:w="40" w:type="dxa"/>
              <w:right w:w="40" w:type="dxa"/>
            </w:tcMar>
          </w:tcPr>
          <w:p w14:paraId="0BC9B291" w14:textId="77777777" w:rsidR="009F0928" w:rsidRDefault="002112BD">
            <w:pPr>
              <w:textAlignment w:val="top"/>
              <w:rPr>
                <w:rFonts w:ascii="Times New Roman" w:hAnsi="Times New Roman"/>
                <w:sz w:val="18"/>
                <w:szCs w:val="18"/>
              </w:rPr>
            </w:pPr>
            <w:r>
              <w:rPr>
                <w:rFonts w:ascii="Arial" w:eastAsia="宋体" w:hAnsi="Arial" w:cs="Arial"/>
                <w:sz w:val="18"/>
                <w:szCs w:val="18"/>
              </w:rPr>
              <w:t>32.01</w:t>
            </w:r>
          </w:p>
        </w:tc>
        <w:tc>
          <w:tcPr>
            <w:tcW w:w="0" w:type="auto"/>
            <w:shd w:val="clear" w:color="auto" w:fill="auto"/>
            <w:tcMar>
              <w:top w:w="40" w:type="dxa"/>
              <w:left w:w="40" w:type="dxa"/>
              <w:bottom w:w="40" w:type="dxa"/>
              <w:right w:w="40" w:type="dxa"/>
            </w:tcMar>
            <w:vAlign w:val="bottom"/>
          </w:tcPr>
          <w:p w14:paraId="0BC9B292"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93" w14:textId="77777777" w:rsidR="009F0928" w:rsidRDefault="002112BD">
            <w:pPr>
              <w:textAlignment w:val="bottom"/>
              <w:rPr>
                <w:rFonts w:ascii="Times New Roman" w:hAnsi="Times New Roman"/>
                <w:sz w:val="18"/>
                <w:szCs w:val="18"/>
              </w:rPr>
            </w:pPr>
            <w:hyperlink r:id="rId108" w:history="1">
              <w:r>
                <w:rPr>
                  <w:rStyle w:val="a5"/>
                  <w:rFonts w:ascii="Arial" w:eastAsia="宋体" w:hAnsi="Arial" w:cs="Arial"/>
                  <w:sz w:val="18"/>
                  <w:szCs w:val="18"/>
                </w:rPr>
                <w:t>Certification of Registrant’s Chief Executive Officer, as required by Section 906 of the Sarbanes-Oxley Act of 2002.</w:t>
              </w:r>
            </w:hyperlink>
          </w:p>
        </w:tc>
        <w:tc>
          <w:tcPr>
            <w:tcW w:w="0" w:type="auto"/>
            <w:shd w:val="clear" w:color="auto" w:fill="auto"/>
            <w:tcMar>
              <w:top w:w="40" w:type="dxa"/>
              <w:left w:w="40" w:type="dxa"/>
              <w:bottom w:w="40" w:type="dxa"/>
              <w:right w:w="40" w:type="dxa"/>
            </w:tcMar>
          </w:tcPr>
          <w:p w14:paraId="0BC9B294"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B295"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X</w:t>
            </w:r>
          </w:p>
        </w:tc>
        <w:tc>
          <w:tcPr>
            <w:tcW w:w="0" w:type="auto"/>
            <w:shd w:val="clear" w:color="auto" w:fill="auto"/>
            <w:tcMar>
              <w:top w:w="40" w:type="dxa"/>
              <w:left w:w="40" w:type="dxa"/>
              <w:bottom w:w="40" w:type="dxa"/>
              <w:right w:w="40" w:type="dxa"/>
            </w:tcMar>
          </w:tcPr>
          <w:p w14:paraId="0BC9B296"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98"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9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9A"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9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A3" w14:textId="77777777">
        <w:trPr>
          <w:jc w:val="center"/>
        </w:trPr>
        <w:tc>
          <w:tcPr>
            <w:tcW w:w="0" w:type="auto"/>
            <w:shd w:val="clear" w:color="auto" w:fill="auto"/>
            <w:tcMar>
              <w:top w:w="40" w:type="dxa"/>
              <w:left w:w="40" w:type="dxa"/>
              <w:bottom w:w="40" w:type="dxa"/>
              <w:right w:w="40" w:type="dxa"/>
            </w:tcMar>
            <w:vAlign w:val="bottom"/>
          </w:tcPr>
          <w:p w14:paraId="0BC9B29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9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9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A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A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A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AF" w14:textId="77777777">
        <w:trPr>
          <w:jc w:val="center"/>
        </w:trPr>
        <w:tc>
          <w:tcPr>
            <w:tcW w:w="0" w:type="auto"/>
            <w:shd w:val="clear" w:color="auto" w:fill="auto"/>
            <w:tcMar>
              <w:top w:w="40" w:type="dxa"/>
              <w:left w:w="40" w:type="dxa"/>
              <w:bottom w:w="40" w:type="dxa"/>
              <w:right w:w="40" w:type="dxa"/>
            </w:tcMar>
          </w:tcPr>
          <w:p w14:paraId="0BC9B2A4" w14:textId="77777777" w:rsidR="009F0928" w:rsidRDefault="002112BD">
            <w:pPr>
              <w:textAlignment w:val="top"/>
              <w:rPr>
                <w:rFonts w:ascii="Times New Roman" w:hAnsi="Times New Roman"/>
                <w:sz w:val="18"/>
                <w:szCs w:val="18"/>
              </w:rPr>
            </w:pPr>
            <w:r>
              <w:rPr>
                <w:rFonts w:ascii="Arial" w:eastAsia="宋体" w:hAnsi="Arial" w:cs="Arial"/>
                <w:sz w:val="18"/>
                <w:szCs w:val="18"/>
              </w:rPr>
              <w:t>32.02</w:t>
            </w:r>
          </w:p>
        </w:tc>
        <w:tc>
          <w:tcPr>
            <w:tcW w:w="0" w:type="auto"/>
            <w:shd w:val="clear" w:color="auto" w:fill="auto"/>
            <w:tcMar>
              <w:top w:w="40" w:type="dxa"/>
              <w:left w:w="40" w:type="dxa"/>
              <w:bottom w:w="40" w:type="dxa"/>
              <w:right w:w="40" w:type="dxa"/>
            </w:tcMar>
            <w:vAlign w:val="bottom"/>
          </w:tcPr>
          <w:p w14:paraId="0BC9B2A5"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A6" w14:textId="77777777" w:rsidR="009F0928" w:rsidRDefault="002112BD">
            <w:pPr>
              <w:textAlignment w:val="bottom"/>
              <w:rPr>
                <w:rFonts w:ascii="Times New Roman" w:hAnsi="Times New Roman"/>
                <w:sz w:val="18"/>
                <w:szCs w:val="18"/>
              </w:rPr>
            </w:pPr>
            <w:hyperlink r:id="rId109" w:history="1">
              <w:r>
                <w:rPr>
                  <w:rStyle w:val="a5"/>
                  <w:rFonts w:ascii="Arial" w:eastAsia="宋体" w:hAnsi="Arial" w:cs="Arial"/>
                  <w:sz w:val="18"/>
                  <w:szCs w:val="18"/>
                </w:rPr>
                <w:t>Certification of Registrant’s Chief Financial Officer, as required by Section 906 of the Sarbanes-Oxley Act of 2002.</w:t>
              </w:r>
            </w:hyperlink>
          </w:p>
        </w:tc>
        <w:tc>
          <w:tcPr>
            <w:tcW w:w="0" w:type="auto"/>
            <w:shd w:val="clear" w:color="auto" w:fill="auto"/>
            <w:tcMar>
              <w:top w:w="40" w:type="dxa"/>
              <w:left w:w="40" w:type="dxa"/>
              <w:bottom w:w="40" w:type="dxa"/>
              <w:right w:w="40" w:type="dxa"/>
            </w:tcMar>
          </w:tcPr>
          <w:p w14:paraId="0BC9B2A7"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B2A8"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X</w:t>
            </w:r>
          </w:p>
        </w:tc>
        <w:tc>
          <w:tcPr>
            <w:tcW w:w="0" w:type="auto"/>
            <w:shd w:val="clear" w:color="auto" w:fill="auto"/>
            <w:tcMar>
              <w:top w:w="40" w:type="dxa"/>
              <w:left w:w="40" w:type="dxa"/>
              <w:bottom w:w="40" w:type="dxa"/>
              <w:right w:w="40" w:type="dxa"/>
            </w:tcMar>
          </w:tcPr>
          <w:p w14:paraId="0BC9B2A9"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A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AB"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A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AD"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A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B7" w14:textId="77777777">
        <w:trPr>
          <w:jc w:val="center"/>
        </w:trPr>
        <w:tc>
          <w:tcPr>
            <w:tcW w:w="0" w:type="auto"/>
            <w:shd w:val="clear" w:color="auto" w:fill="auto"/>
            <w:tcMar>
              <w:top w:w="40" w:type="dxa"/>
              <w:left w:w="40" w:type="dxa"/>
              <w:bottom w:w="40" w:type="dxa"/>
              <w:right w:w="40" w:type="dxa"/>
            </w:tcMar>
            <w:vAlign w:val="bottom"/>
          </w:tcPr>
          <w:p w14:paraId="0BC9B2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2B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2B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B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C3" w14:textId="77777777">
        <w:trPr>
          <w:jc w:val="center"/>
        </w:trPr>
        <w:tc>
          <w:tcPr>
            <w:tcW w:w="0" w:type="auto"/>
            <w:shd w:val="clear" w:color="auto" w:fill="auto"/>
            <w:tcMar>
              <w:top w:w="40" w:type="dxa"/>
              <w:left w:w="40" w:type="dxa"/>
              <w:bottom w:w="40" w:type="dxa"/>
              <w:right w:w="40" w:type="dxa"/>
            </w:tcMar>
          </w:tcPr>
          <w:p w14:paraId="0BC9B2B8" w14:textId="77777777" w:rsidR="009F0928" w:rsidRDefault="002112BD">
            <w:pPr>
              <w:textAlignment w:val="top"/>
              <w:rPr>
                <w:rFonts w:ascii="Times New Roman" w:hAnsi="Times New Roman"/>
                <w:sz w:val="18"/>
                <w:szCs w:val="18"/>
              </w:rPr>
            </w:pPr>
            <w:r>
              <w:rPr>
                <w:rFonts w:ascii="Arial" w:eastAsia="宋体" w:hAnsi="Arial" w:cs="Arial"/>
                <w:sz w:val="18"/>
                <w:szCs w:val="18"/>
              </w:rPr>
              <w:t>101.INS</w:t>
            </w:r>
          </w:p>
        </w:tc>
        <w:tc>
          <w:tcPr>
            <w:tcW w:w="0" w:type="auto"/>
            <w:shd w:val="clear" w:color="auto" w:fill="auto"/>
            <w:tcMar>
              <w:top w:w="40" w:type="dxa"/>
              <w:left w:w="40" w:type="dxa"/>
              <w:bottom w:w="40" w:type="dxa"/>
              <w:right w:w="40" w:type="dxa"/>
            </w:tcMar>
            <w:vAlign w:val="bottom"/>
          </w:tcPr>
          <w:p w14:paraId="0BC9B2B9"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BA"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XBRL Instance Document- the instance document does not appear in the Interactive Data File because its XBRL tags are embedded within the Inline XBRL document. </w:t>
            </w:r>
          </w:p>
        </w:tc>
        <w:tc>
          <w:tcPr>
            <w:tcW w:w="0" w:type="auto"/>
            <w:shd w:val="clear" w:color="auto" w:fill="auto"/>
            <w:tcMar>
              <w:top w:w="40" w:type="dxa"/>
              <w:left w:w="40" w:type="dxa"/>
              <w:bottom w:w="40" w:type="dxa"/>
              <w:right w:w="40" w:type="dxa"/>
            </w:tcMar>
            <w:vAlign w:val="bottom"/>
          </w:tcPr>
          <w:p w14:paraId="0BC9B2BB" w14:textId="77777777" w:rsidR="009F0928" w:rsidRDefault="002112BD">
            <w:pPr>
              <w:jc w:val="cente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B2BC"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X</w:t>
            </w:r>
          </w:p>
        </w:tc>
        <w:tc>
          <w:tcPr>
            <w:tcW w:w="0" w:type="auto"/>
            <w:shd w:val="clear" w:color="auto" w:fill="auto"/>
            <w:tcMar>
              <w:top w:w="40" w:type="dxa"/>
              <w:left w:w="40" w:type="dxa"/>
              <w:bottom w:w="40" w:type="dxa"/>
              <w:right w:w="40" w:type="dxa"/>
            </w:tcMar>
          </w:tcPr>
          <w:p w14:paraId="0BC9B2BD"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B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BF"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C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C1"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C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CB" w14:textId="77777777">
        <w:trPr>
          <w:jc w:val="center"/>
        </w:trPr>
        <w:tc>
          <w:tcPr>
            <w:tcW w:w="0" w:type="auto"/>
            <w:shd w:val="clear" w:color="auto" w:fill="auto"/>
            <w:tcMar>
              <w:top w:w="40" w:type="dxa"/>
              <w:left w:w="40" w:type="dxa"/>
              <w:bottom w:w="40" w:type="dxa"/>
              <w:right w:w="40" w:type="dxa"/>
            </w:tcMar>
            <w:vAlign w:val="bottom"/>
          </w:tcPr>
          <w:p w14:paraId="0BC9B2C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2C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2C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C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C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C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C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D7" w14:textId="77777777">
        <w:trPr>
          <w:jc w:val="center"/>
        </w:trPr>
        <w:tc>
          <w:tcPr>
            <w:tcW w:w="0" w:type="auto"/>
            <w:shd w:val="clear" w:color="auto" w:fill="auto"/>
            <w:tcMar>
              <w:top w:w="40" w:type="dxa"/>
              <w:left w:w="40" w:type="dxa"/>
              <w:bottom w:w="40" w:type="dxa"/>
              <w:right w:w="40" w:type="dxa"/>
            </w:tcMar>
          </w:tcPr>
          <w:p w14:paraId="0BC9B2CC" w14:textId="77777777" w:rsidR="009F0928" w:rsidRDefault="002112BD">
            <w:pPr>
              <w:textAlignment w:val="top"/>
              <w:rPr>
                <w:rFonts w:ascii="Times New Roman" w:hAnsi="Times New Roman"/>
                <w:sz w:val="18"/>
                <w:szCs w:val="18"/>
              </w:rPr>
            </w:pPr>
            <w:r>
              <w:rPr>
                <w:rFonts w:ascii="Arial" w:eastAsia="宋体" w:hAnsi="Arial" w:cs="Arial"/>
                <w:sz w:val="18"/>
                <w:szCs w:val="18"/>
              </w:rPr>
              <w:t>101.SCH</w:t>
            </w:r>
          </w:p>
        </w:tc>
        <w:tc>
          <w:tcPr>
            <w:tcW w:w="0" w:type="auto"/>
            <w:shd w:val="clear" w:color="auto" w:fill="auto"/>
            <w:tcMar>
              <w:top w:w="40" w:type="dxa"/>
              <w:left w:w="40" w:type="dxa"/>
              <w:bottom w:w="40" w:type="dxa"/>
              <w:right w:w="40" w:type="dxa"/>
            </w:tcMar>
            <w:vAlign w:val="bottom"/>
          </w:tcPr>
          <w:p w14:paraId="0BC9B2CD"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CE"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Inline XBRL Taxonomy Extension Schema </w:t>
            </w:r>
            <w:r>
              <w:rPr>
                <w:rFonts w:ascii="Arial" w:eastAsia="宋体" w:hAnsi="Arial" w:cs="Arial"/>
                <w:sz w:val="18"/>
                <w:szCs w:val="18"/>
              </w:rPr>
              <w:t>Document</w:t>
            </w:r>
          </w:p>
        </w:tc>
        <w:tc>
          <w:tcPr>
            <w:tcW w:w="0" w:type="auto"/>
            <w:shd w:val="clear" w:color="auto" w:fill="auto"/>
            <w:tcMar>
              <w:top w:w="40" w:type="dxa"/>
              <w:left w:w="40" w:type="dxa"/>
              <w:bottom w:w="40" w:type="dxa"/>
              <w:right w:w="40" w:type="dxa"/>
            </w:tcMar>
            <w:vAlign w:val="bottom"/>
          </w:tcPr>
          <w:p w14:paraId="0BC9B2CF" w14:textId="77777777" w:rsidR="009F0928" w:rsidRDefault="002112BD">
            <w:pPr>
              <w:jc w:val="cente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D0" w14:textId="77777777" w:rsidR="009F0928" w:rsidRDefault="002112BD">
            <w:pPr>
              <w:jc w:val="center"/>
              <w:textAlignment w:val="bottom"/>
              <w:rPr>
                <w:rFonts w:ascii="Times New Roman" w:hAnsi="Times New Roman"/>
                <w:sz w:val="18"/>
                <w:szCs w:val="18"/>
              </w:rPr>
            </w:pPr>
            <w:r>
              <w:rPr>
                <w:rFonts w:ascii="Arial" w:eastAsia="宋体" w:hAnsi="Arial" w:cs="Arial"/>
                <w:sz w:val="18"/>
                <w:szCs w:val="18"/>
              </w:rPr>
              <w:t>X</w:t>
            </w:r>
          </w:p>
        </w:tc>
        <w:tc>
          <w:tcPr>
            <w:tcW w:w="0" w:type="auto"/>
            <w:shd w:val="clear" w:color="auto" w:fill="auto"/>
            <w:tcMar>
              <w:top w:w="40" w:type="dxa"/>
              <w:left w:w="40" w:type="dxa"/>
              <w:bottom w:w="40" w:type="dxa"/>
              <w:right w:w="40" w:type="dxa"/>
            </w:tcMar>
          </w:tcPr>
          <w:p w14:paraId="0BC9B2D1"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D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D3"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D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D5"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D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DF" w14:textId="77777777">
        <w:trPr>
          <w:jc w:val="center"/>
        </w:trPr>
        <w:tc>
          <w:tcPr>
            <w:tcW w:w="0" w:type="auto"/>
            <w:shd w:val="clear" w:color="auto" w:fill="auto"/>
            <w:tcMar>
              <w:top w:w="40" w:type="dxa"/>
              <w:left w:w="40" w:type="dxa"/>
              <w:bottom w:w="40" w:type="dxa"/>
              <w:right w:w="40" w:type="dxa"/>
            </w:tcMar>
            <w:vAlign w:val="bottom"/>
          </w:tcPr>
          <w:p w14:paraId="0BC9B2D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2D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2D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D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D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D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EB" w14:textId="77777777">
        <w:trPr>
          <w:jc w:val="center"/>
        </w:trPr>
        <w:tc>
          <w:tcPr>
            <w:tcW w:w="0" w:type="auto"/>
            <w:shd w:val="clear" w:color="auto" w:fill="auto"/>
            <w:tcMar>
              <w:top w:w="40" w:type="dxa"/>
              <w:left w:w="40" w:type="dxa"/>
              <w:bottom w:w="40" w:type="dxa"/>
              <w:right w:w="40" w:type="dxa"/>
            </w:tcMar>
          </w:tcPr>
          <w:p w14:paraId="0BC9B2E0" w14:textId="77777777" w:rsidR="009F0928" w:rsidRDefault="002112BD">
            <w:pPr>
              <w:textAlignment w:val="top"/>
              <w:rPr>
                <w:rFonts w:ascii="Times New Roman" w:hAnsi="Times New Roman"/>
                <w:sz w:val="18"/>
                <w:szCs w:val="18"/>
              </w:rPr>
            </w:pPr>
            <w:r>
              <w:rPr>
                <w:rFonts w:ascii="Arial" w:eastAsia="宋体" w:hAnsi="Arial" w:cs="Arial"/>
                <w:sz w:val="18"/>
                <w:szCs w:val="18"/>
              </w:rPr>
              <w:t>101.CAL</w:t>
            </w:r>
          </w:p>
        </w:tc>
        <w:tc>
          <w:tcPr>
            <w:tcW w:w="0" w:type="auto"/>
            <w:shd w:val="clear" w:color="auto" w:fill="auto"/>
            <w:tcMar>
              <w:top w:w="40" w:type="dxa"/>
              <w:left w:w="40" w:type="dxa"/>
              <w:bottom w:w="40" w:type="dxa"/>
              <w:right w:w="40" w:type="dxa"/>
            </w:tcMar>
            <w:vAlign w:val="bottom"/>
          </w:tcPr>
          <w:p w14:paraId="0BC9B2E1"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E2" w14:textId="77777777" w:rsidR="009F0928" w:rsidRDefault="002112BD">
            <w:pPr>
              <w:textAlignment w:val="bottom"/>
              <w:rPr>
                <w:rFonts w:ascii="Times New Roman" w:hAnsi="Times New Roman"/>
                <w:sz w:val="18"/>
                <w:szCs w:val="18"/>
              </w:rPr>
            </w:pPr>
            <w:r>
              <w:rPr>
                <w:rFonts w:ascii="Arial" w:eastAsia="宋体" w:hAnsi="Arial" w:cs="Arial"/>
                <w:sz w:val="18"/>
                <w:szCs w:val="18"/>
              </w:rPr>
              <w:t>Inline XBRL Taxonomy Extension Calculation Linkbase Document</w:t>
            </w:r>
          </w:p>
        </w:tc>
        <w:tc>
          <w:tcPr>
            <w:tcW w:w="0" w:type="auto"/>
            <w:shd w:val="clear" w:color="auto" w:fill="auto"/>
            <w:tcMar>
              <w:top w:w="40" w:type="dxa"/>
              <w:left w:w="40" w:type="dxa"/>
              <w:bottom w:w="40" w:type="dxa"/>
              <w:right w:w="40" w:type="dxa"/>
            </w:tcMar>
          </w:tcPr>
          <w:p w14:paraId="0BC9B2E3"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B2E4"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X</w:t>
            </w:r>
          </w:p>
        </w:tc>
        <w:tc>
          <w:tcPr>
            <w:tcW w:w="0" w:type="auto"/>
            <w:shd w:val="clear" w:color="auto" w:fill="auto"/>
            <w:tcMar>
              <w:top w:w="40" w:type="dxa"/>
              <w:left w:w="40" w:type="dxa"/>
              <w:bottom w:w="40" w:type="dxa"/>
              <w:right w:w="40" w:type="dxa"/>
            </w:tcMar>
          </w:tcPr>
          <w:p w14:paraId="0BC9B2E5"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E7"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E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E9"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E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F3" w14:textId="77777777">
        <w:trPr>
          <w:jc w:val="center"/>
        </w:trPr>
        <w:tc>
          <w:tcPr>
            <w:tcW w:w="0" w:type="auto"/>
            <w:shd w:val="clear" w:color="auto" w:fill="auto"/>
            <w:tcMar>
              <w:top w:w="40" w:type="dxa"/>
              <w:left w:w="40" w:type="dxa"/>
              <w:bottom w:w="40" w:type="dxa"/>
              <w:right w:w="40" w:type="dxa"/>
            </w:tcMar>
            <w:vAlign w:val="bottom"/>
          </w:tcPr>
          <w:p w14:paraId="0BC9B2E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2E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2E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E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F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F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2F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2FF" w14:textId="77777777">
        <w:trPr>
          <w:jc w:val="center"/>
        </w:trPr>
        <w:tc>
          <w:tcPr>
            <w:tcW w:w="0" w:type="auto"/>
            <w:shd w:val="clear" w:color="auto" w:fill="auto"/>
            <w:tcMar>
              <w:top w:w="40" w:type="dxa"/>
              <w:left w:w="40" w:type="dxa"/>
              <w:bottom w:w="40" w:type="dxa"/>
              <w:right w:w="40" w:type="dxa"/>
            </w:tcMar>
          </w:tcPr>
          <w:p w14:paraId="0BC9B2F4" w14:textId="77777777" w:rsidR="009F0928" w:rsidRDefault="002112BD">
            <w:pPr>
              <w:textAlignment w:val="top"/>
              <w:rPr>
                <w:rFonts w:ascii="Times New Roman" w:hAnsi="Times New Roman"/>
                <w:sz w:val="18"/>
                <w:szCs w:val="18"/>
              </w:rPr>
            </w:pPr>
            <w:r>
              <w:rPr>
                <w:rFonts w:ascii="Arial" w:eastAsia="宋体" w:hAnsi="Arial" w:cs="Arial"/>
                <w:sz w:val="18"/>
                <w:szCs w:val="18"/>
              </w:rPr>
              <w:t>101.DEF</w:t>
            </w:r>
          </w:p>
        </w:tc>
        <w:tc>
          <w:tcPr>
            <w:tcW w:w="0" w:type="auto"/>
            <w:shd w:val="clear" w:color="auto" w:fill="auto"/>
            <w:tcMar>
              <w:top w:w="40" w:type="dxa"/>
              <w:left w:w="40" w:type="dxa"/>
              <w:bottom w:w="40" w:type="dxa"/>
              <w:right w:w="40" w:type="dxa"/>
            </w:tcMar>
            <w:vAlign w:val="bottom"/>
          </w:tcPr>
          <w:p w14:paraId="0BC9B2F5"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F6" w14:textId="77777777" w:rsidR="009F0928" w:rsidRDefault="002112BD">
            <w:pPr>
              <w:textAlignment w:val="bottom"/>
              <w:rPr>
                <w:rFonts w:ascii="Times New Roman" w:hAnsi="Times New Roman"/>
                <w:sz w:val="18"/>
                <w:szCs w:val="18"/>
              </w:rPr>
            </w:pPr>
            <w:r>
              <w:rPr>
                <w:rFonts w:ascii="Arial" w:eastAsia="宋体" w:hAnsi="Arial" w:cs="Arial"/>
                <w:sz w:val="18"/>
                <w:szCs w:val="18"/>
              </w:rPr>
              <w:t>Inline XBRL Taxonomy Extension Definition Linkbase Document</w:t>
            </w:r>
          </w:p>
        </w:tc>
        <w:tc>
          <w:tcPr>
            <w:tcW w:w="0" w:type="auto"/>
            <w:shd w:val="clear" w:color="auto" w:fill="auto"/>
            <w:tcMar>
              <w:top w:w="40" w:type="dxa"/>
              <w:left w:w="40" w:type="dxa"/>
              <w:bottom w:w="40" w:type="dxa"/>
              <w:right w:w="40" w:type="dxa"/>
            </w:tcMar>
          </w:tcPr>
          <w:p w14:paraId="0BC9B2F7"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B2F8"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X</w:t>
            </w:r>
          </w:p>
        </w:tc>
        <w:tc>
          <w:tcPr>
            <w:tcW w:w="0" w:type="auto"/>
            <w:shd w:val="clear" w:color="auto" w:fill="auto"/>
            <w:tcMar>
              <w:top w:w="40" w:type="dxa"/>
              <w:left w:w="40" w:type="dxa"/>
              <w:bottom w:w="40" w:type="dxa"/>
              <w:right w:w="40" w:type="dxa"/>
            </w:tcMar>
          </w:tcPr>
          <w:p w14:paraId="0BC9B2F9"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F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FB"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F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2FD"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2F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307" w14:textId="77777777">
        <w:trPr>
          <w:jc w:val="center"/>
        </w:trPr>
        <w:tc>
          <w:tcPr>
            <w:tcW w:w="0" w:type="auto"/>
            <w:shd w:val="clear" w:color="auto" w:fill="auto"/>
            <w:tcMar>
              <w:top w:w="40" w:type="dxa"/>
              <w:left w:w="40" w:type="dxa"/>
              <w:bottom w:w="40" w:type="dxa"/>
              <w:right w:w="40" w:type="dxa"/>
            </w:tcMar>
            <w:vAlign w:val="bottom"/>
          </w:tcPr>
          <w:p w14:paraId="0BC9B3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0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0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30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3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30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30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313" w14:textId="77777777">
        <w:trPr>
          <w:jc w:val="center"/>
        </w:trPr>
        <w:tc>
          <w:tcPr>
            <w:tcW w:w="0" w:type="auto"/>
            <w:shd w:val="clear" w:color="auto" w:fill="auto"/>
            <w:tcMar>
              <w:top w:w="40" w:type="dxa"/>
              <w:left w:w="40" w:type="dxa"/>
              <w:bottom w:w="40" w:type="dxa"/>
              <w:right w:w="40" w:type="dxa"/>
            </w:tcMar>
          </w:tcPr>
          <w:p w14:paraId="0BC9B308" w14:textId="77777777" w:rsidR="009F0928" w:rsidRDefault="002112BD">
            <w:pPr>
              <w:textAlignment w:val="top"/>
              <w:rPr>
                <w:rFonts w:ascii="Times New Roman" w:hAnsi="Times New Roman"/>
                <w:sz w:val="18"/>
                <w:szCs w:val="18"/>
              </w:rPr>
            </w:pPr>
            <w:r>
              <w:rPr>
                <w:rFonts w:ascii="Arial" w:eastAsia="宋体" w:hAnsi="Arial" w:cs="Arial"/>
                <w:sz w:val="18"/>
                <w:szCs w:val="18"/>
              </w:rPr>
              <w:t>101.LAB</w:t>
            </w:r>
          </w:p>
        </w:tc>
        <w:tc>
          <w:tcPr>
            <w:tcW w:w="0" w:type="auto"/>
            <w:shd w:val="clear" w:color="auto" w:fill="auto"/>
            <w:tcMar>
              <w:top w:w="40" w:type="dxa"/>
              <w:left w:w="40" w:type="dxa"/>
              <w:bottom w:w="40" w:type="dxa"/>
              <w:right w:w="40" w:type="dxa"/>
            </w:tcMar>
            <w:vAlign w:val="bottom"/>
          </w:tcPr>
          <w:p w14:paraId="0BC9B309"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30A" w14:textId="77777777" w:rsidR="009F0928" w:rsidRDefault="002112BD">
            <w:pPr>
              <w:textAlignment w:val="bottom"/>
              <w:rPr>
                <w:rFonts w:ascii="Times New Roman" w:hAnsi="Times New Roman"/>
                <w:sz w:val="18"/>
                <w:szCs w:val="18"/>
              </w:rPr>
            </w:pPr>
            <w:r>
              <w:rPr>
                <w:rFonts w:ascii="Arial" w:eastAsia="宋体" w:hAnsi="Arial" w:cs="Arial"/>
                <w:sz w:val="18"/>
                <w:szCs w:val="18"/>
              </w:rPr>
              <w:t>Inline XBRL Taxonomy Extension Label Linkbase Document</w:t>
            </w:r>
          </w:p>
        </w:tc>
        <w:tc>
          <w:tcPr>
            <w:tcW w:w="0" w:type="auto"/>
            <w:shd w:val="clear" w:color="auto" w:fill="auto"/>
            <w:tcMar>
              <w:top w:w="40" w:type="dxa"/>
              <w:left w:w="40" w:type="dxa"/>
              <w:bottom w:w="40" w:type="dxa"/>
              <w:right w:w="40" w:type="dxa"/>
            </w:tcMar>
          </w:tcPr>
          <w:p w14:paraId="0BC9B30B"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B30C"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X</w:t>
            </w:r>
          </w:p>
        </w:tc>
        <w:tc>
          <w:tcPr>
            <w:tcW w:w="0" w:type="auto"/>
            <w:shd w:val="clear" w:color="auto" w:fill="auto"/>
            <w:tcMar>
              <w:top w:w="40" w:type="dxa"/>
              <w:left w:w="40" w:type="dxa"/>
              <w:bottom w:w="40" w:type="dxa"/>
              <w:right w:w="40" w:type="dxa"/>
            </w:tcMar>
          </w:tcPr>
          <w:p w14:paraId="0BC9B30D"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30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30F"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31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311"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31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31A" w14:textId="77777777">
        <w:trPr>
          <w:jc w:val="center"/>
        </w:trPr>
        <w:tc>
          <w:tcPr>
            <w:tcW w:w="0" w:type="auto"/>
            <w:shd w:val="clear" w:color="auto" w:fill="auto"/>
            <w:tcMar>
              <w:top w:w="40" w:type="dxa"/>
              <w:left w:w="40" w:type="dxa"/>
              <w:bottom w:w="40" w:type="dxa"/>
              <w:right w:w="40" w:type="dxa"/>
            </w:tcMar>
            <w:vAlign w:val="bottom"/>
          </w:tcPr>
          <w:p w14:paraId="0BC9B31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31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3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31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3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31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326" w14:textId="77777777">
        <w:trPr>
          <w:jc w:val="center"/>
        </w:trPr>
        <w:tc>
          <w:tcPr>
            <w:tcW w:w="0" w:type="auto"/>
            <w:shd w:val="clear" w:color="auto" w:fill="auto"/>
            <w:tcMar>
              <w:top w:w="40" w:type="dxa"/>
              <w:left w:w="40" w:type="dxa"/>
              <w:bottom w:w="40" w:type="dxa"/>
              <w:right w:w="40" w:type="dxa"/>
            </w:tcMar>
          </w:tcPr>
          <w:p w14:paraId="0BC9B31B" w14:textId="77777777" w:rsidR="009F0928" w:rsidRDefault="002112BD">
            <w:pPr>
              <w:textAlignment w:val="top"/>
              <w:rPr>
                <w:rFonts w:ascii="Times New Roman" w:hAnsi="Times New Roman"/>
                <w:sz w:val="18"/>
                <w:szCs w:val="18"/>
              </w:rPr>
            </w:pPr>
            <w:r>
              <w:rPr>
                <w:rFonts w:ascii="Arial" w:eastAsia="宋体" w:hAnsi="Arial" w:cs="Arial"/>
                <w:sz w:val="18"/>
                <w:szCs w:val="18"/>
              </w:rPr>
              <w:t>101.PRE</w:t>
            </w:r>
          </w:p>
        </w:tc>
        <w:tc>
          <w:tcPr>
            <w:tcW w:w="0" w:type="auto"/>
            <w:shd w:val="clear" w:color="auto" w:fill="auto"/>
            <w:tcMar>
              <w:top w:w="40" w:type="dxa"/>
              <w:left w:w="40" w:type="dxa"/>
              <w:bottom w:w="40" w:type="dxa"/>
              <w:right w:w="40" w:type="dxa"/>
            </w:tcMar>
            <w:vAlign w:val="bottom"/>
          </w:tcPr>
          <w:p w14:paraId="0BC9B31C" w14:textId="77777777" w:rsidR="009F0928" w:rsidRDefault="002112BD">
            <w:pPr>
              <w:textAlignment w:val="bottom"/>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31D" w14:textId="77777777" w:rsidR="009F0928" w:rsidRDefault="002112BD">
            <w:pPr>
              <w:textAlignment w:val="bottom"/>
              <w:rPr>
                <w:rFonts w:ascii="Times New Roman" w:hAnsi="Times New Roman"/>
                <w:sz w:val="18"/>
                <w:szCs w:val="18"/>
              </w:rPr>
            </w:pPr>
            <w:r>
              <w:rPr>
                <w:rFonts w:ascii="Arial" w:eastAsia="宋体" w:hAnsi="Arial" w:cs="Arial"/>
                <w:sz w:val="18"/>
                <w:szCs w:val="18"/>
              </w:rPr>
              <w:t>Inline XBRL Taxonomy Extension Presentation Linkbase Document</w:t>
            </w:r>
          </w:p>
        </w:tc>
        <w:tc>
          <w:tcPr>
            <w:tcW w:w="0" w:type="auto"/>
            <w:shd w:val="clear" w:color="auto" w:fill="auto"/>
            <w:tcMar>
              <w:top w:w="40" w:type="dxa"/>
              <w:left w:w="40" w:type="dxa"/>
              <w:bottom w:w="40" w:type="dxa"/>
              <w:right w:w="40" w:type="dxa"/>
            </w:tcMar>
          </w:tcPr>
          <w:p w14:paraId="0BC9B31E"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tcPr>
          <w:p w14:paraId="0BC9B31F"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X</w:t>
            </w:r>
          </w:p>
        </w:tc>
        <w:tc>
          <w:tcPr>
            <w:tcW w:w="0" w:type="auto"/>
            <w:shd w:val="clear" w:color="auto" w:fill="auto"/>
            <w:tcMar>
              <w:top w:w="40" w:type="dxa"/>
              <w:left w:w="40" w:type="dxa"/>
              <w:bottom w:w="40" w:type="dxa"/>
              <w:right w:w="40" w:type="dxa"/>
            </w:tcMar>
          </w:tcPr>
          <w:p w14:paraId="0BC9B320"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32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322"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32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324" w14:textId="77777777" w:rsidR="009F0928" w:rsidRDefault="002112BD">
            <w:pPr>
              <w:textAlignment w:val="top"/>
              <w:rPr>
                <w:rFonts w:ascii="Times New Roman" w:hAnsi="Times New Roman"/>
                <w:sz w:val="18"/>
                <w:szCs w:val="18"/>
              </w:rPr>
            </w:pPr>
            <w:r>
              <w:rPr>
                <w:rFonts w:ascii="Arial" w:eastAsia="宋体" w:hAnsi="Arial" w:cs="Arial"/>
                <w:sz w:val="18"/>
                <w:szCs w:val="18"/>
              </w:rPr>
              <w:t> </w:t>
            </w:r>
          </w:p>
        </w:tc>
        <w:tc>
          <w:tcPr>
            <w:tcW w:w="0" w:type="auto"/>
            <w:shd w:val="clear" w:color="auto" w:fill="auto"/>
            <w:tcMar>
              <w:top w:w="40" w:type="dxa"/>
              <w:left w:w="40" w:type="dxa"/>
              <w:bottom w:w="40" w:type="dxa"/>
              <w:right w:w="40" w:type="dxa"/>
            </w:tcMar>
            <w:vAlign w:val="bottom"/>
          </w:tcPr>
          <w:p w14:paraId="0BC9B32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332" w14:textId="77777777">
        <w:trPr>
          <w:jc w:val="center"/>
        </w:trPr>
        <w:tc>
          <w:tcPr>
            <w:tcW w:w="0" w:type="auto"/>
            <w:shd w:val="clear" w:color="auto" w:fill="auto"/>
            <w:tcMar>
              <w:top w:w="40" w:type="dxa"/>
              <w:left w:w="40" w:type="dxa"/>
              <w:bottom w:w="40" w:type="dxa"/>
              <w:right w:w="40" w:type="dxa"/>
            </w:tcMar>
            <w:vAlign w:val="bottom"/>
          </w:tcPr>
          <w:p w14:paraId="0BC9B32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2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2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2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2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2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2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2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2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3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3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33E" w14:textId="77777777">
        <w:trPr>
          <w:jc w:val="center"/>
        </w:trPr>
        <w:tc>
          <w:tcPr>
            <w:tcW w:w="0" w:type="auto"/>
            <w:shd w:val="clear" w:color="auto" w:fill="auto"/>
            <w:tcMar>
              <w:top w:w="40" w:type="dxa"/>
              <w:left w:w="40" w:type="dxa"/>
              <w:bottom w:w="40" w:type="dxa"/>
              <w:right w:w="40" w:type="dxa"/>
            </w:tcMar>
          </w:tcPr>
          <w:p w14:paraId="0BC9B333" w14:textId="77777777" w:rsidR="009F0928" w:rsidRDefault="002112BD">
            <w:pPr>
              <w:textAlignment w:val="top"/>
              <w:rPr>
                <w:rFonts w:ascii="Times New Roman" w:hAnsi="Times New Roman"/>
                <w:sz w:val="18"/>
                <w:szCs w:val="18"/>
              </w:rPr>
            </w:pPr>
            <w:r>
              <w:rPr>
                <w:rFonts w:ascii="Arial" w:eastAsia="宋体" w:hAnsi="Arial" w:cs="Arial"/>
                <w:sz w:val="18"/>
                <w:szCs w:val="18"/>
              </w:rPr>
              <w:t>104</w:t>
            </w:r>
          </w:p>
        </w:tc>
        <w:tc>
          <w:tcPr>
            <w:tcW w:w="0" w:type="auto"/>
            <w:shd w:val="clear" w:color="auto" w:fill="auto"/>
            <w:tcMar>
              <w:top w:w="40" w:type="dxa"/>
              <w:left w:w="40" w:type="dxa"/>
              <w:bottom w:w="40" w:type="dxa"/>
              <w:right w:w="40" w:type="dxa"/>
            </w:tcMar>
            <w:vAlign w:val="bottom"/>
          </w:tcPr>
          <w:p w14:paraId="0BC9B33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35"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Cover Page Interactive Data File (formatted as Inline XBRL and contained in Exhibit 101). </w:t>
            </w:r>
          </w:p>
        </w:tc>
        <w:tc>
          <w:tcPr>
            <w:tcW w:w="0" w:type="auto"/>
            <w:shd w:val="clear" w:color="auto" w:fill="auto"/>
            <w:tcMar>
              <w:top w:w="40" w:type="dxa"/>
              <w:left w:w="40" w:type="dxa"/>
              <w:bottom w:w="40" w:type="dxa"/>
              <w:right w:w="40" w:type="dxa"/>
            </w:tcMar>
            <w:vAlign w:val="bottom"/>
          </w:tcPr>
          <w:p w14:paraId="0BC9B3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0BC9B337" w14:textId="77777777" w:rsidR="009F0928" w:rsidRDefault="002112BD">
            <w:pPr>
              <w:jc w:val="center"/>
              <w:textAlignment w:val="top"/>
              <w:rPr>
                <w:rFonts w:ascii="Times New Roman" w:hAnsi="Times New Roman"/>
                <w:sz w:val="18"/>
                <w:szCs w:val="18"/>
              </w:rPr>
            </w:pPr>
            <w:r>
              <w:rPr>
                <w:rFonts w:ascii="Arial" w:eastAsia="宋体" w:hAnsi="Arial" w:cs="Arial"/>
                <w:sz w:val="18"/>
                <w:szCs w:val="18"/>
              </w:rPr>
              <w:t>X</w:t>
            </w:r>
          </w:p>
        </w:tc>
        <w:tc>
          <w:tcPr>
            <w:tcW w:w="0" w:type="auto"/>
            <w:shd w:val="clear" w:color="auto" w:fill="auto"/>
            <w:tcMar>
              <w:top w:w="40" w:type="dxa"/>
              <w:left w:w="40" w:type="dxa"/>
              <w:bottom w:w="40" w:type="dxa"/>
              <w:right w:w="40" w:type="dxa"/>
            </w:tcMar>
            <w:vAlign w:val="bottom"/>
          </w:tcPr>
          <w:p w14:paraId="0BC9B33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3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3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3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B33F"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9F0928" w14:paraId="0BC9B342" w14:textId="77777777">
        <w:trPr>
          <w:tblCellSpacing w:w="0" w:type="dxa"/>
        </w:trPr>
        <w:tc>
          <w:tcPr>
            <w:tcW w:w="600" w:type="dxa"/>
            <w:shd w:val="clear" w:color="auto" w:fill="auto"/>
            <w:vAlign w:val="center"/>
          </w:tcPr>
          <w:p w14:paraId="0BC9B340" w14:textId="77777777" w:rsidR="009F0928" w:rsidRDefault="009F0928">
            <w:pPr>
              <w:rPr>
                <w:rFonts w:ascii="Times New Roman" w:hAnsi="Times New Roman"/>
                <w:sz w:val="20"/>
                <w:szCs w:val="20"/>
              </w:rPr>
            </w:pPr>
          </w:p>
        </w:tc>
        <w:tc>
          <w:tcPr>
            <w:tcW w:w="0" w:type="auto"/>
            <w:shd w:val="clear" w:color="auto" w:fill="auto"/>
            <w:vAlign w:val="center"/>
          </w:tcPr>
          <w:p w14:paraId="0BC9B341" w14:textId="77777777" w:rsidR="009F0928" w:rsidRDefault="009F0928">
            <w:pPr>
              <w:rPr>
                <w:rFonts w:ascii="Times New Roman" w:hAnsi="Times New Roman"/>
                <w:sz w:val="20"/>
                <w:szCs w:val="20"/>
              </w:rPr>
            </w:pPr>
          </w:p>
        </w:tc>
      </w:tr>
      <w:tr w:rsidR="009F0928" w14:paraId="0BC9B345" w14:textId="77777777">
        <w:trPr>
          <w:tblCellSpacing w:w="0" w:type="dxa"/>
        </w:trPr>
        <w:tc>
          <w:tcPr>
            <w:tcW w:w="0" w:type="auto"/>
            <w:shd w:val="clear" w:color="auto" w:fill="auto"/>
          </w:tcPr>
          <w:p w14:paraId="0BC9B343"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w:t>
            </w:r>
          </w:p>
        </w:tc>
        <w:tc>
          <w:tcPr>
            <w:tcW w:w="0" w:type="auto"/>
            <w:shd w:val="clear" w:color="auto" w:fill="auto"/>
          </w:tcPr>
          <w:p w14:paraId="0BC9B344"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 xml:space="preserve">Schedules and exhibits have been omitted pursuant to Item 601(a)(5) of Regulation S-K. The registrant agrees to furnish </w:t>
            </w:r>
            <w:r>
              <w:rPr>
                <w:rFonts w:ascii="Arial" w:eastAsia="宋体" w:hAnsi="Arial" w:cs="Arial"/>
                <w:sz w:val="16"/>
                <w:szCs w:val="16"/>
              </w:rPr>
              <w:t>supplementally a copy of any omitted schedule or exhibit to the U.S. Securities and Exchange Commission upon request.</w:t>
            </w:r>
          </w:p>
        </w:tc>
      </w:tr>
    </w:tbl>
    <w:p w14:paraId="0BC9B346" w14:textId="77777777" w:rsidR="009F0928" w:rsidRDefault="009F0928">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5132"/>
      </w:tblGrid>
      <w:tr w:rsidR="009F0928" w14:paraId="0BC9B349" w14:textId="77777777">
        <w:trPr>
          <w:tblCellSpacing w:w="0" w:type="dxa"/>
        </w:trPr>
        <w:tc>
          <w:tcPr>
            <w:tcW w:w="600" w:type="dxa"/>
            <w:shd w:val="clear" w:color="auto" w:fill="auto"/>
            <w:vAlign w:val="center"/>
          </w:tcPr>
          <w:p w14:paraId="0BC9B347" w14:textId="77777777" w:rsidR="009F0928" w:rsidRDefault="009F0928">
            <w:pPr>
              <w:rPr>
                <w:rFonts w:ascii="Times New Roman" w:hAnsi="Times New Roman"/>
                <w:sz w:val="20"/>
                <w:szCs w:val="20"/>
              </w:rPr>
            </w:pPr>
          </w:p>
        </w:tc>
        <w:tc>
          <w:tcPr>
            <w:tcW w:w="0" w:type="auto"/>
            <w:shd w:val="clear" w:color="auto" w:fill="auto"/>
            <w:vAlign w:val="center"/>
          </w:tcPr>
          <w:p w14:paraId="0BC9B348" w14:textId="77777777" w:rsidR="009F0928" w:rsidRDefault="009F0928">
            <w:pPr>
              <w:rPr>
                <w:rFonts w:ascii="Times New Roman" w:hAnsi="Times New Roman"/>
                <w:sz w:val="20"/>
                <w:szCs w:val="20"/>
              </w:rPr>
            </w:pPr>
          </w:p>
        </w:tc>
      </w:tr>
      <w:tr w:rsidR="009F0928" w14:paraId="0BC9B34C" w14:textId="77777777">
        <w:trPr>
          <w:tblCellSpacing w:w="0" w:type="dxa"/>
        </w:trPr>
        <w:tc>
          <w:tcPr>
            <w:tcW w:w="0" w:type="auto"/>
            <w:shd w:val="clear" w:color="auto" w:fill="auto"/>
          </w:tcPr>
          <w:p w14:paraId="0BC9B34A" w14:textId="77777777" w:rsidR="009F0928" w:rsidRDefault="002112BD">
            <w:pPr>
              <w:spacing w:line="288" w:lineRule="auto"/>
              <w:textAlignment w:val="top"/>
              <w:rPr>
                <w:rFonts w:ascii="Times New Roman" w:hAnsi="Times New Roman"/>
                <w:sz w:val="16"/>
                <w:szCs w:val="16"/>
              </w:rPr>
            </w:pPr>
            <w:r>
              <w:rPr>
                <w:rFonts w:ascii="Arial" w:eastAsia="宋体" w:hAnsi="Arial" w:cs="Arial"/>
                <w:sz w:val="16"/>
                <w:szCs w:val="16"/>
              </w:rPr>
              <w:t>+</w:t>
            </w:r>
          </w:p>
        </w:tc>
        <w:tc>
          <w:tcPr>
            <w:tcW w:w="0" w:type="auto"/>
            <w:shd w:val="clear" w:color="auto" w:fill="auto"/>
          </w:tcPr>
          <w:p w14:paraId="0BC9B34B" w14:textId="77777777" w:rsidR="009F0928" w:rsidRDefault="002112BD">
            <w:pPr>
              <w:spacing w:line="288" w:lineRule="auto"/>
              <w:jc w:val="both"/>
              <w:textAlignment w:val="top"/>
              <w:rPr>
                <w:rFonts w:ascii="Times New Roman" w:hAnsi="Times New Roman"/>
                <w:sz w:val="16"/>
                <w:szCs w:val="16"/>
              </w:rPr>
            </w:pPr>
            <w:r>
              <w:rPr>
                <w:rFonts w:ascii="Arial" w:eastAsia="宋体" w:hAnsi="Arial" w:cs="Arial"/>
                <w:sz w:val="16"/>
                <w:szCs w:val="16"/>
              </w:rPr>
              <w:t>Indicates a management contract or compensatory plan or arrangement.</w:t>
            </w:r>
          </w:p>
        </w:tc>
      </w:tr>
    </w:tbl>
    <w:p w14:paraId="0BC9B34D" w14:textId="77777777" w:rsidR="009F0928" w:rsidRDefault="009F0928">
      <w:pPr>
        <w:spacing w:line="288" w:lineRule="auto"/>
        <w:ind w:hanging="600"/>
        <w:jc w:val="both"/>
        <w:rPr>
          <w:rFonts w:ascii="Times New Roman" w:hAnsi="Times New Roman"/>
          <w:sz w:val="16"/>
          <w:szCs w:val="16"/>
        </w:rPr>
      </w:pPr>
    </w:p>
    <w:p w14:paraId="0BC9B34E" w14:textId="77777777" w:rsidR="009F0928" w:rsidRDefault="009F0928">
      <w:pPr>
        <w:rPr>
          <w:rFonts w:ascii="Times New Roman" w:hAnsi="Times New Roman"/>
          <w:sz w:val="20"/>
          <w:szCs w:val="20"/>
        </w:rPr>
      </w:pPr>
    </w:p>
    <w:p w14:paraId="0BC9B34F"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F-50</w:t>
      </w:r>
    </w:p>
    <w:p w14:paraId="0BC9B350" w14:textId="77777777" w:rsidR="009F0928" w:rsidRDefault="002112BD">
      <w:r>
        <w:rPr>
          <w:rFonts w:ascii="Times New Roman" w:hAnsi="Times New Roman"/>
          <w:sz w:val="18"/>
          <w:szCs w:val="18"/>
        </w:rPr>
        <w:pict w14:anchorId="0BC9B52C">
          <v:rect id="_x0000_i1136" style="width:415.3pt;height:1.5pt" o:hralign="center" o:hrstd="t" o:hr="t" fillcolor="#a0a0a0" stroked="f"/>
        </w:pict>
      </w:r>
    </w:p>
    <w:p w14:paraId="0BC9B351" w14:textId="77777777" w:rsidR="009F0928" w:rsidRDefault="009F0928">
      <w:pPr>
        <w:spacing w:line="288" w:lineRule="auto"/>
        <w:rPr>
          <w:rFonts w:ascii="Times New Roman" w:hAnsi="Times New Roman"/>
          <w:sz w:val="20"/>
          <w:szCs w:val="20"/>
        </w:rPr>
      </w:pPr>
    </w:p>
    <w:p w14:paraId="0BC9B352" w14:textId="77777777" w:rsidR="009F0928" w:rsidRDefault="009F0928">
      <w:pPr>
        <w:rPr>
          <w:rFonts w:ascii="Times New Roman" w:hAnsi="Times New Roman"/>
          <w:sz w:val="20"/>
          <w:szCs w:val="20"/>
        </w:rPr>
      </w:pPr>
    </w:p>
    <w:p w14:paraId="0BC9B353" w14:textId="77777777" w:rsidR="009F0928" w:rsidRDefault="002112BD">
      <w:pPr>
        <w:spacing w:line="288" w:lineRule="auto"/>
        <w:jc w:val="both"/>
        <w:rPr>
          <w:rFonts w:ascii="Times New Roman" w:hAnsi="Times New Roman"/>
          <w:sz w:val="18"/>
          <w:szCs w:val="18"/>
        </w:rPr>
      </w:pPr>
      <w:r>
        <w:rPr>
          <w:rFonts w:ascii="Arial" w:eastAsia="宋体" w:hAnsi="Arial" w:cs="Arial"/>
          <w:b/>
          <w:bCs/>
          <w:sz w:val="18"/>
          <w:szCs w:val="18"/>
        </w:rPr>
        <w:t xml:space="preserve">SIGNATURES </w:t>
      </w:r>
    </w:p>
    <w:p w14:paraId="0BC9B354" w14:textId="77777777" w:rsidR="009F0928" w:rsidRDefault="002112BD">
      <w:pPr>
        <w:spacing w:line="288" w:lineRule="auto"/>
        <w:ind w:firstLine="720"/>
        <w:jc w:val="both"/>
        <w:rPr>
          <w:rFonts w:ascii="Times New Roman" w:hAnsi="Times New Roman"/>
          <w:sz w:val="18"/>
          <w:szCs w:val="18"/>
        </w:rPr>
      </w:pPr>
      <w:r>
        <w:rPr>
          <w:rFonts w:ascii="Arial" w:eastAsia="宋体" w:hAnsi="Arial" w:cs="Arial"/>
          <w:sz w:val="18"/>
          <w:szCs w:val="18"/>
        </w:rPr>
        <w:t xml:space="preserve">Pursuant to the requirements of Section 13 or 15(d) of the Securities Exchange Act of 1934, as amended, the Registrant has duly caused this report to be signed on its behalf by the undersigned, thereunto duly authorized on January 31, 2020. </w:t>
      </w:r>
    </w:p>
    <w:tbl>
      <w:tblPr>
        <w:tblW w:w="5000" w:type="pct"/>
        <w:tblCellMar>
          <w:left w:w="0" w:type="dxa"/>
          <w:right w:w="0" w:type="dxa"/>
        </w:tblCellMar>
        <w:tblLook w:val="04A0" w:firstRow="1" w:lastRow="0" w:firstColumn="1" w:lastColumn="0" w:noHBand="0" w:noVBand="1"/>
      </w:tblPr>
      <w:tblGrid>
        <w:gridCol w:w="2990"/>
        <w:gridCol w:w="415"/>
        <w:gridCol w:w="4901"/>
      </w:tblGrid>
      <w:tr w:rsidR="009F0928" w14:paraId="0BC9B356" w14:textId="77777777">
        <w:tc>
          <w:tcPr>
            <w:tcW w:w="0" w:type="auto"/>
            <w:gridSpan w:val="3"/>
            <w:shd w:val="clear" w:color="auto" w:fill="auto"/>
            <w:vAlign w:val="center"/>
          </w:tcPr>
          <w:p w14:paraId="0BC9B355" w14:textId="77777777" w:rsidR="009F0928" w:rsidRDefault="009F0928">
            <w:pPr>
              <w:rPr>
                <w:rFonts w:ascii="Times New Roman" w:hAnsi="Times New Roman"/>
                <w:sz w:val="20"/>
                <w:szCs w:val="20"/>
              </w:rPr>
            </w:pPr>
          </w:p>
        </w:tc>
      </w:tr>
      <w:tr w:rsidR="009F0928" w14:paraId="0BC9B35A" w14:textId="77777777">
        <w:tc>
          <w:tcPr>
            <w:tcW w:w="1800" w:type="pct"/>
            <w:shd w:val="clear" w:color="auto" w:fill="auto"/>
            <w:vAlign w:val="center"/>
          </w:tcPr>
          <w:p w14:paraId="0BC9B357" w14:textId="77777777" w:rsidR="009F0928" w:rsidRDefault="009F0928">
            <w:pPr>
              <w:rPr>
                <w:rFonts w:ascii="Times New Roman" w:hAnsi="Times New Roman"/>
                <w:sz w:val="20"/>
                <w:szCs w:val="20"/>
              </w:rPr>
            </w:pPr>
          </w:p>
        </w:tc>
        <w:tc>
          <w:tcPr>
            <w:tcW w:w="250" w:type="pct"/>
            <w:shd w:val="clear" w:color="auto" w:fill="auto"/>
            <w:vAlign w:val="center"/>
          </w:tcPr>
          <w:p w14:paraId="0BC9B358" w14:textId="77777777" w:rsidR="009F0928" w:rsidRDefault="009F0928">
            <w:pPr>
              <w:rPr>
                <w:rFonts w:ascii="Times New Roman" w:hAnsi="Times New Roman"/>
                <w:sz w:val="20"/>
                <w:szCs w:val="20"/>
              </w:rPr>
            </w:pPr>
          </w:p>
        </w:tc>
        <w:tc>
          <w:tcPr>
            <w:tcW w:w="2950" w:type="pct"/>
            <w:shd w:val="clear" w:color="auto" w:fill="auto"/>
            <w:vAlign w:val="center"/>
          </w:tcPr>
          <w:p w14:paraId="0BC9B359" w14:textId="77777777" w:rsidR="009F0928" w:rsidRDefault="009F0928">
            <w:pPr>
              <w:rPr>
                <w:rFonts w:ascii="Times New Roman" w:hAnsi="Times New Roman"/>
                <w:sz w:val="20"/>
                <w:szCs w:val="20"/>
              </w:rPr>
            </w:pPr>
          </w:p>
        </w:tc>
      </w:tr>
      <w:tr w:rsidR="009F0928" w14:paraId="0BC9B35D" w14:textId="77777777">
        <w:tc>
          <w:tcPr>
            <w:tcW w:w="0" w:type="auto"/>
            <w:shd w:val="clear" w:color="auto" w:fill="auto"/>
            <w:tcMar>
              <w:top w:w="40" w:type="dxa"/>
              <w:left w:w="40" w:type="dxa"/>
              <w:bottom w:w="40" w:type="dxa"/>
              <w:right w:w="40" w:type="dxa"/>
            </w:tcMar>
            <w:vAlign w:val="bottom"/>
          </w:tcPr>
          <w:p w14:paraId="0BC9B35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35C"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eBay I</w:t>
            </w:r>
            <w:r>
              <w:rPr>
                <w:rFonts w:ascii="Arial" w:eastAsia="宋体" w:hAnsi="Arial" w:cs="Arial"/>
                <w:b/>
                <w:bCs/>
                <w:sz w:val="18"/>
                <w:szCs w:val="18"/>
              </w:rPr>
              <w:t>nc.</w:t>
            </w:r>
          </w:p>
        </w:tc>
      </w:tr>
      <w:tr w:rsidR="009F0928" w14:paraId="0BC9B361" w14:textId="77777777">
        <w:tc>
          <w:tcPr>
            <w:tcW w:w="0" w:type="auto"/>
            <w:shd w:val="clear" w:color="auto" w:fill="auto"/>
            <w:tcMar>
              <w:top w:w="40" w:type="dxa"/>
              <w:left w:w="40" w:type="dxa"/>
              <w:bottom w:w="40" w:type="dxa"/>
              <w:right w:w="40" w:type="dxa"/>
            </w:tcMar>
            <w:vAlign w:val="bottom"/>
          </w:tcPr>
          <w:p w14:paraId="0BC9B35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5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6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365" w14:textId="77777777">
        <w:tc>
          <w:tcPr>
            <w:tcW w:w="0" w:type="auto"/>
            <w:shd w:val="clear" w:color="auto" w:fill="auto"/>
            <w:tcMar>
              <w:top w:w="40" w:type="dxa"/>
              <w:left w:w="40" w:type="dxa"/>
              <w:bottom w:w="40" w:type="dxa"/>
              <w:right w:w="40" w:type="dxa"/>
            </w:tcMar>
            <w:vAlign w:val="bottom"/>
          </w:tcPr>
          <w:p w14:paraId="0BC9B36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63" w14:textId="77777777" w:rsidR="009F0928" w:rsidRDefault="002112BD">
            <w:pPr>
              <w:textAlignment w:val="bottom"/>
              <w:rPr>
                <w:rFonts w:ascii="Times New Roman" w:hAnsi="Times New Roman"/>
                <w:sz w:val="18"/>
                <w:szCs w:val="18"/>
              </w:rPr>
            </w:pPr>
            <w:r>
              <w:rPr>
                <w:rFonts w:ascii="Arial" w:eastAsia="宋体" w:hAnsi="Arial" w:cs="Arial"/>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364" w14:textId="77777777" w:rsidR="009F0928" w:rsidRDefault="002112BD">
            <w:pPr>
              <w:textAlignment w:val="bottom"/>
              <w:rPr>
                <w:rFonts w:ascii="Times New Roman" w:hAnsi="Times New Roman"/>
                <w:sz w:val="18"/>
                <w:szCs w:val="18"/>
              </w:rPr>
            </w:pPr>
            <w:r>
              <w:rPr>
                <w:rFonts w:ascii="Arial" w:eastAsia="宋体" w:hAnsi="Arial" w:cs="Arial"/>
                <w:sz w:val="18"/>
                <w:szCs w:val="18"/>
              </w:rPr>
              <w:t>/s/ Scott F. Schenkel</w:t>
            </w:r>
          </w:p>
        </w:tc>
      </w:tr>
      <w:tr w:rsidR="009F0928" w14:paraId="0BC9B369" w14:textId="77777777">
        <w:tc>
          <w:tcPr>
            <w:tcW w:w="0" w:type="auto"/>
            <w:shd w:val="clear" w:color="auto" w:fill="auto"/>
            <w:tcMar>
              <w:top w:w="40" w:type="dxa"/>
              <w:left w:w="40" w:type="dxa"/>
              <w:bottom w:w="40" w:type="dxa"/>
              <w:right w:w="40" w:type="dxa"/>
            </w:tcMar>
            <w:vAlign w:val="bottom"/>
          </w:tcPr>
          <w:p w14:paraId="0BC9B36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6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vAlign w:val="bottom"/>
          </w:tcPr>
          <w:p w14:paraId="0BC9B368"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Scott F. Schenkel</w:t>
            </w:r>
          </w:p>
        </w:tc>
      </w:tr>
      <w:tr w:rsidR="009F0928" w14:paraId="0BC9B36D" w14:textId="77777777">
        <w:tc>
          <w:tcPr>
            <w:tcW w:w="0" w:type="auto"/>
            <w:shd w:val="clear" w:color="auto" w:fill="auto"/>
            <w:tcMar>
              <w:top w:w="40" w:type="dxa"/>
              <w:left w:w="40" w:type="dxa"/>
              <w:bottom w:w="40" w:type="dxa"/>
              <w:right w:w="40" w:type="dxa"/>
            </w:tcMar>
            <w:vAlign w:val="bottom"/>
          </w:tcPr>
          <w:p w14:paraId="0BC9B36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6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6C"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Interim Chief Executive Officer</w:t>
            </w:r>
          </w:p>
        </w:tc>
      </w:tr>
    </w:tbl>
    <w:p w14:paraId="0BC9B36E" w14:textId="77777777" w:rsidR="009F0928" w:rsidRDefault="009F0928">
      <w:pPr>
        <w:spacing w:line="288" w:lineRule="auto"/>
        <w:jc w:val="both"/>
        <w:rPr>
          <w:rFonts w:ascii="Times New Roman" w:hAnsi="Times New Roman"/>
          <w:sz w:val="18"/>
          <w:szCs w:val="18"/>
        </w:rPr>
      </w:pPr>
    </w:p>
    <w:p w14:paraId="0BC9B36F" w14:textId="77777777" w:rsidR="009F0928" w:rsidRDefault="002112BD">
      <w:pPr>
        <w:spacing w:line="288" w:lineRule="auto"/>
        <w:jc w:val="both"/>
        <w:rPr>
          <w:rFonts w:ascii="Times New Roman" w:hAnsi="Times New Roman"/>
          <w:sz w:val="18"/>
          <w:szCs w:val="18"/>
        </w:rPr>
      </w:pPr>
      <w:r>
        <w:rPr>
          <w:rFonts w:ascii="Arial" w:eastAsia="宋体" w:hAnsi="Arial" w:cs="Arial"/>
          <w:b/>
          <w:bCs/>
          <w:sz w:val="18"/>
          <w:szCs w:val="18"/>
        </w:rPr>
        <w:t>POWER OF ATTORNEY</w:t>
      </w:r>
    </w:p>
    <w:p w14:paraId="0BC9B370" w14:textId="77777777" w:rsidR="009F0928" w:rsidRDefault="002112BD">
      <w:pPr>
        <w:spacing w:line="288" w:lineRule="auto"/>
        <w:ind w:firstLine="720"/>
        <w:jc w:val="both"/>
        <w:rPr>
          <w:rFonts w:ascii="Times New Roman" w:hAnsi="Times New Roman"/>
          <w:sz w:val="18"/>
          <w:szCs w:val="18"/>
        </w:rPr>
      </w:pPr>
      <w:r>
        <w:rPr>
          <w:rFonts w:ascii="Arial" w:eastAsia="宋体" w:hAnsi="Arial" w:cs="Arial"/>
          <w:sz w:val="18"/>
          <w:szCs w:val="18"/>
        </w:rPr>
        <w:t>KNOW ALL PERSONS BY THESE PRESENTS, that each person whose signature appears below constitutes and appoints Scott F. Schenkel, Andy Cring, Brian J. Doerger and Marie Oh Huber and each or any one of them, each with the power of substitution, his or her atto</w:t>
      </w:r>
      <w:r>
        <w:rPr>
          <w:rFonts w:ascii="Arial" w:eastAsia="宋体" w:hAnsi="Arial" w:cs="Arial"/>
          <w:sz w:val="18"/>
          <w:szCs w:val="18"/>
        </w:rPr>
        <w:t xml:space="preserve">rney-in-fact, to sign any amendments to this report, with exhibits thereto and other documents in connection therewith, with the Securities and Exchange Commission, hereby ratifying and confirming all that each of said attorneys-in-fact, or his substitute </w:t>
      </w:r>
      <w:r>
        <w:rPr>
          <w:rFonts w:ascii="Arial" w:eastAsia="宋体" w:hAnsi="Arial" w:cs="Arial"/>
          <w:sz w:val="18"/>
          <w:szCs w:val="18"/>
        </w:rPr>
        <w:t xml:space="preserve">or substitutes, may do or cause to be done by virtue hereof. </w:t>
      </w:r>
    </w:p>
    <w:p w14:paraId="0BC9B371" w14:textId="77777777" w:rsidR="009F0928" w:rsidRDefault="002112BD">
      <w:pPr>
        <w:spacing w:line="288" w:lineRule="auto"/>
        <w:ind w:firstLine="720"/>
        <w:jc w:val="both"/>
        <w:rPr>
          <w:rFonts w:ascii="Times New Roman" w:hAnsi="Times New Roman"/>
          <w:sz w:val="18"/>
          <w:szCs w:val="18"/>
        </w:rPr>
      </w:pPr>
      <w:r>
        <w:rPr>
          <w:rFonts w:ascii="Arial" w:eastAsia="宋体" w:hAnsi="Arial" w:cs="Arial"/>
          <w:sz w:val="18"/>
          <w:szCs w:val="18"/>
        </w:rPr>
        <w:t>Pursuant to the requirements of the Securities Exchange Act of 1934, as amended, this report has been signed below by the following persons on behalf of the registrant and in the capacities indi</w:t>
      </w:r>
      <w:r>
        <w:rPr>
          <w:rFonts w:ascii="Arial" w:eastAsia="宋体" w:hAnsi="Arial" w:cs="Arial"/>
          <w:sz w:val="18"/>
          <w:szCs w:val="18"/>
        </w:rPr>
        <w:t xml:space="preserve">cated on January 31, 2020. </w:t>
      </w:r>
    </w:p>
    <w:tbl>
      <w:tblPr>
        <w:tblW w:w="5000" w:type="pct"/>
        <w:tblCellMar>
          <w:left w:w="0" w:type="dxa"/>
          <w:right w:w="0" w:type="dxa"/>
        </w:tblCellMar>
        <w:tblLook w:val="04A0" w:firstRow="1" w:lastRow="0" w:firstColumn="1" w:lastColumn="0" w:noHBand="0" w:noVBand="1"/>
      </w:tblPr>
      <w:tblGrid>
        <w:gridCol w:w="341"/>
        <w:gridCol w:w="3719"/>
        <w:gridCol w:w="130"/>
        <w:gridCol w:w="396"/>
        <w:gridCol w:w="3720"/>
      </w:tblGrid>
      <w:tr w:rsidR="009F0928" w14:paraId="0BC9B373" w14:textId="77777777">
        <w:tc>
          <w:tcPr>
            <w:tcW w:w="0" w:type="auto"/>
            <w:gridSpan w:val="5"/>
            <w:shd w:val="clear" w:color="auto" w:fill="auto"/>
            <w:vAlign w:val="center"/>
          </w:tcPr>
          <w:p w14:paraId="0BC9B372" w14:textId="77777777" w:rsidR="009F0928" w:rsidRDefault="009F0928">
            <w:pPr>
              <w:rPr>
                <w:rFonts w:ascii="Times New Roman" w:hAnsi="Times New Roman"/>
                <w:sz w:val="20"/>
                <w:szCs w:val="20"/>
              </w:rPr>
            </w:pPr>
          </w:p>
        </w:tc>
      </w:tr>
      <w:tr w:rsidR="009F0928" w14:paraId="0BC9B379" w14:textId="77777777">
        <w:tc>
          <w:tcPr>
            <w:tcW w:w="200" w:type="pct"/>
            <w:shd w:val="clear" w:color="auto" w:fill="auto"/>
            <w:vAlign w:val="center"/>
          </w:tcPr>
          <w:p w14:paraId="0BC9B374" w14:textId="77777777" w:rsidR="009F0928" w:rsidRDefault="009F0928">
            <w:pPr>
              <w:rPr>
                <w:rFonts w:ascii="Times New Roman" w:hAnsi="Times New Roman"/>
                <w:sz w:val="20"/>
                <w:szCs w:val="20"/>
              </w:rPr>
            </w:pPr>
          </w:p>
        </w:tc>
        <w:tc>
          <w:tcPr>
            <w:tcW w:w="2250" w:type="pct"/>
            <w:shd w:val="clear" w:color="auto" w:fill="auto"/>
            <w:vAlign w:val="center"/>
          </w:tcPr>
          <w:p w14:paraId="0BC9B375" w14:textId="77777777" w:rsidR="009F0928" w:rsidRDefault="009F0928">
            <w:pPr>
              <w:rPr>
                <w:rFonts w:ascii="Times New Roman" w:hAnsi="Times New Roman"/>
                <w:sz w:val="20"/>
                <w:szCs w:val="20"/>
              </w:rPr>
            </w:pPr>
          </w:p>
        </w:tc>
        <w:tc>
          <w:tcPr>
            <w:tcW w:w="50" w:type="pct"/>
            <w:shd w:val="clear" w:color="auto" w:fill="auto"/>
            <w:vAlign w:val="center"/>
          </w:tcPr>
          <w:p w14:paraId="0BC9B376" w14:textId="77777777" w:rsidR="009F0928" w:rsidRDefault="009F0928">
            <w:pPr>
              <w:rPr>
                <w:rFonts w:ascii="Times New Roman" w:hAnsi="Times New Roman"/>
                <w:sz w:val="20"/>
                <w:szCs w:val="20"/>
              </w:rPr>
            </w:pPr>
          </w:p>
        </w:tc>
        <w:tc>
          <w:tcPr>
            <w:tcW w:w="250" w:type="pct"/>
            <w:shd w:val="clear" w:color="auto" w:fill="auto"/>
            <w:vAlign w:val="center"/>
          </w:tcPr>
          <w:p w14:paraId="0BC9B377" w14:textId="77777777" w:rsidR="009F0928" w:rsidRDefault="009F0928">
            <w:pPr>
              <w:rPr>
                <w:rFonts w:ascii="Times New Roman" w:hAnsi="Times New Roman"/>
                <w:sz w:val="20"/>
                <w:szCs w:val="20"/>
              </w:rPr>
            </w:pPr>
          </w:p>
        </w:tc>
        <w:tc>
          <w:tcPr>
            <w:tcW w:w="2250" w:type="pct"/>
            <w:shd w:val="clear" w:color="auto" w:fill="auto"/>
            <w:vAlign w:val="center"/>
          </w:tcPr>
          <w:p w14:paraId="0BC9B378" w14:textId="77777777" w:rsidR="009F0928" w:rsidRDefault="009F0928">
            <w:pPr>
              <w:rPr>
                <w:rFonts w:ascii="Times New Roman" w:hAnsi="Times New Roman"/>
                <w:sz w:val="20"/>
                <w:szCs w:val="20"/>
              </w:rPr>
            </w:pPr>
          </w:p>
        </w:tc>
      </w:tr>
      <w:tr w:rsidR="009F0928" w14:paraId="0BC9B37D" w14:textId="77777777">
        <w:tc>
          <w:tcPr>
            <w:tcW w:w="0" w:type="auto"/>
            <w:gridSpan w:val="2"/>
            <w:shd w:val="clear" w:color="auto" w:fill="auto"/>
            <w:tcMar>
              <w:top w:w="40" w:type="dxa"/>
              <w:left w:w="40" w:type="dxa"/>
              <w:bottom w:w="40" w:type="dxa"/>
              <w:right w:w="40" w:type="dxa"/>
            </w:tcMar>
            <w:vAlign w:val="bottom"/>
          </w:tcPr>
          <w:p w14:paraId="0BC9B37A"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Principal Executive Officer and Director:</w:t>
            </w:r>
          </w:p>
        </w:tc>
        <w:tc>
          <w:tcPr>
            <w:tcW w:w="0" w:type="auto"/>
            <w:shd w:val="clear" w:color="auto" w:fill="auto"/>
            <w:tcMar>
              <w:top w:w="40" w:type="dxa"/>
              <w:left w:w="40" w:type="dxa"/>
              <w:bottom w:w="40" w:type="dxa"/>
              <w:right w:w="40" w:type="dxa"/>
            </w:tcMar>
            <w:vAlign w:val="bottom"/>
          </w:tcPr>
          <w:p w14:paraId="0BC9B37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37C"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Principal Financial Officer:</w:t>
            </w:r>
          </w:p>
        </w:tc>
      </w:tr>
      <w:tr w:rsidR="009F0928" w14:paraId="0BC9B383" w14:textId="77777777">
        <w:tc>
          <w:tcPr>
            <w:tcW w:w="0" w:type="auto"/>
            <w:shd w:val="clear" w:color="auto" w:fill="auto"/>
            <w:tcMar>
              <w:top w:w="40" w:type="dxa"/>
              <w:left w:w="40" w:type="dxa"/>
              <w:bottom w:w="40" w:type="dxa"/>
              <w:right w:w="40" w:type="dxa"/>
            </w:tcMar>
            <w:vAlign w:val="bottom"/>
          </w:tcPr>
          <w:p w14:paraId="0BC9B37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7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8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8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8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389" w14:textId="77777777">
        <w:tc>
          <w:tcPr>
            <w:tcW w:w="0" w:type="auto"/>
            <w:shd w:val="clear" w:color="auto" w:fill="auto"/>
            <w:tcMar>
              <w:top w:w="40" w:type="dxa"/>
              <w:left w:w="40" w:type="dxa"/>
              <w:bottom w:w="40" w:type="dxa"/>
              <w:right w:w="40" w:type="dxa"/>
            </w:tcMar>
            <w:vAlign w:val="bottom"/>
          </w:tcPr>
          <w:p w14:paraId="0BC9B384" w14:textId="77777777" w:rsidR="009F0928" w:rsidRDefault="002112BD">
            <w:pPr>
              <w:textAlignment w:val="bottom"/>
              <w:rPr>
                <w:rFonts w:ascii="Times New Roman" w:hAnsi="Times New Roman"/>
                <w:sz w:val="18"/>
                <w:szCs w:val="18"/>
              </w:rPr>
            </w:pPr>
            <w:r>
              <w:rPr>
                <w:rFonts w:ascii="Arial" w:eastAsia="宋体" w:hAnsi="Arial" w:cs="Arial"/>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385" w14:textId="77777777" w:rsidR="009F0928" w:rsidRDefault="002112BD">
            <w:pPr>
              <w:textAlignment w:val="bottom"/>
              <w:rPr>
                <w:rFonts w:ascii="Times New Roman" w:hAnsi="Times New Roman"/>
                <w:sz w:val="18"/>
                <w:szCs w:val="18"/>
              </w:rPr>
            </w:pPr>
            <w:r>
              <w:rPr>
                <w:rFonts w:ascii="Arial" w:eastAsia="宋体" w:hAnsi="Arial" w:cs="Arial"/>
                <w:sz w:val="18"/>
                <w:szCs w:val="18"/>
              </w:rPr>
              <w:t>/s/ Scott F. Schenkel</w:t>
            </w:r>
          </w:p>
        </w:tc>
        <w:tc>
          <w:tcPr>
            <w:tcW w:w="0" w:type="auto"/>
            <w:shd w:val="clear" w:color="auto" w:fill="auto"/>
            <w:tcMar>
              <w:top w:w="40" w:type="dxa"/>
              <w:left w:w="40" w:type="dxa"/>
              <w:bottom w:w="40" w:type="dxa"/>
              <w:right w:w="40" w:type="dxa"/>
            </w:tcMar>
            <w:vAlign w:val="bottom"/>
          </w:tcPr>
          <w:p w14:paraId="0BC9B38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87" w14:textId="77777777" w:rsidR="009F0928" w:rsidRDefault="002112BD">
            <w:pPr>
              <w:textAlignment w:val="bottom"/>
              <w:rPr>
                <w:rFonts w:ascii="Times New Roman" w:hAnsi="Times New Roman"/>
                <w:sz w:val="18"/>
                <w:szCs w:val="18"/>
              </w:rPr>
            </w:pPr>
            <w:r>
              <w:rPr>
                <w:rFonts w:ascii="Arial" w:eastAsia="宋体" w:hAnsi="Arial" w:cs="Arial"/>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388" w14:textId="77777777" w:rsidR="009F0928" w:rsidRDefault="002112BD">
            <w:pPr>
              <w:textAlignment w:val="bottom"/>
              <w:rPr>
                <w:rFonts w:ascii="Times New Roman" w:hAnsi="Times New Roman"/>
                <w:sz w:val="18"/>
                <w:szCs w:val="18"/>
              </w:rPr>
            </w:pPr>
            <w:r>
              <w:rPr>
                <w:rFonts w:ascii="Arial" w:eastAsia="宋体" w:hAnsi="Arial" w:cs="Arial"/>
                <w:sz w:val="18"/>
                <w:szCs w:val="18"/>
              </w:rPr>
              <w:t>/s/ Andy Cring</w:t>
            </w:r>
          </w:p>
        </w:tc>
      </w:tr>
      <w:tr w:rsidR="009F0928" w14:paraId="0BC9B38F" w14:textId="77777777">
        <w:tc>
          <w:tcPr>
            <w:tcW w:w="0" w:type="auto"/>
            <w:shd w:val="clear" w:color="auto" w:fill="auto"/>
            <w:tcMar>
              <w:top w:w="40" w:type="dxa"/>
              <w:left w:w="40" w:type="dxa"/>
              <w:bottom w:w="40" w:type="dxa"/>
              <w:right w:w="40" w:type="dxa"/>
            </w:tcMar>
            <w:vAlign w:val="bottom"/>
          </w:tcPr>
          <w:p w14:paraId="0BC9B38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vAlign w:val="bottom"/>
          </w:tcPr>
          <w:p w14:paraId="0BC9B38B"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Scott F. Schenkel</w:t>
            </w:r>
          </w:p>
        </w:tc>
        <w:tc>
          <w:tcPr>
            <w:tcW w:w="0" w:type="auto"/>
            <w:shd w:val="clear" w:color="auto" w:fill="auto"/>
            <w:tcMar>
              <w:top w:w="40" w:type="dxa"/>
              <w:left w:w="40" w:type="dxa"/>
              <w:bottom w:w="40" w:type="dxa"/>
              <w:right w:w="40" w:type="dxa"/>
            </w:tcMar>
            <w:vAlign w:val="bottom"/>
          </w:tcPr>
          <w:p w14:paraId="0BC9B38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8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8E"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Andy Cring</w:t>
            </w:r>
          </w:p>
        </w:tc>
      </w:tr>
      <w:tr w:rsidR="009F0928" w14:paraId="0BC9B395" w14:textId="77777777">
        <w:tc>
          <w:tcPr>
            <w:tcW w:w="0" w:type="auto"/>
            <w:shd w:val="clear" w:color="auto" w:fill="auto"/>
            <w:tcMar>
              <w:top w:w="40" w:type="dxa"/>
              <w:left w:w="40" w:type="dxa"/>
              <w:bottom w:w="40" w:type="dxa"/>
              <w:right w:w="40" w:type="dxa"/>
            </w:tcMar>
            <w:vAlign w:val="bottom"/>
          </w:tcPr>
          <w:p w14:paraId="0BC9B39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91"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Interim Chief Executive Officer</w:t>
            </w:r>
          </w:p>
        </w:tc>
        <w:tc>
          <w:tcPr>
            <w:tcW w:w="0" w:type="auto"/>
            <w:shd w:val="clear" w:color="auto" w:fill="auto"/>
            <w:tcMar>
              <w:top w:w="40" w:type="dxa"/>
              <w:left w:w="40" w:type="dxa"/>
              <w:bottom w:w="40" w:type="dxa"/>
              <w:right w:w="40" w:type="dxa"/>
            </w:tcMar>
            <w:vAlign w:val="bottom"/>
          </w:tcPr>
          <w:p w14:paraId="0BC9B39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9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94"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Interim Chief Financial Officer</w:t>
            </w:r>
          </w:p>
        </w:tc>
      </w:tr>
      <w:tr w:rsidR="009F0928" w14:paraId="0BC9B39B" w14:textId="77777777">
        <w:tc>
          <w:tcPr>
            <w:tcW w:w="0" w:type="auto"/>
            <w:shd w:val="clear" w:color="auto" w:fill="auto"/>
            <w:tcMar>
              <w:top w:w="40" w:type="dxa"/>
              <w:left w:w="40" w:type="dxa"/>
              <w:bottom w:w="40" w:type="dxa"/>
              <w:right w:w="40" w:type="dxa"/>
            </w:tcMar>
            <w:vAlign w:val="bottom"/>
          </w:tcPr>
          <w:p w14:paraId="0BC9B39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9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9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9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9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3A0" w14:textId="77777777">
        <w:tc>
          <w:tcPr>
            <w:tcW w:w="0" w:type="auto"/>
            <w:shd w:val="clear" w:color="auto" w:fill="auto"/>
            <w:tcMar>
              <w:top w:w="40" w:type="dxa"/>
              <w:left w:w="40" w:type="dxa"/>
              <w:bottom w:w="40" w:type="dxa"/>
              <w:right w:w="40" w:type="dxa"/>
            </w:tcMar>
            <w:vAlign w:val="bottom"/>
          </w:tcPr>
          <w:p w14:paraId="0BC9B39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9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9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0BC9B39F" w14:textId="77777777" w:rsidR="009F0928" w:rsidRDefault="002112BD">
            <w:pPr>
              <w:textAlignment w:val="bottom"/>
              <w:rPr>
                <w:rFonts w:ascii="Times New Roman" w:hAnsi="Times New Roman"/>
                <w:sz w:val="18"/>
                <w:szCs w:val="18"/>
              </w:rPr>
            </w:pPr>
            <w:r>
              <w:rPr>
                <w:rFonts w:ascii="Arial" w:eastAsia="宋体" w:hAnsi="Arial" w:cs="Arial"/>
                <w:b/>
                <w:bCs/>
                <w:sz w:val="18"/>
                <w:szCs w:val="18"/>
              </w:rPr>
              <w:t>Principal Accounting Officer:</w:t>
            </w:r>
          </w:p>
        </w:tc>
      </w:tr>
      <w:tr w:rsidR="009F0928" w14:paraId="0BC9B3A6" w14:textId="77777777">
        <w:tc>
          <w:tcPr>
            <w:tcW w:w="0" w:type="auto"/>
            <w:shd w:val="clear" w:color="auto" w:fill="auto"/>
            <w:tcMar>
              <w:top w:w="40" w:type="dxa"/>
              <w:left w:w="40" w:type="dxa"/>
              <w:bottom w:w="40" w:type="dxa"/>
              <w:right w:w="40" w:type="dxa"/>
            </w:tcMar>
            <w:vAlign w:val="bottom"/>
          </w:tcPr>
          <w:p w14:paraId="0BC9B3A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A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A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A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A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3AC" w14:textId="77777777">
        <w:tc>
          <w:tcPr>
            <w:tcW w:w="0" w:type="auto"/>
            <w:shd w:val="clear" w:color="auto" w:fill="auto"/>
            <w:tcMar>
              <w:top w:w="40" w:type="dxa"/>
              <w:left w:w="40" w:type="dxa"/>
              <w:bottom w:w="40" w:type="dxa"/>
              <w:right w:w="40" w:type="dxa"/>
            </w:tcMar>
            <w:vAlign w:val="bottom"/>
          </w:tcPr>
          <w:p w14:paraId="0BC9B3A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A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A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AA" w14:textId="77777777" w:rsidR="009F0928" w:rsidRDefault="002112BD">
            <w:pPr>
              <w:textAlignment w:val="bottom"/>
              <w:rPr>
                <w:rFonts w:ascii="Times New Roman" w:hAnsi="Times New Roman"/>
                <w:sz w:val="18"/>
                <w:szCs w:val="18"/>
              </w:rPr>
            </w:pPr>
            <w:r>
              <w:rPr>
                <w:rFonts w:ascii="Arial" w:eastAsia="宋体" w:hAnsi="Arial" w:cs="Arial"/>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3AB" w14:textId="77777777" w:rsidR="009F0928" w:rsidRDefault="002112BD">
            <w:pPr>
              <w:textAlignment w:val="bottom"/>
              <w:rPr>
                <w:rFonts w:ascii="Times New Roman" w:hAnsi="Times New Roman"/>
                <w:sz w:val="18"/>
                <w:szCs w:val="18"/>
              </w:rPr>
            </w:pPr>
            <w:r>
              <w:rPr>
                <w:rFonts w:ascii="Arial" w:eastAsia="宋体" w:hAnsi="Arial" w:cs="Arial"/>
                <w:sz w:val="18"/>
                <w:szCs w:val="18"/>
              </w:rPr>
              <w:t>/s/ Brian J. Doerger</w:t>
            </w:r>
          </w:p>
        </w:tc>
      </w:tr>
      <w:tr w:rsidR="009F0928" w14:paraId="0BC9B3B2" w14:textId="77777777">
        <w:tc>
          <w:tcPr>
            <w:tcW w:w="0" w:type="auto"/>
            <w:shd w:val="clear" w:color="auto" w:fill="auto"/>
            <w:tcMar>
              <w:top w:w="40" w:type="dxa"/>
              <w:left w:w="40" w:type="dxa"/>
              <w:bottom w:w="40" w:type="dxa"/>
              <w:right w:w="40" w:type="dxa"/>
            </w:tcMar>
            <w:vAlign w:val="bottom"/>
          </w:tcPr>
          <w:p w14:paraId="0BC9B3A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A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A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B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B1"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Brian J. Doerger</w:t>
            </w:r>
          </w:p>
        </w:tc>
      </w:tr>
      <w:tr w:rsidR="009F0928" w14:paraId="0BC9B3B8" w14:textId="77777777">
        <w:tc>
          <w:tcPr>
            <w:tcW w:w="0" w:type="auto"/>
            <w:shd w:val="clear" w:color="auto" w:fill="auto"/>
            <w:tcMar>
              <w:top w:w="40" w:type="dxa"/>
              <w:left w:w="40" w:type="dxa"/>
              <w:bottom w:w="40" w:type="dxa"/>
              <w:right w:w="40" w:type="dxa"/>
            </w:tcMar>
            <w:vAlign w:val="bottom"/>
          </w:tcPr>
          <w:p w14:paraId="0BC9B3B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B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B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B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B7"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Vice President, Chief Accounting Officer</w:t>
            </w:r>
          </w:p>
        </w:tc>
      </w:tr>
    </w:tbl>
    <w:p w14:paraId="0BC9B3B9" w14:textId="77777777" w:rsidR="009F0928" w:rsidRDefault="009F0928">
      <w:pPr>
        <w:spacing w:line="288" w:lineRule="auto"/>
        <w:jc w:val="both"/>
        <w:rPr>
          <w:rFonts w:ascii="Times New Roman" w:hAnsi="Times New Roman"/>
          <w:sz w:val="18"/>
          <w:szCs w:val="18"/>
        </w:rPr>
      </w:pPr>
    </w:p>
    <w:p w14:paraId="0BC9B3BA" w14:textId="77777777" w:rsidR="009F0928" w:rsidRDefault="009F0928">
      <w:pPr>
        <w:rPr>
          <w:rFonts w:ascii="Times New Roman" w:hAnsi="Times New Roman"/>
          <w:sz w:val="20"/>
          <w:szCs w:val="20"/>
        </w:rPr>
      </w:pPr>
    </w:p>
    <w:p w14:paraId="0BC9B3BB"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F-51</w:t>
      </w:r>
    </w:p>
    <w:p w14:paraId="0BC9B3BC" w14:textId="77777777" w:rsidR="009F0928" w:rsidRDefault="002112BD">
      <w:r>
        <w:rPr>
          <w:rFonts w:ascii="Times New Roman" w:hAnsi="Times New Roman"/>
          <w:sz w:val="18"/>
          <w:szCs w:val="18"/>
        </w:rPr>
        <w:pict w14:anchorId="0BC9B52D">
          <v:rect id="_x0000_i1137" style="width:415.3pt;height:1.5pt" o:hralign="center" o:hrstd="t" o:hr="t" fillcolor="#a0a0a0" stroked="f"/>
        </w:pict>
      </w:r>
    </w:p>
    <w:p w14:paraId="0BC9B3BD" w14:textId="77777777" w:rsidR="009F0928" w:rsidRDefault="009F0928">
      <w:pPr>
        <w:spacing w:line="288" w:lineRule="auto"/>
        <w:rPr>
          <w:rFonts w:ascii="Times New Roman" w:hAnsi="Times New Roman"/>
          <w:sz w:val="20"/>
          <w:szCs w:val="20"/>
        </w:rPr>
      </w:pPr>
    </w:p>
    <w:p w14:paraId="0BC9B3BE" w14:textId="77777777" w:rsidR="009F0928" w:rsidRDefault="009F0928">
      <w:pPr>
        <w:rPr>
          <w:rFonts w:ascii="Times New Roman" w:hAnsi="Times New Roman"/>
          <w:sz w:val="20"/>
          <w:szCs w:val="20"/>
        </w:rPr>
      </w:pPr>
    </w:p>
    <w:p w14:paraId="0BC9B3BF" w14:textId="77777777" w:rsidR="009F0928" w:rsidRDefault="002112BD">
      <w:pPr>
        <w:spacing w:line="288" w:lineRule="auto"/>
        <w:jc w:val="both"/>
        <w:rPr>
          <w:rFonts w:ascii="Times New Roman" w:hAnsi="Times New Roman"/>
          <w:sz w:val="18"/>
          <w:szCs w:val="18"/>
        </w:rPr>
      </w:pPr>
      <w:r>
        <w:rPr>
          <w:rFonts w:ascii="Arial" w:eastAsia="宋体" w:hAnsi="Arial" w:cs="Arial"/>
          <w:b/>
          <w:bCs/>
          <w:sz w:val="18"/>
          <w:szCs w:val="18"/>
        </w:rPr>
        <w:t>Additional Directors</w:t>
      </w:r>
    </w:p>
    <w:tbl>
      <w:tblPr>
        <w:tblW w:w="5000" w:type="pct"/>
        <w:tblCellMar>
          <w:left w:w="0" w:type="dxa"/>
          <w:right w:w="0" w:type="dxa"/>
        </w:tblCellMar>
        <w:tblLook w:val="04A0" w:firstRow="1" w:lastRow="0" w:firstColumn="1" w:lastColumn="0" w:noHBand="0" w:noVBand="1"/>
      </w:tblPr>
      <w:tblGrid>
        <w:gridCol w:w="416"/>
        <w:gridCol w:w="3322"/>
        <w:gridCol w:w="831"/>
        <w:gridCol w:w="415"/>
        <w:gridCol w:w="3322"/>
      </w:tblGrid>
      <w:tr w:rsidR="009F0928" w14:paraId="0BC9B3C1" w14:textId="77777777">
        <w:tc>
          <w:tcPr>
            <w:tcW w:w="0" w:type="auto"/>
            <w:gridSpan w:val="5"/>
            <w:shd w:val="clear" w:color="auto" w:fill="auto"/>
            <w:vAlign w:val="center"/>
          </w:tcPr>
          <w:p w14:paraId="0BC9B3C0" w14:textId="77777777" w:rsidR="009F0928" w:rsidRDefault="009F0928">
            <w:pPr>
              <w:rPr>
                <w:rFonts w:ascii="Times New Roman" w:hAnsi="Times New Roman"/>
                <w:sz w:val="20"/>
                <w:szCs w:val="20"/>
              </w:rPr>
            </w:pPr>
          </w:p>
        </w:tc>
      </w:tr>
      <w:tr w:rsidR="009F0928" w14:paraId="0BC9B3C7" w14:textId="77777777">
        <w:tc>
          <w:tcPr>
            <w:tcW w:w="250" w:type="pct"/>
            <w:shd w:val="clear" w:color="auto" w:fill="auto"/>
            <w:vAlign w:val="center"/>
          </w:tcPr>
          <w:p w14:paraId="0BC9B3C2" w14:textId="77777777" w:rsidR="009F0928" w:rsidRDefault="009F0928">
            <w:pPr>
              <w:rPr>
                <w:rFonts w:ascii="Times New Roman" w:hAnsi="Times New Roman"/>
                <w:sz w:val="20"/>
                <w:szCs w:val="20"/>
              </w:rPr>
            </w:pPr>
          </w:p>
        </w:tc>
        <w:tc>
          <w:tcPr>
            <w:tcW w:w="2000" w:type="pct"/>
            <w:shd w:val="clear" w:color="auto" w:fill="auto"/>
            <w:vAlign w:val="center"/>
          </w:tcPr>
          <w:p w14:paraId="0BC9B3C3" w14:textId="77777777" w:rsidR="009F0928" w:rsidRDefault="009F0928">
            <w:pPr>
              <w:rPr>
                <w:rFonts w:ascii="Times New Roman" w:hAnsi="Times New Roman"/>
                <w:sz w:val="20"/>
                <w:szCs w:val="20"/>
              </w:rPr>
            </w:pPr>
          </w:p>
        </w:tc>
        <w:tc>
          <w:tcPr>
            <w:tcW w:w="500" w:type="pct"/>
            <w:shd w:val="clear" w:color="auto" w:fill="auto"/>
            <w:vAlign w:val="center"/>
          </w:tcPr>
          <w:p w14:paraId="0BC9B3C4" w14:textId="77777777" w:rsidR="009F0928" w:rsidRDefault="009F0928">
            <w:pPr>
              <w:rPr>
                <w:rFonts w:ascii="Times New Roman" w:hAnsi="Times New Roman"/>
                <w:sz w:val="20"/>
                <w:szCs w:val="20"/>
              </w:rPr>
            </w:pPr>
          </w:p>
        </w:tc>
        <w:tc>
          <w:tcPr>
            <w:tcW w:w="250" w:type="pct"/>
            <w:shd w:val="clear" w:color="auto" w:fill="auto"/>
            <w:vAlign w:val="center"/>
          </w:tcPr>
          <w:p w14:paraId="0BC9B3C5" w14:textId="77777777" w:rsidR="009F0928" w:rsidRDefault="009F0928">
            <w:pPr>
              <w:rPr>
                <w:rFonts w:ascii="Times New Roman" w:hAnsi="Times New Roman"/>
                <w:sz w:val="20"/>
                <w:szCs w:val="20"/>
              </w:rPr>
            </w:pPr>
          </w:p>
        </w:tc>
        <w:tc>
          <w:tcPr>
            <w:tcW w:w="2000" w:type="pct"/>
            <w:shd w:val="clear" w:color="auto" w:fill="auto"/>
            <w:vAlign w:val="center"/>
          </w:tcPr>
          <w:p w14:paraId="0BC9B3C6" w14:textId="77777777" w:rsidR="009F0928" w:rsidRDefault="009F0928">
            <w:pPr>
              <w:rPr>
                <w:rFonts w:ascii="Times New Roman" w:hAnsi="Times New Roman"/>
                <w:sz w:val="20"/>
                <w:szCs w:val="20"/>
              </w:rPr>
            </w:pPr>
          </w:p>
        </w:tc>
      </w:tr>
      <w:tr w:rsidR="009F0928" w14:paraId="0BC9B3CD" w14:textId="77777777">
        <w:tc>
          <w:tcPr>
            <w:tcW w:w="0" w:type="auto"/>
            <w:shd w:val="clear" w:color="auto" w:fill="auto"/>
            <w:tcMar>
              <w:top w:w="40" w:type="dxa"/>
              <w:left w:w="40" w:type="dxa"/>
              <w:bottom w:w="40" w:type="dxa"/>
              <w:right w:w="40" w:type="dxa"/>
            </w:tcMar>
            <w:vAlign w:val="bottom"/>
          </w:tcPr>
          <w:p w14:paraId="0BC9B3C8" w14:textId="77777777" w:rsidR="009F0928" w:rsidRDefault="002112BD">
            <w:pPr>
              <w:textAlignment w:val="bottom"/>
              <w:rPr>
                <w:rFonts w:ascii="Times New Roman" w:hAnsi="Times New Roman"/>
                <w:sz w:val="18"/>
                <w:szCs w:val="18"/>
              </w:rPr>
            </w:pPr>
            <w:r>
              <w:rPr>
                <w:rFonts w:ascii="Arial" w:eastAsia="宋体" w:hAnsi="Arial" w:cs="Arial"/>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3C9" w14:textId="77777777" w:rsidR="009F0928" w:rsidRDefault="002112BD">
            <w:pPr>
              <w:textAlignment w:val="bottom"/>
              <w:rPr>
                <w:rFonts w:ascii="Times New Roman" w:hAnsi="Times New Roman"/>
                <w:sz w:val="18"/>
                <w:szCs w:val="18"/>
              </w:rPr>
            </w:pPr>
            <w:r>
              <w:rPr>
                <w:rFonts w:ascii="Arial" w:eastAsia="宋体" w:hAnsi="Arial" w:cs="Arial"/>
                <w:sz w:val="18"/>
                <w:szCs w:val="18"/>
              </w:rPr>
              <w:t xml:space="preserve">/s/ </w:t>
            </w:r>
            <w:r>
              <w:rPr>
                <w:rFonts w:ascii="Arial" w:eastAsia="宋体" w:hAnsi="Arial" w:cs="Arial"/>
                <w:sz w:val="18"/>
                <w:szCs w:val="18"/>
              </w:rPr>
              <w:t>Pierre M. Omidyar</w:t>
            </w:r>
          </w:p>
        </w:tc>
        <w:tc>
          <w:tcPr>
            <w:tcW w:w="0" w:type="auto"/>
            <w:shd w:val="clear" w:color="auto" w:fill="auto"/>
            <w:tcMar>
              <w:top w:w="40" w:type="dxa"/>
              <w:left w:w="40" w:type="dxa"/>
              <w:bottom w:w="40" w:type="dxa"/>
              <w:right w:w="40" w:type="dxa"/>
            </w:tcMar>
            <w:vAlign w:val="bottom"/>
          </w:tcPr>
          <w:p w14:paraId="0BC9B3C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CB" w14:textId="77777777" w:rsidR="009F0928" w:rsidRDefault="002112BD">
            <w:pPr>
              <w:textAlignment w:val="bottom"/>
              <w:rPr>
                <w:rFonts w:ascii="Times New Roman" w:hAnsi="Times New Roman"/>
                <w:sz w:val="18"/>
                <w:szCs w:val="18"/>
              </w:rPr>
            </w:pPr>
            <w:r>
              <w:rPr>
                <w:rFonts w:ascii="Arial" w:eastAsia="宋体" w:hAnsi="Arial" w:cs="Arial"/>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3CC" w14:textId="77777777" w:rsidR="009F0928" w:rsidRDefault="002112BD">
            <w:pPr>
              <w:textAlignment w:val="bottom"/>
              <w:rPr>
                <w:rFonts w:ascii="Times New Roman" w:hAnsi="Times New Roman"/>
                <w:sz w:val="18"/>
                <w:szCs w:val="18"/>
              </w:rPr>
            </w:pPr>
            <w:r>
              <w:rPr>
                <w:rFonts w:ascii="Arial" w:eastAsia="宋体" w:hAnsi="Arial" w:cs="Arial"/>
                <w:sz w:val="18"/>
                <w:szCs w:val="18"/>
              </w:rPr>
              <w:t>/s/ Thomas J. Tierney</w:t>
            </w:r>
          </w:p>
        </w:tc>
      </w:tr>
      <w:tr w:rsidR="009F0928" w14:paraId="0BC9B3D3" w14:textId="77777777">
        <w:tc>
          <w:tcPr>
            <w:tcW w:w="0" w:type="auto"/>
            <w:shd w:val="clear" w:color="auto" w:fill="auto"/>
            <w:tcMar>
              <w:top w:w="40" w:type="dxa"/>
              <w:left w:w="40" w:type="dxa"/>
              <w:bottom w:w="40" w:type="dxa"/>
              <w:right w:w="40" w:type="dxa"/>
            </w:tcMar>
            <w:vAlign w:val="bottom"/>
          </w:tcPr>
          <w:p w14:paraId="0BC9B3C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CF"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Pierre M. Omidyar</w:t>
            </w:r>
          </w:p>
        </w:tc>
        <w:tc>
          <w:tcPr>
            <w:tcW w:w="0" w:type="auto"/>
            <w:shd w:val="clear" w:color="auto" w:fill="auto"/>
            <w:tcMar>
              <w:top w:w="40" w:type="dxa"/>
              <w:left w:w="40" w:type="dxa"/>
              <w:bottom w:w="40" w:type="dxa"/>
              <w:right w:w="40" w:type="dxa"/>
            </w:tcMar>
            <w:vAlign w:val="bottom"/>
          </w:tcPr>
          <w:p w14:paraId="0BC9B3D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D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D2"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Thomas J. Tierney</w:t>
            </w:r>
          </w:p>
        </w:tc>
      </w:tr>
      <w:tr w:rsidR="009F0928" w14:paraId="0BC9B3D9" w14:textId="77777777">
        <w:tc>
          <w:tcPr>
            <w:tcW w:w="0" w:type="auto"/>
            <w:shd w:val="clear" w:color="auto" w:fill="auto"/>
            <w:tcMar>
              <w:top w:w="40" w:type="dxa"/>
              <w:left w:w="40" w:type="dxa"/>
              <w:bottom w:w="40" w:type="dxa"/>
              <w:right w:w="40" w:type="dxa"/>
            </w:tcMar>
            <w:vAlign w:val="bottom"/>
          </w:tcPr>
          <w:p w14:paraId="0BC9B3D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D5"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Founder and Director</w:t>
            </w:r>
          </w:p>
        </w:tc>
        <w:tc>
          <w:tcPr>
            <w:tcW w:w="0" w:type="auto"/>
            <w:shd w:val="clear" w:color="auto" w:fill="auto"/>
            <w:tcMar>
              <w:top w:w="40" w:type="dxa"/>
              <w:left w:w="40" w:type="dxa"/>
              <w:bottom w:w="40" w:type="dxa"/>
              <w:right w:w="40" w:type="dxa"/>
            </w:tcMar>
            <w:vAlign w:val="bottom"/>
          </w:tcPr>
          <w:p w14:paraId="0BC9B3D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D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D8"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Chairman of the Board and Director</w:t>
            </w:r>
          </w:p>
        </w:tc>
      </w:tr>
      <w:tr w:rsidR="009F0928" w14:paraId="0BC9B3DF" w14:textId="77777777">
        <w:tc>
          <w:tcPr>
            <w:tcW w:w="0" w:type="auto"/>
            <w:shd w:val="clear" w:color="auto" w:fill="auto"/>
            <w:tcMar>
              <w:top w:w="40" w:type="dxa"/>
              <w:left w:w="40" w:type="dxa"/>
              <w:bottom w:w="40" w:type="dxa"/>
              <w:right w:w="40" w:type="dxa"/>
            </w:tcMar>
            <w:vAlign w:val="bottom"/>
          </w:tcPr>
          <w:p w14:paraId="0BC9B3D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D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D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D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D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3E5" w14:textId="77777777">
        <w:tc>
          <w:tcPr>
            <w:tcW w:w="0" w:type="auto"/>
            <w:shd w:val="clear" w:color="auto" w:fill="auto"/>
            <w:tcMar>
              <w:top w:w="40" w:type="dxa"/>
              <w:left w:w="40" w:type="dxa"/>
              <w:bottom w:w="40" w:type="dxa"/>
              <w:right w:w="40" w:type="dxa"/>
            </w:tcMar>
            <w:vAlign w:val="bottom"/>
          </w:tcPr>
          <w:p w14:paraId="0BC9B3E0" w14:textId="77777777" w:rsidR="009F0928" w:rsidRDefault="002112BD">
            <w:pPr>
              <w:textAlignment w:val="bottom"/>
              <w:rPr>
                <w:rFonts w:ascii="Times New Roman" w:hAnsi="Times New Roman"/>
                <w:sz w:val="18"/>
                <w:szCs w:val="18"/>
              </w:rPr>
            </w:pPr>
            <w:r>
              <w:rPr>
                <w:rFonts w:ascii="Arial" w:eastAsia="宋体" w:hAnsi="Arial" w:cs="Arial"/>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3E1" w14:textId="77777777" w:rsidR="009F0928" w:rsidRDefault="002112BD">
            <w:pPr>
              <w:textAlignment w:val="bottom"/>
              <w:rPr>
                <w:rFonts w:ascii="Times New Roman" w:hAnsi="Times New Roman"/>
                <w:sz w:val="18"/>
                <w:szCs w:val="18"/>
              </w:rPr>
            </w:pPr>
            <w:r>
              <w:rPr>
                <w:rFonts w:ascii="Arial" w:eastAsia="宋体" w:hAnsi="Arial" w:cs="Arial"/>
                <w:sz w:val="18"/>
                <w:szCs w:val="18"/>
              </w:rPr>
              <w:t>/s/ Fred D. Anderson</w:t>
            </w:r>
          </w:p>
        </w:tc>
        <w:tc>
          <w:tcPr>
            <w:tcW w:w="0" w:type="auto"/>
            <w:shd w:val="clear" w:color="auto" w:fill="auto"/>
            <w:tcMar>
              <w:top w:w="40" w:type="dxa"/>
              <w:left w:w="40" w:type="dxa"/>
              <w:bottom w:w="40" w:type="dxa"/>
              <w:right w:w="40" w:type="dxa"/>
            </w:tcMar>
            <w:vAlign w:val="bottom"/>
          </w:tcPr>
          <w:p w14:paraId="0BC9B3E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E3" w14:textId="77777777" w:rsidR="009F0928" w:rsidRDefault="002112BD">
            <w:pPr>
              <w:textAlignment w:val="bottom"/>
              <w:rPr>
                <w:rFonts w:ascii="Times New Roman" w:hAnsi="Times New Roman"/>
                <w:sz w:val="18"/>
                <w:szCs w:val="18"/>
              </w:rPr>
            </w:pPr>
            <w:r>
              <w:rPr>
                <w:rFonts w:ascii="Arial" w:eastAsia="宋体" w:hAnsi="Arial" w:cs="Arial"/>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3E4" w14:textId="77777777" w:rsidR="009F0928" w:rsidRDefault="002112BD">
            <w:pPr>
              <w:textAlignment w:val="bottom"/>
              <w:rPr>
                <w:rFonts w:ascii="Times New Roman" w:hAnsi="Times New Roman"/>
                <w:sz w:val="18"/>
                <w:szCs w:val="18"/>
              </w:rPr>
            </w:pPr>
            <w:r>
              <w:rPr>
                <w:rFonts w:ascii="Arial" w:eastAsia="宋体" w:hAnsi="Arial" w:cs="Arial"/>
                <w:sz w:val="18"/>
                <w:szCs w:val="18"/>
              </w:rPr>
              <w:t>/s/ Anthony J. Bates</w:t>
            </w:r>
          </w:p>
        </w:tc>
      </w:tr>
      <w:tr w:rsidR="009F0928" w14:paraId="0BC9B3EB" w14:textId="77777777">
        <w:tc>
          <w:tcPr>
            <w:tcW w:w="0" w:type="auto"/>
            <w:shd w:val="clear" w:color="auto" w:fill="auto"/>
            <w:tcMar>
              <w:top w:w="40" w:type="dxa"/>
              <w:left w:w="40" w:type="dxa"/>
              <w:bottom w:w="40" w:type="dxa"/>
              <w:right w:w="40" w:type="dxa"/>
            </w:tcMar>
            <w:vAlign w:val="bottom"/>
          </w:tcPr>
          <w:p w14:paraId="0BC9B3E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E7"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Fred D. Anderson</w:t>
            </w:r>
          </w:p>
        </w:tc>
        <w:tc>
          <w:tcPr>
            <w:tcW w:w="0" w:type="auto"/>
            <w:shd w:val="clear" w:color="auto" w:fill="auto"/>
            <w:tcMar>
              <w:top w:w="40" w:type="dxa"/>
              <w:left w:w="40" w:type="dxa"/>
              <w:bottom w:w="40" w:type="dxa"/>
              <w:right w:w="40" w:type="dxa"/>
            </w:tcMar>
            <w:vAlign w:val="bottom"/>
          </w:tcPr>
          <w:p w14:paraId="0BC9B3E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E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EA"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 xml:space="preserve">Anthony J. </w:t>
            </w:r>
            <w:r>
              <w:rPr>
                <w:rFonts w:ascii="Arial" w:eastAsia="宋体" w:hAnsi="Arial" w:cs="Arial"/>
                <w:b/>
                <w:bCs/>
                <w:sz w:val="18"/>
                <w:szCs w:val="18"/>
              </w:rPr>
              <w:t>Bates</w:t>
            </w:r>
          </w:p>
        </w:tc>
      </w:tr>
      <w:tr w:rsidR="009F0928" w14:paraId="0BC9B3F1" w14:textId="77777777">
        <w:tc>
          <w:tcPr>
            <w:tcW w:w="0" w:type="auto"/>
            <w:shd w:val="clear" w:color="auto" w:fill="auto"/>
            <w:tcMar>
              <w:top w:w="40" w:type="dxa"/>
              <w:left w:w="40" w:type="dxa"/>
              <w:bottom w:w="40" w:type="dxa"/>
              <w:right w:w="40" w:type="dxa"/>
            </w:tcMar>
            <w:vAlign w:val="bottom"/>
          </w:tcPr>
          <w:p w14:paraId="0BC9B3E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ED"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Director</w:t>
            </w:r>
          </w:p>
        </w:tc>
        <w:tc>
          <w:tcPr>
            <w:tcW w:w="0" w:type="auto"/>
            <w:shd w:val="clear" w:color="auto" w:fill="auto"/>
            <w:tcMar>
              <w:top w:w="40" w:type="dxa"/>
              <w:left w:w="40" w:type="dxa"/>
              <w:bottom w:w="40" w:type="dxa"/>
              <w:right w:w="40" w:type="dxa"/>
            </w:tcMar>
            <w:vAlign w:val="bottom"/>
          </w:tcPr>
          <w:p w14:paraId="0BC9B3E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E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F0"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Director</w:t>
            </w:r>
          </w:p>
        </w:tc>
      </w:tr>
      <w:tr w:rsidR="009F0928" w14:paraId="0BC9B3F7" w14:textId="77777777">
        <w:tc>
          <w:tcPr>
            <w:tcW w:w="0" w:type="auto"/>
            <w:shd w:val="clear" w:color="auto" w:fill="auto"/>
            <w:tcMar>
              <w:top w:w="40" w:type="dxa"/>
              <w:left w:w="40" w:type="dxa"/>
              <w:bottom w:w="40" w:type="dxa"/>
              <w:right w:w="40" w:type="dxa"/>
            </w:tcMar>
            <w:vAlign w:val="bottom"/>
          </w:tcPr>
          <w:p w14:paraId="0BC9B3F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F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F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F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F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3FD" w14:textId="77777777">
        <w:tc>
          <w:tcPr>
            <w:tcW w:w="0" w:type="auto"/>
            <w:shd w:val="clear" w:color="auto" w:fill="auto"/>
            <w:tcMar>
              <w:top w:w="40" w:type="dxa"/>
              <w:left w:w="40" w:type="dxa"/>
              <w:bottom w:w="40" w:type="dxa"/>
              <w:right w:w="40" w:type="dxa"/>
            </w:tcMar>
            <w:vAlign w:val="bottom"/>
          </w:tcPr>
          <w:p w14:paraId="0BC9B3F8" w14:textId="77777777" w:rsidR="009F0928" w:rsidRDefault="002112BD">
            <w:pPr>
              <w:textAlignment w:val="bottom"/>
              <w:rPr>
                <w:rFonts w:ascii="Times New Roman" w:hAnsi="Times New Roman"/>
                <w:sz w:val="18"/>
                <w:szCs w:val="18"/>
              </w:rPr>
            </w:pPr>
            <w:r>
              <w:rPr>
                <w:rFonts w:ascii="Arial" w:eastAsia="宋体" w:hAnsi="Arial" w:cs="Arial"/>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3F9" w14:textId="77777777" w:rsidR="009F0928" w:rsidRDefault="002112BD">
            <w:pPr>
              <w:textAlignment w:val="bottom"/>
              <w:rPr>
                <w:rFonts w:ascii="Times New Roman" w:hAnsi="Times New Roman"/>
                <w:sz w:val="18"/>
                <w:szCs w:val="18"/>
              </w:rPr>
            </w:pPr>
            <w:r>
              <w:rPr>
                <w:rFonts w:ascii="Arial" w:eastAsia="宋体" w:hAnsi="Arial" w:cs="Arial"/>
                <w:sz w:val="18"/>
                <w:szCs w:val="18"/>
              </w:rPr>
              <w:t>/s/ Adriane Brown</w:t>
            </w:r>
          </w:p>
        </w:tc>
        <w:tc>
          <w:tcPr>
            <w:tcW w:w="0" w:type="auto"/>
            <w:shd w:val="clear" w:color="auto" w:fill="auto"/>
            <w:tcMar>
              <w:top w:w="40" w:type="dxa"/>
              <w:left w:w="40" w:type="dxa"/>
              <w:bottom w:w="40" w:type="dxa"/>
              <w:right w:w="40" w:type="dxa"/>
            </w:tcMar>
            <w:vAlign w:val="bottom"/>
          </w:tcPr>
          <w:p w14:paraId="0BC9B3F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FB" w14:textId="77777777" w:rsidR="009F0928" w:rsidRDefault="002112BD">
            <w:pPr>
              <w:textAlignment w:val="bottom"/>
              <w:rPr>
                <w:rFonts w:ascii="Times New Roman" w:hAnsi="Times New Roman"/>
                <w:sz w:val="18"/>
                <w:szCs w:val="18"/>
              </w:rPr>
            </w:pPr>
            <w:r>
              <w:rPr>
                <w:rFonts w:ascii="Arial" w:eastAsia="宋体" w:hAnsi="Arial" w:cs="Arial"/>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3FC" w14:textId="77777777" w:rsidR="009F0928" w:rsidRDefault="002112BD">
            <w:pPr>
              <w:textAlignment w:val="bottom"/>
              <w:rPr>
                <w:rFonts w:ascii="Times New Roman" w:hAnsi="Times New Roman"/>
                <w:sz w:val="18"/>
                <w:szCs w:val="18"/>
              </w:rPr>
            </w:pPr>
            <w:r>
              <w:rPr>
                <w:rFonts w:ascii="Arial" w:eastAsia="宋体" w:hAnsi="Arial" w:cs="Arial"/>
                <w:sz w:val="18"/>
                <w:szCs w:val="18"/>
              </w:rPr>
              <w:t>/s/ Jesse A. Cohn</w:t>
            </w:r>
          </w:p>
        </w:tc>
      </w:tr>
      <w:tr w:rsidR="009F0928" w14:paraId="0BC9B403" w14:textId="77777777">
        <w:tc>
          <w:tcPr>
            <w:tcW w:w="0" w:type="auto"/>
            <w:shd w:val="clear" w:color="auto" w:fill="auto"/>
            <w:tcMar>
              <w:top w:w="40" w:type="dxa"/>
              <w:left w:w="40" w:type="dxa"/>
              <w:bottom w:w="40" w:type="dxa"/>
              <w:right w:w="40" w:type="dxa"/>
            </w:tcMar>
            <w:vAlign w:val="bottom"/>
          </w:tcPr>
          <w:p w14:paraId="0BC9B3F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3FF"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Adriane Brown</w:t>
            </w:r>
          </w:p>
        </w:tc>
        <w:tc>
          <w:tcPr>
            <w:tcW w:w="0" w:type="auto"/>
            <w:shd w:val="clear" w:color="auto" w:fill="auto"/>
            <w:tcMar>
              <w:top w:w="40" w:type="dxa"/>
              <w:left w:w="40" w:type="dxa"/>
              <w:bottom w:w="40" w:type="dxa"/>
              <w:right w:w="40" w:type="dxa"/>
            </w:tcMar>
            <w:vAlign w:val="bottom"/>
          </w:tcPr>
          <w:p w14:paraId="0BC9B40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0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02"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Jesse A. Cohn</w:t>
            </w:r>
          </w:p>
        </w:tc>
      </w:tr>
      <w:tr w:rsidR="009F0928" w14:paraId="0BC9B409" w14:textId="77777777">
        <w:tc>
          <w:tcPr>
            <w:tcW w:w="0" w:type="auto"/>
            <w:shd w:val="clear" w:color="auto" w:fill="auto"/>
            <w:tcMar>
              <w:top w:w="40" w:type="dxa"/>
              <w:left w:w="40" w:type="dxa"/>
              <w:bottom w:w="40" w:type="dxa"/>
              <w:right w:w="40" w:type="dxa"/>
            </w:tcMar>
            <w:vAlign w:val="bottom"/>
          </w:tcPr>
          <w:p w14:paraId="0BC9B40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05"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Director</w:t>
            </w:r>
          </w:p>
        </w:tc>
        <w:tc>
          <w:tcPr>
            <w:tcW w:w="0" w:type="auto"/>
            <w:shd w:val="clear" w:color="auto" w:fill="auto"/>
            <w:tcMar>
              <w:top w:w="40" w:type="dxa"/>
              <w:left w:w="40" w:type="dxa"/>
              <w:bottom w:w="40" w:type="dxa"/>
              <w:right w:w="40" w:type="dxa"/>
            </w:tcMar>
            <w:vAlign w:val="bottom"/>
          </w:tcPr>
          <w:p w14:paraId="0BC9B40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0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08"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Director</w:t>
            </w:r>
          </w:p>
        </w:tc>
      </w:tr>
      <w:tr w:rsidR="009F0928" w14:paraId="0BC9B40F" w14:textId="77777777">
        <w:tc>
          <w:tcPr>
            <w:tcW w:w="0" w:type="auto"/>
            <w:shd w:val="clear" w:color="auto" w:fill="auto"/>
            <w:tcMar>
              <w:top w:w="40" w:type="dxa"/>
              <w:left w:w="40" w:type="dxa"/>
              <w:bottom w:w="40" w:type="dxa"/>
              <w:right w:w="40" w:type="dxa"/>
            </w:tcMar>
            <w:vAlign w:val="bottom"/>
          </w:tcPr>
          <w:p w14:paraId="0BC9B40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0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0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0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0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415" w14:textId="77777777">
        <w:tc>
          <w:tcPr>
            <w:tcW w:w="0" w:type="auto"/>
            <w:shd w:val="clear" w:color="auto" w:fill="auto"/>
            <w:tcMar>
              <w:top w:w="40" w:type="dxa"/>
              <w:left w:w="40" w:type="dxa"/>
              <w:bottom w:w="40" w:type="dxa"/>
              <w:right w:w="40" w:type="dxa"/>
            </w:tcMar>
            <w:vAlign w:val="bottom"/>
          </w:tcPr>
          <w:p w14:paraId="0BC9B410" w14:textId="77777777" w:rsidR="009F0928" w:rsidRDefault="002112BD">
            <w:pPr>
              <w:textAlignment w:val="bottom"/>
              <w:rPr>
                <w:rFonts w:ascii="Times New Roman" w:hAnsi="Times New Roman"/>
                <w:sz w:val="18"/>
                <w:szCs w:val="18"/>
              </w:rPr>
            </w:pPr>
            <w:r>
              <w:rPr>
                <w:rFonts w:ascii="Arial" w:eastAsia="宋体" w:hAnsi="Arial" w:cs="Arial"/>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411" w14:textId="77777777" w:rsidR="009F0928" w:rsidRDefault="002112BD">
            <w:pPr>
              <w:textAlignment w:val="bottom"/>
              <w:rPr>
                <w:rFonts w:ascii="Times New Roman" w:hAnsi="Times New Roman"/>
                <w:sz w:val="18"/>
                <w:szCs w:val="18"/>
              </w:rPr>
            </w:pPr>
            <w:r>
              <w:rPr>
                <w:rFonts w:ascii="Arial" w:eastAsia="宋体" w:hAnsi="Arial" w:cs="Arial"/>
                <w:sz w:val="18"/>
                <w:szCs w:val="18"/>
              </w:rPr>
              <w:t>/s/ Diana Farrell</w:t>
            </w:r>
          </w:p>
        </w:tc>
        <w:tc>
          <w:tcPr>
            <w:tcW w:w="0" w:type="auto"/>
            <w:shd w:val="clear" w:color="auto" w:fill="auto"/>
            <w:tcMar>
              <w:top w:w="40" w:type="dxa"/>
              <w:left w:w="40" w:type="dxa"/>
              <w:bottom w:w="40" w:type="dxa"/>
              <w:right w:w="40" w:type="dxa"/>
            </w:tcMar>
            <w:vAlign w:val="bottom"/>
          </w:tcPr>
          <w:p w14:paraId="0BC9B41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13" w14:textId="77777777" w:rsidR="009F0928" w:rsidRDefault="002112BD">
            <w:pPr>
              <w:textAlignment w:val="bottom"/>
              <w:rPr>
                <w:rFonts w:ascii="Times New Roman" w:hAnsi="Times New Roman"/>
                <w:sz w:val="18"/>
                <w:szCs w:val="18"/>
              </w:rPr>
            </w:pPr>
            <w:r>
              <w:rPr>
                <w:rFonts w:ascii="Arial" w:eastAsia="宋体" w:hAnsi="Arial" w:cs="Arial"/>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414" w14:textId="77777777" w:rsidR="009F0928" w:rsidRDefault="002112BD">
            <w:pPr>
              <w:textAlignment w:val="bottom"/>
              <w:rPr>
                <w:rFonts w:ascii="Times New Roman" w:hAnsi="Times New Roman"/>
                <w:sz w:val="18"/>
                <w:szCs w:val="18"/>
              </w:rPr>
            </w:pPr>
            <w:r>
              <w:rPr>
                <w:rFonts w:ascii="Arial" w:eastAsia="宋体" w:hAnsi="Arial" w:cs="Arial"/>
                <w:sz w:val="18"/>
                <w:szCs w:val="18"/>
              </w:rPr>
              <w:t>/s/ Logan D. Green</w:t>
            </w:r>
          </w:p>
        </w:tc>
      </w:tr>
      <w:tr w:rsidR="009F0928" w14:paraId="0BC9B41B" w14:textId="77777777">
        <w:tc>
          <w:tcPr>
            <w:tcW w:w="0" w:type="auto"/>
            <w:shd w:val="clear" w:color="auto" w:fill="auto"/>
            <w:tcMar>
              <w:top w:w="40" w:type="dxa"/>
              <w:left w:w="40" w:type="dxa"/>
              <w:bottom w:w="40" w:type="dxa"/>
              <w:right w:w="40" w:type="dxa"/>
            </w:tcMar>
            <w:vAlign w:val="bottom"/>
          </w:tcPr>
          <w:p w14:paraId="0BC9B41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17"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Diana Farrell</w:t>
            </w:r>
          </w:p>
        </w:tc>
        <w:tc>
          <w:tcPr>
            <w:tcW w:w="0" w:type="auto"/>
            <w:shd w:val="clear" w:color="auto" w:fill="auto"/>
            <w:tcMar>
              <w:top w:w="40" w:type="dxa"/>
              <w:left w:w="40" w:type="dxa"/>
              <w:bottom w:w="40" w:type="dxa"/>
              <w:right w:w="40" w:type="dxa"/>
            </w:tcMar>
            <w:vAlign w:val="bottom"/>
          </w:tcPr>
          <w:p w14:paraId="0BC9B41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1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1A"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Logan D. Green</w:t>
            </w:r>
          </w:p>
        </w:tc>
      </w:tr>
      <w:tr w:rsidR="009F0928" w14:paraId="0BC9B421" w14:textId="77777777">
        <w:tc>
          <w:tcPr>
            <w:tcW w:w="0" w:type="auto"/>
            <w:shd w:val="clear" w:color="auto" w:fill="auto"/>
            <w:tcMar>
              <w:top w:w="40" w:type="dxa"/>
              <w:left w:w="40" w:type="dxa"/>
              <w:bottom w:w="40" w:type="dxa"/>
              <w:right w:w="40" w:type="dxa"/>
            </w:tcMar>
            <w:vAlign w:val="bottom"/>
          </w:tcPr>
          <w:p w14:paraId="0BC9B41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1D"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Director</w:t>
            </w:r>
          </w:p>
        </w:tc>
        <w:tc>
          <w:tcPr>
            <w:tcW w:w="0" w:type="auto"/>
            <w:shd w:val="clear" w:color="auto" w:fill="auto"/>
            <w:tcMar>
              <w:top w:w="40" w:type="dxa"/>
              <w:left w:w="40" w:type="dxa"/>
              <w:bottom w:w="40" w:type="dxa"/>
              <w:right w:w="40" w:type="dxa"/>
            </w:tcMar>
            <w:vAlign w:val="bottom"/>
          </w:tcPr>
          <w:p w14:paraId="0BC9B41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1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20"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Director</w:t>
            </w:r>
          </w:p>
        </w:tc>
      </w:tr>
      <w:tr w:rsidR="009F0928" w14:paraId="0BC9B427" w14:textId="77777777">
        <w:tc>
          <w:tcPr>
            <w:tcW w:w="0" w:type="auto"/>
            <w:shd w:val="clear" w:color="auto" w:fill="auto"/>
            <w:tcMar>
              <w:top w:w="40" w:type="dxa"/>
              <w:left w:w="40" w:type="dxa"/>
              <w:bottom w:w="40" w:type="dxa"/>
              <w:right w:w="40" w:type="dxa"/>
            </w:tcMar>
            <w:vAlign w:val="bottom"/>
          </w:tcPr>
          <w:p w14:paraId="0BC9B42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2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2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2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2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42D" w14:textId="77777777">
        <w:tc>
          <w:tcPr>
            <w:tcW w:w="0" w:type="auto"/>
            <w:shd w:val="clear" w:color="auto" w:fill="auto"/>
            <w:tcMar>
              <w:top w:w="40" w:type="dxa"/>
              <w:left w:w="40" w:type="dxa"/>
              <w:bottom w:w="40" w:type="dxa"/>
              <w:right w:w="40" w:type="dxa"/>
            </w:tcMar>
            <w:vAlign w:val="bottom"/>
          </w:tcPr>
          <w:p w14:paraId="0BC9B428" w14:textId="77777777" w:rsidR="009F0928" w:rsidRDefault="002112BD">
            <w:pPr>
              <w:textAlignment w:val="bottom"/>
              <w:rPr>
                <w:rFonts w:ascii="Times New Roman" w:hAnsi="Times New Roman"/>
                <w:sz w:val="18"/>
                <w:szCs w:val="18"/>
              </w:rPr>
            </w:pPr>
            <w:r>
              <w:rPr>
                <w:rFonts w:ascii="Arial" w:eastAsia="宋体" w:hAnsi="Arial" w:cs="Arial"/>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429" w14:textId="77777777" w:rsidR="009F0928" w:rsidRDefault="002112BD">
            <w:pPr>
              <w:textAlignment w:val="bottom"/>
              <w:rPr>
                <w:rFonts w:ascii="Times New Roman" w:hAnsi="Times New Roman"/>
                <w:sz w:val="18"/>
                <w:szCs w:val="18"/>
              </w:rPr>
            </w:pPr>
            <w:r>
              <w:rPr>
                <w:rFonts w:ascii="Arial" w:eastAsia="宋体" w:hAnsi="Arial" w:cs="Arial"/>
                <w:sz w:val="18"/>
                <w:szCs w:val="18"/>
              </w:rPr>
              <w:t>/s/ Bonnie S. Hammer</w:t>
            </w:r>
          </w:p>
        </w:tc>
        <w:tc>
          <w:tcPr>
            <w:tcW w:w="0" w:type="auto"/>
            <w:shd w:val="clear" w:color="auto" w:fill="auto"/>
            <w:tcMar>
              <w:top w:w="40" w:type="dxa"/>
              <w:left w:w="40" w:type="dxa"/>
              <w:bottom w:w="40" w:type="dxa"/>
              <w:right w:w="40" w:type="dxa"/>
            </w:tcMar>
            <w:vAlign w:val="bottom"/>
          </w:tcPr>
          <w:p w14:paraId="0BC9B42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2B" w14:textId="77777777" w:rsidR="009F0928" w:rsidRDefault="002112BD">
            <w:pPr>
              <w:textAlignment w:val="bottom"/>
              <w:rPr>
                <w:rFonts w:ascii="Times New Roman" w:hAnsi="Times New Roman"/>
                <w:sz w:val="18"/>
                <w:szCs w:val="18"/>
              </w:rPr>
            </w:pPr>
            <w:r>
              <w:rPr>
                <w:rFonts w:ascii="Arial" w:eastAsia="宋体" w:hAnsi="Arial" w:cs="Arial"/>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42C" w14:textId="77777777" w:rsidR="009F0928" w:rsidRDefault="002112BD">
            <w:pPr>
              <w:textAlignment w:val="bottom"/>
              <w:rPr>
                <w:rFonts w:ascii="Times New Roman" w:hAnsi="Times New Roman"/>
                <w:sz w:val="18"/>
                <w:szCs w:val="18"/>
              </w:rPr>
            </w:pPr>
            <w:r>
              <w:rPr>
                <w:rFonts w:ascii="Arial" w:eastAsia="宋体" w:hAnsi="Arial" w:cs="Arial"/>
                <w:sz w:val="18"/>
                <w:szCs w:val="18"/>
              </w:rPr>
              <w:t>/s/ Kathleen C. Mitic</w:t>
            </w:r>
          </w:p>
        </w:tc>
      </w:tr>
      <w:tr w:rsidR="009F0928" w14:paraId="0BC9B433" w14:textId="77777777">
        <w:tc>
          <w:tcPr>
            <w:tcW w:w="0" w:type="auto"/>
            <w:shd w:val="clear" w:color="auto" w:fill="auto"/>
            <w:tcMar>
              <w:top w:w="40" w:type="dxa"/>
              <w:left w:w="40" w:type="dxa"/>
              <w:bottom w:w="40" w:type="dxa"/>
              <w:right w:w="40" w:type="dxa"/>
            </w:tcMar>
            <w:vAlign w:val="bottom"/>
          </w:tcPr>
          <w:p w14:paraId="0BC9B42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2F"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Bonnie S. Hammer</w:t>
            </w:r>
          </w:p>
        </w:tc>
        <w:tc>
          <w:tcPr>
            <w:tcW w:w="0" w:type="auto"/>
            <w:shd w:val="clear" w:color="auto" w:fill="auto"/>
            <w:tcMar>
              <w:top w:w="40" w:type="dxa"/>
              <w:left w:w="40" w:type="dxa"/>
              <w:bottom w:w="40" w:type="dxa"/>
              <w:right w:w="40" w:type="dxa"/>
            </w:tcMar>
            <w:vAlign w:val="bottom"/>
          </w:tcPr>
          <w:p w14:paraId="0BC9B43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3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32"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Kathleen C. Mitic</w:t>
            </w:r>
          </w:p>
        </w:tc>
      </w:tr>
      <w:tr w:rsidR="009F0928" w14:paraId="0BC9B439" w14:textId="77777777">
        <w:tc>
          <w:tcPr>
            <w:tcW w:w="0" w:type="auto"/>
            <w:shd w:val="clear" w:color="auto" w:fill="auto"/>
            <w:tcMar>
              <w:top w:w="40" w:type="dxa"/>
              <w:left w:w="40" w:type="dxa"/>
              <w:bottom w:w="40" w:type="dxa"/>
              <w:right w:w="40" w:type="dxa"/>
            </w:tcMar>
            <w:vAlign w:val="bottom"/>
          </w:tcPr>
          <w:p w14:paraId="0BC9B43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35"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Director</w:t>
            </w:r>
          </w:p>
        </w:tc>
        <w:tc>
          <w:tcPr>
            <w:tcW w:w="0" w:type="auto"/>
            <w:shd w:val="clear" w:color="auto" w:fill="auto"/>
            <w:tcMar>
              <w:top w:w="40" w:type="dxa"/>
              <w:left w:w="40" w:type="dxa"/>
              <w:bottom w:w="40" w:type="dxa"/>
              <w:right w:w="40" w:type="dxa"/>
            </w:tcMar>
            <w:vAlign w:val="bottom"/>
          </w:tcPr>
          <w:p w14:paraId="0BC9B43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3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38"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Director</w:t>
            </w:r>
          </w:p>
        </w:tc>
      </w:tr>
      <w:tr w:rsidR="009F0928" w14:paraId="0BC9B43F" w14:textId="77777777">
        <w:tc>
          <w:tcPr>
            <w:tcW w:w="0" w:type="auto"/>
            <w:shd w:val="clear" w:color="auto" w:fill="auto"/>
            <w:tcMar>
              <w:top w:w="40" w:type="dxa"/>
              <w:left w:w="40" w:type="dxa"/>
              <w:bottom w:w="40" w:type="dxa"/>
              <w:right w:w="40" w:type="dxa"/>
            </w:tcMar>
            <w:vAlign w:val="bottom"/>
          </w:tcPr>
          <w:p w14:paraId="0BC9B43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3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3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3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3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445" w14:textId="77777777">
        <w:tc>
          <w:tcPr>
            <w:tcW w:w="0" w:type="auto"/>
            <w:shd w:val="clear" w:color="auto" w:fill="auto"/>
            <w:tcMar>
              <w:top w:w="40" w:type="dxa"/>
              <w:left w:w="40" w:type="dxa"/>
              <w:bottom w:w="40" w:type="dxa"/>
              <w:right w:w="40" w:type="dxa"/>
            </w:tcMar>
            <w:vAlign w:val="bottom"/>
          </w:tcPr>
          <w:p w14:paraId="0BC9B440" w14:textId="77777777" w:rsidR="009F0928" w:rsidRDefault="002112BD">
            <w:pPr>
              <w:textAlignment w:val="bottom"/>
              <w:rPr>
                <w:rFonts w:ascii="Times New Roman" w:hAnsi="Times New Roman"/>
                <w:sz w:val="18"/>
                <w:szCs w:val="18"/>
              </w:rPr>
            </w:pPr>
            <w:r>
              <w:rPr>
                <w:rFonts w:ascii="Arial" w:eastAsia="宋体" w:hAnsi="Arial" w:cs="Arial"/>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441" w14:textId="77777777" w:rsidR="009F0928" w:rsidRDefault="002112BD">
            <w:pPr>
              <w:textAlignment w:val="bottom"/>
              <w:rPr>
                <w:rFonts w:ascii="Times New Roman" w:hAnsi="Times New Roman"/>
                <w:sz w:val="18"/>
                <w:szCs w:val="18"/>
              </w:rPr>
            </w:pPr>
            <w:r>
              <w:rPr>
                <w:rFonts w:ascii="Arial" w:eastAsia="宋体" w:hAnsi="Arial" w:cs="Arial"/>
                <w:sz w:val="18"/>
                <w:szCs w:val="18"/>
              </w:rPr>
              <w:t>/s/ Matthew J. Murphy</w:t>
            </w:r>
          </w:p>
        </w:tc>
        <w:tc>
          <w:tcPr>
            <w:tcW w:w="0" w:type="auto"/>
            <w:shd w:val="clear" w:color="auto" w:fill="auto"/>
            <w:tcMar>
              <w:top w:w="40" w:type="dxa"/>
              <w:left w:w="40" w:type="dxa"/>
              <w:bottom w:w="40" w:type="dxa"/>
              <w:right w:w="40" w:type="dxa"/>
            </w:tcMar>
            <w:vAlign w:val="bottom"/>
          </w:tcPr>
          <w:p w14:paraId="0BC9B44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43" w14:textId="77777777" w:rsidR="009F0928" w:rsidRDefault="002112BD">
            <w:pPr>
              <w:textAlignment w:val="bottom"/>
              <w:rPr>
                <w:rFonts w:ascii="Times New Roman" w:hAnsi="Times New Roman"/>
                <w:sz w:val="18"/>
                <w:szCs w:val="18"/>
              </w:rPr>
            </w:pPr>
            <w:r>
              <w:rPr>
                <w:rFonts w:ascii="Arial" w:eastAsia="宋体" w:hAnsi="Arial" w:cs="Arial"/>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444" w14:textId="77777777" w:rsidR="009F0928" w:rsidRDefault="002112BD">
            <w:pPr>
              <w:textAlignment w:val="bottom"/>
              <w:rPr>
                <w:rFonts w:ascii="Times New Roman" w:hAnsi="Times New Roman"/>
                <w:sz w:val="18"/>
                <w:szCs w:val="18"/>
              </w:rPr>
            </w:pPr>
            <w:r>
              <w:rPr>
                <w:rFonts w:ascii="Arial" w:eastAsia="宋体" w:hAnsi="Arial" w:cs="Arial"/>
                <w:sz w:val="18"/>
                <w:szCs w:val="18"/>
              </w:rPr>
              <w:t>/s/ Paul S. Pressler</w:t>
            </w:r>
          </w:p>
        </w:tc>
      </w:tr>
      <w:tr w:rsidR="009F0928" w14:paraId="0BC9B44B" w14:textId="77777777">
        <w:tc>
          <w:tcPr>
            <w:tcW w:w="0" w:type="auto"/>
            <w:shd w:val="clear" w:color="auto" w:fill="auto"/>
            <w:tcMar>
              <w:top w:w="40" w:type="dxa"/>
              <w:left w:w="40" w:type="dxa"/>
              <w:bottom w:w="40" w:type="dxa"/>
              <w:right w:w="40" w:type="dxa"/>
            </w:tcMar>
            <w:vAlign w:val="bottom"/>
          </w:tcPr>
          <w:p w14:paraId="0BC9B44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47"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Matthew J. Murphy</w:t>
            </w:r>
          </w:p>
        </w:tc>
        <w:tc>
          <w:tcPr>
            <w:tcW w:w="0" w:type="auto"/>
            <w:shd w:val="clear" w:color="auto" w:fill="auto"/>
            <w:tcMar>
              <w:top w:w="40" w:type="dxa"/>
              <w:left w:w="40" w:type="dxa"/>
              <w:bottom w:w="40" w:type="dxa"/>
              <w:right w:w="40" w:type="dxa"/>
            </w:tcMar>
            <w:vAlign w:val="bottom"/>
          </w:tcPr>
          <w:p w14:paraId="0BC9B448"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49"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4A"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 xml:space="preserve">Paul S. </w:t>
            </w:r>
            <w:r>
              <w:rPr>
                <w:rFonts w:ascii="Arial" w:eastAsia="宋体" w:hAnsi="Arial" w:cs="Arial"/>
                <w:b/>
                <w:bCs/>
                <w:sz w:val="18"/>
                <w:szCs w:val="18"/>
              </w:rPr>
              <w:t>Pressler</w:t>
            </w:r>
          </w:p>
        </w:tc>
      </w:tr>
      <w:tr w:rsidR="009F0928" w14:paraId="0BC9B451" w14:textId="77777777">
        <w:tc>
          <w:tcPr>
            <w:tcW w:w="0" w:type="auto"/>
            <w:shd w:val="clear" w:color="auto" w:fill="auto"/>
            <w:tcMar>
              <w:top w:w="40" w:type="dxa"/>
              <w:left w:w="40" w:type="dxa"/>
              <w:bottom w:w="40" w:type="dxa"/>
              <w:right w:w="40" w:type="dxa"/>
            </w:tcMar>
            <w:vAlign w:val="bottom"/>
          </w:tcPr>
          <w:p w14:paraId="0BC9B44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4D"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Director</w:t>
            </w:r>
          </w:p>
        </w:tc>
        <w:tc>
          <w:tcPr>
            <w:tcW w:w="0" w:type="auto"/>
            <w:shd w:val="clear" w:color="auto" w:fill="auto"/>
            <w:tcMar>
              <w:top w:w="40" w:type="dxa"/>
              <w:left w:w="40" w:type="dxa"/>
              <w:bottom w:w="40" w:type="dxa"/>
              <w:right w:w="40" w:type="dxa"/>
            </w:tcMar>
            <w:vAlign w:val="bottom"/>
          </w:tcPr>
          <w:p w14:paraId="0BC9B44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4F"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50"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Director</w:t>
            </w:r>
          </w:p>
        </w:tc>
      </w:tr>
      <w:tr w:rsidR="009F0928" w14:paraId="0BC9B457" w14:textId="77777777">
        <w:tc>
          <w:tcPr>
            <w:tcW w:w="0" w:type="auto"/>
            <w:shd w:val="clear" w:color="auto" w:fill="auto"/>
            <w:tcMar>
              <w:top w:w="40" w:type="dxa"/>
              <w:left w:w="40" w:type="dxa"/>
              <w:bottom w:w="40" w:type="dxa"/>
              <w:right w:w="40" w:type="dxa"/>
            </w:tcMar>
            <w:vAlign w:val="bottom"/>
          </w:tcPr>
          <w:p w14:paraId="0BC9B452"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53"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5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55"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5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r w:rsidR="009F0928" w14:paraId="0BC9B45D" w14:textId="77777777">
        <w:tc>
          <w:tcPr>
            <w:tcW w:w="0" w:type="auto"/>
            <w:shd w:val="clear" w:color="auto" w:fill="auto"/>
            <w:tcMar>
              <w:top w:w="40" w:type="dxa"/>
              <w:left w:w="40" w:type="dxa"/>
              <w:bottom w:w="40" w:type="dxa"/>
              <w:right w:w="40" w:type="dxa"/>
            </w:tcMar>
            <w:vAlign w:val="bottom"/>
          </w:tcPr>
          <w:p w14:paraId="0BC9B458" w14:textId="77777777" w:rsidR="009F0928" w:rsidRDefault="002112BD">
            <w:pPr>
              <w:textAlignment w:val="bottom"/>
              <w:rPr>
                <w:rFonts w:ascii="Times New Roman" w:hAnsi="Times New Roman"/>
                <w:sz w:val="18"/>
                <w:szCs w:val="18"/>
              </w:rPr>
            </w:pPr>
            <w:r>
              <w:rPr>
                <w:rFonts w:ascii="Arial" w:eastAsia="宋体" w:hAnsi="Arial" w:cs="Arial"/>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459" w14:textId="77777777" w:rsidR="009F0928" w:rsidRDefault="002112BD">
            <w:pPr>
              <w:textAlignment w:val="bottom"/>
              <w:rPr>
                <w:rFonts w:ascii="Times New Roman" w:hAnsi="Times New Roman"/>
                <w:sz w:val="18"/>
                <w:szCs w:val="18"/>
              </w:rPr>
            </w:pPr>
            <w:r>
              <w:rPr>
                <w:rFonts w:ascii="Arial" w:eastAsia="宋体" w:hAnsi="Arial" w:cs="Arial"/>
                <w:sz w:val="18"/>
                <w:szCs w:val="18"/>
              </w:rPr>
              <w:t>/s/ Robert H. Swan</w:t>
            </w:r>
          </w:p>
        </w:tc>
        <w:tc>
          <w:tcPr>
            <w:tcW w:w="0" w:type="auto"/>
            <w:shd w:val="clear" w:color="auto" w:fill="auto"/>
            <w:tcMar>
              <w:top w:w="40" w:type="dxa"/>
              <w:left w:w="40" w:type="dxa"/>
              <w:bottom w:w="40" w:type="dxa"/>
              <w:right w:w="40" w:type="dxa"/>
            </w:tcMar>
            <w:vAlign w:val="bottom"/>
          </w:tcPr>
          <w:p w14:paraId="0BC9B45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5B" w14:textId="77777777" w:rsidR="009F0928" w:rsidRDefault="002112BD">
            <w:pPr>
              <w:textAlignment w:val="bottom"/>
              <w:rPr>
                <w:rFonts w:ascii="Times New Roman" w:hAnsi="Times New Roman"/>
                <w:sz w:val="18"/>
                <w:szCs w:val="18"/>
              </w:rPr>
            </w:pPr>
            <w:r>
              <w:rPr>
                <w:rFonts w:ascii="Arial" w:eastAsia="宋体" w:hAnsi="Arial" w:cs="Arial"/>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0BC9B45C" w14:textId="77777777" w:rsidR="009F0928" w:rsidRDefault="002112BD">
            <w:pPr>
              <w:textAlignment w:val="bottom"/>
              <w:rPr>
                <w:rFonts w:ascii="Times New Roman" w:hAnsi="Times New Roman"/>
                <w:sz w:val="18"/>
                <w:szCs w:val="18"/>
              </w:rPr>
            </w:pPr>
            <w:r>
              <w:rPr>
                <w:rFonts w:ascii="Arial" w:eastAsia="宋体" w:hAnsi="Arial" w:cs="Arial"/>
                <w:sz w:val="18"/>
                <w:szCs w:val="18"/>
              </w:rPr>
              <w:t>/s/ Perry M. Traquina</w:t>
            </w:r>
          </w:p>
        </w:tc>
      </w:tr>
      <w:tr w:rsidR="009F0928" w14:paraId="0BC9B463" w14:textId="77777777">
        <w:tc>
          <w:tcPr>
            <w:tcW w:w="0" w:type="auto"/>
            <w:shd w:val="clear" w:color="auto" w:fill="auto"/>
            <w:tcMar>
              <w:top w:w="40" w:type="dxa"/>
              <w:left w:w="40" w:type="dxa"/>
              <w:bottom w:w="40" w:type="dxa"/>
              <w:right w:w="40" w:type="dxa"/>
            </w:tcMar>
            <w:vAlign w:val="bottom"/>
          </w:tcPr>
          <w:p w14:paraId="0BC9B45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5F"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Robert H. Swan</w:t>
            </w:r>
          </w:p>
        </w:tc>
        <w:tc>
          <w:tcPr>
            <w:tcW w:w="0" w:type="auto"/>
            <w:shd w:val="clear" w:color="auto" w:fill="auto"/>
            <w:tcMar>
              <w:top w:w="40" w:type="dxa"/>
              <w:left w:w="40" w:type="dxa"/>
              <w:bottom w:w="40" w:type="dxa"/>
              <w:right w:w="40" w:type="dxa"/>
            </w:tcMar>
            <w:vAlign w:val="bottom"/>
          </w:tcPr>
          <w:p w14:paraId="0BC9B460"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61"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62"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Perry M. Traquina</w:t>
            </w:r>
          </w:p>
        </w:tc>
      </w:tr>
      <w:tr w:rsidR="009F0928" w14:paraId="0BC9B469" w14:textId="77777777">
        <w:tc>
          <w:tcPr>
            <w:tcW w:w="0" w:type="auto"/>
            <w:shd w:val="clear" w:color="auto" w:fill="auto"/>
            <w:tcMar>
              <w:top w:w="40" w:type="dxa"/>
              <w:left w:w="40" w:type="dxa"/>
              <w:bottom w:w="40" w:type="dxa"/>
              <w:right w:w="40" w:type="dxa"/>
            </w:tcMar>
            <w:vAlign w:val="bottom"/>
          </w:tcPr>
          <w:p w14:paraId="0BC9B464"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65"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Director</w:t>
            </w:r>
          </w:p>
        </w:tc>
        <w:tc>
          <w:tcPr>
            <w:tcW w:w="0" w:type="auto"/>
            <w:shd w:val="clear" w:color="auto" w:fill="auto"/>
            <w:tcMar>
              <w:top w:w="40" w:type="dxa"/>
              <w:left w:w="40" w:type="dxa"/>
              <w:bottom w:w="40" w:type="dxa"/>
              <w:right w:w="40" w:type="dxa"/>
            </w:tcMar>
            <w:vAlign w:val="bottom"/>
          </w:tcPr>
          <w:p w14:paraId="0BC9B466"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67"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68" w14:textId="77777777" w:rsidR="009F0928" w:rsidRDefault="002112BD">
            <w:pPr>
              <w:jc w:val="center"/>
              <w:textAlignment w:val="bottom"/>
              <w:rPr>
                <w:rFonts w:ascii="Times New Roman" w:hAnsi="Times New Roman"/>
                <w:sz w:val="18"/>
                <w:szCs w:val="18"/>
              </w:rPr>
            </w:pPr>
            <w:r>
              <w:rPr>
                <w:rFonts w:ascii="Arial" w:eastAsia="宋体" w:hAnsi="Arial" w:cs="Arial"/>
                <w:b/>
                <w:bCs/>
                <w:sz w:val="18"/>
                <w:szCs w:val="18"/>
              </w:rPr>
              <w:t>Director</w:t>
            </w:r>
          </w:p>
        </w:tc>
      </w:tr>
      <w:tr w:rsidR="009F0928" w14:paraId="0BC9B46F" w14:textId="77777777">
        <w:tc>
          <w:tcPr>
            <w:tcW w:w="0" w:type="auto"/>
            <w:shd w:val="clear" w:color="auto" w:fill="auto"/>
            <w:tcMar>
              <w:top w:w="40" w:type="dxa"/>
              <w:left w:w="40" w:type="dxa"/>
              <w:bottom w:w="40" w:type="dxa"/>
              <w:right w:w="40" w:type="dxa"/>
            </w:tcMar>
            <w:vAlign w:val="bottom"/>
          </w:tcPr>
          <w:p w14:paraId="0BC9B46A"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6B"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6C"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6D"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0BC9B46E" w14:textId="77777777" w:rsidR="009F0928" w:rsidRDefault="002112BD">
            <w:pPr>
              <w:textAlignment w:val="bottom"/>
              <w:rPr>
                <w:rFonts w:ascii="Times New Roman" w:hAnsi="Times New Roman"/>
                <w:sz w:val="20"/>
                <w:szCs w:val="20"/>
              </w:rPr>
            </w:pPr>
            <w:r>
              <w:rPr>
                <w:rFonts w:ascii="Times New Roman" w:eastAsia="宋体" w:hAnsi="Times New Roman"/>
                <w:sz w:val="20"/>
                <w:szCs w:val="20"/>
              </w:rPr>
              <w:t> </w:t>
            </w:r>
          </w:p>
        </w:tc>
      </w:tr>
    </w:tbl>
    <w:p w14:paraId="0BC9B470" w14:textId="77777777" w:rsidR="009F0928" w:rsidRDefault="009F0928">
      <w:pPr>
        <w:spacing w:line="288" w:lineRule="auto"/>
        <w:jc w:val="both"/>
        <w:rPr>
          <w:rFonts w:ascii="Times New Roman" w:hAnsi="Times New Roman"/>
          <w:sz w:val="18"/>
          <w:szCs w:val="18"/>
        </w:rPr>
      </w:pPr>
    </w:p>
    <w:p w14:paraId="0BC9B471" w14:textId="77777777" w:rsidR="009F0928" w:rsidRDefault="009F0928">
      <w:pPr>
        <w:spacing w:line="288" w:lineRule="auto"/>
        <w:jc w:val="both"/>
        <w:rPr>
          <w:rFonts w:ascii="Times New Roman" w:hAnsi="Times New Roman"/>
          <w:sz w:val="18"/>
          <w:szCs w:val="18"/>
        </w:rPr>
      </w:pPr>
    </w:p>
    <w:p w14:paraId="0BC9B472" w14:textId="77777777" w:rsidR="009F0928" w:rsidRDefault="009F0928">
      <w:pPr>
        <w:spacing w:line="288" w:lineRule="auto"/>
        <w:jc w:val="both"/>
        <w:rPr>
          <w:rFonts w:ascii="Times New Roman" w:hAnsi="Times New Roman"/>
          <w:sz w:val="18"/>
          <w:szCs w:val="18"/>
        </w:rPr>
      </w:pPr>
    </w:p>
    <w:p w14:paraId="0BC9B473" w14:textId="77777777" w:rsidR="009F0928" w:rsidRDefault="009F0928">
      <w:pPr>
        <w:spacing w:line="288" w:lineRule="auto"/>
        <w:jc w:val="both"/>
        <w:rPr>
          <w:rFonts w:ascii="Times New Roman" w:hAnsi="Times New Roman"/>
          <w:sz w:val="18"/>
          <w:szCs w:val="18"/>
        </w:rPr>
      </w:pPr>
    </w:p>
    <w:p w14:paraId="0BC9B474" w14:textId="77777777" w:rsidR="009F0928" w:rsidRDefault="009F0928">
      <w:pPr>
        <w:rPr>
          <w:rFonts w:ascii="Times New Roman" w:hAnsi="Times New Roman"/>
          <w:sz w:val="20"/>
          <w:szCs w:val="20"/>
        </w:rPr>
      </w:pPr>
    </w:p>
    <w:p w14:paraId="0BC9B475" w14:textId="77777777" w:rsidR="009F0928" w:rsidRDefault="002112BD">
      <w:pPr>
        <w:spacing w:line="288" w:lineRule="auto"/>
        <w:jc w:val="center"/>
        <w:rPr>
          <w:rFonts w:ascii="Times New Roman" w:hAnsi="Times New Roman"/>
          <w:sz w:val="18"/>
          <w:szCs w:val="18"/>
        </w:rPr>
      </w:pPr>
      <w:r>
        <w:rPr>
          <w:rFonts w:ascii="Arial" w:eastAsia="宋体" w:hAnsi="Arial" w:cs="Arial"/>
          <w:sz w:val="18"/>
          <w:szCs w:val="18"/>
        </w:rPr>
        <w:t>F-52</w:t>
      </w:r>
    </w:p>
    <w:p w14:paraId="0BC9B476" w14:textId="77777777" w:rsidR="009F0928" w:rsidRDefault="002112B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BC9B52E" wp14:editId="0BC9B52F">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0928" w14:paraId="0BC9B478" w14:textId="77777777">
        <w:trPr>
          <w:tblCellSpacing w:w="15" w:type="dxa"/>
        </w:trPr>
        <w:tc>
          <w:tcPr>
            <w:tcW w:w="0" w:type="auto"/>
            <w:shd w:val="clear" w:color="auto" w:fill="auto"/>
            <w:vAlign w:val="center"/>
          </w:tcPr>
          <w:p w14:paraId="0BC9B477" w14:textId="77777777" w:rsidR="009F0928" w:rsidRDefault="009F0928">
            <w:pPr>
              <w:rPr>
                <w:rFonts w:ascii="宋体"/>
              </w:rPr>
            </w:pPr>
          </w:p>
        </w:tc>
      </w:tr>
    </w:tbl>
    <w:p w14:paraId="0BC9B479" w14:textId="77777777" w:rsidR="009F0928" w:rsidRDefault="009F09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0928" w14:paraId="0BC9B47B" w14:textId="77777777">
        <w:trPr>
          <w:tblCellSpacing w:w="15" w:type="dxa"/>
        </w:trPr>
        <w:tc>
          <w:tcPr>
            <w:tcW w:w="0" w:type="auto"/>
            <w:shd w:val="clear" w:color="auto" w:fill="auto"/>
            <w:vAlign w:val="center"/>
          </w:tcPr>
          <w:p w14:paraId="0BC9B47A" w14:textId="77777777" w:rsidR="009F0928" w:rsidRDefault="009F0928">
            <w:pPr>
              <w:rPr>
                <w:rFonts w:ascii="宋体"/>
              </w:rPr>
            </w:pPr>
          </w:p>
        </w:tc>
      </w:tr>
    </w:tbl>
    <w:p w14:paraId="0BC9B47C" w14:textId="77777777" w:rsidR="009F0928" w:rsidRDefault="009F09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0928" w14:paraId="0BC9B47E" w14:textId="77777777">
        <w:trPr>
          <w:tblCellSpacing w:w="15" w:type="dxa"/>
        </w:trPr>
        <w:tc>
          <w:tcPr>
            <w:tcW w:w="0" w:type="auto"/>
            <w:shd w:val="clear" w:color="auto" w:fill="auto"/>
            <w:vAlign w:val="center"/>
          </w:tcPr>
          <w:p w14:paraId="0BC9B47D" w14:textId="77777777" w:rsidR="009F0928" w:rsidRDefault="009F0928">
            <w:pPr>
              <w:rPr>
                <w:rFonts w:ascii="宋体"/>
              </w:rPr>
            </w:pPr>
          </w:p>
        </w:tc>
      </w:tr>
    </w:tbl>
    <w:p w14:paraId="0BC9B47F" w14:textId="77777777" w:rsidR="009F0928" w:rsidRDefault="009F09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0928" w14:paraId="0BC9B481" w14:textId="77777777">
        <w:trPr>
          <w:tblCellSpacing w:w="15" w:type="dxa"/>
        </w:trPr>
        <w:tc>
          <w:tcPr>
            <w:tcW w:w="0" w:type="auto"/>
            <w:shd w:val="clear" w:color="auto" w:fill="auto"/>
            <w:vAlign w:val="center"/>
          </w:tcPr>
          <w:p w14:paraId="0BC9B480" w14:textId="77777777" w:rsidR="009F0928" w:rsidRDefault="009F0928">
            <w:pPr>
              <w:rPr>
                <w:rFonts w:ascii="宋体"/>
              </w:rPr>
            </w:pPr>
          </w:p>
        </w:tc>
      </w:tr>
    </w:tbl>
    <w:p w14:paraId="0BC9B482" w14:textId="77777777" w:rsidR="009F0928" w:rsidRDefault="002112BD">
      <w:r>
        <w:rPr>
          <w:rFonts w:ascii="宋体" w:eastAsia="宋体" w:hAnsi="宋体" w:cs="宋体"/>
        </w:rPr>
        <w:t xml:space="preserve">Previous Next </w:t>
      </w:r>
    </w:p>
    <w:p w14:paraId="0BC9B483" w14:textId="77777777" w:rsidR="009F0928" w:rsidRDefault="002112BD">
      <w:pPr>
        <w:pStyle w:val="a3"/>
      </w:pPr>
      <w:r>
        <w:t>Settings</w:t>
      </w:r>
    </w:p>
    <w:p w14:paraId="0BC9B484" w14:textId="77777777" w:rsidR="009F0928" w:rsidRDefault="002112BD">
      <w:pPr>
        <w:pStyle w:val="Style4"/>
      </w:pPr>
      <w:r>
        <w:t>窗体顶端</w:t>
      </w:r>
    </w:p>
    <w:p w14:paraId="0BC9B485" w14:textId="77777777" w:rsidR="009F0928" w:rsidRDefault="002112BD">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0BC9B530" wp14:editId="0BC9B531">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0BC9B486" w14:textId="77777777" w:rsidR="009F0928" w:rsidRDefault="002112BD">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0BC9B532" wp14:editId="0BC9B533">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w:t>
      </w:r>
      <w:r>
        <w:rPr>
          <w:rFonts w:ascii="宋体" w:eastAsia="宋体" w:hAnsi="宋体" w:cs="宋体"/>
        </w:rPr>
        <w:t xml:space="preserve"> IE 10, or Safari. </w:t>
      </w:r>
    </w:p>
    <w:p w14:paraId="0BC9B487" w14:textId="77777777" w:rsidR="009F0928" w:rsidRDefault="002112BD">
      <w:r>
        <w:pict w14:anchorId="0BC9B534">
          <v:rect id="_x0000_i1138" style="width:415.3pt;height:1.5pt" o:hralign="center" o:hrstd="t" o:hr="t" fillcolor="#a0a0a0" stroked="f"/>
        </w:pict>
      </w:r>
    </w:p>
    <w:p w14:paraId="0BC9B488" w14:textId="77777777" w:rsidR="009F0928" w:rsidRDefault="002112BD">
      <w:r>
        <w:rPr>
          <w:rFonts w:ascii="宋体" w:eastAsia="宋体" w:hAnsi="宋体" w:cs="宋体"/>
        </w:rPr>
        <w:t xml:space="preserve">Tagged Data </w:t>
      </w:r>
    </w:p>
    <w:p w14:paraId="0BC9B489" w14:textId="77777777" w:rsidR="009F0928" w:rsidRDefault="002112BD">
      <w:r>
        <w:rPr>
          <w:rFonts w:ascii="monospace" w:eastAsia="monospace" w:hAnsi="monospace" w:cs="monospace"/>
          <w:noProof/>
        </w:rPr>
        <mc:AlternateContent>
          <mc:Choice Requires="wps">
            <w:drawing>
              <wp:inline distT="0" distB="0" distL="114300" distR="114300" wp14:anchorId="0BC9B535" wp14:editId="0BC9B536">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BC9B48A" w14:textId="77777777" w:rsidR="009F0928" w:rsidRDefault="002112BD">
      <w:r>
        <w:rPr>
          <w:rFonts w:ascii="宋体" w:eastAsia="宋体" w:hAnsi="宋体" w:cs="宋体"/>
        </w:rPr>
        <w:t>Save</w:t>
      </w:r>
    </w:p>
    <w:p w14:paraId="0BC9B48B" w14:textId="77777777" w:rsidR="009F0928" w:rsidRDefault="002112BD">
      <w:r>
        <w:rPr>
          <w:rFonts w:ascii="宋体" w:eastAsia="宋体" w:hAnsi="宋体" w:cs="宋体"/>
        </w:rPr>
        <w:t>Reset</w:t>
      </w:r>
    </w:p>
    <w:p w14:paraId="0BC9B48C" w14:textId="77777777" w:rsidR="009F0928" w:rsidRDefault="002112BD">
      <w:r>
        <w:pict w14:anchorId="0BC9B537">
          <v:rect id="_x0000_i1139" style="width:415.3pt;height:1.5pt" o:hralign="center" o:hrstd="t" o:hr="t" fillcolor="#a0a0a0" stroked="f"/>
        </w:pict>
      </w:r>
    </w:p>
    <w:p w14:paraId="0BC9B48D" w14:textId="77777777" w:rsidR="009F0928" w:rsidRDefault="002112BD">
      <w:r>
        <w:rPr>
          <w:rFonts w:ascii="宋体" w:eastAsia="宋体" w:hAnsi="宋体" w:cs="宋体"/>
        </w:rPr>
        <w:t xml:space="preserve">Search Results </w:t>
      </w:r>
    </w:p>
    <w:p w14:paraId="0BC9B48E" w14:textId="77777777" w:rsidR="009F0928" w:rsidRDefault="002112BD">
      <w:r>
        <w:rPr>
          <w:rFonts w:ascii="monospace" w:eastAsia="monospace" w:hAnsi="monospace" w:cs="monospace"/>
          <w:noProof/>
        </w:rPr>
        <mc:AlternateContent>
          <mc:Choice Requires="wps">
            <w:drawing>
              <wp:inline distT="0" distB="0" distL="114300" distR="114300" wp14:anchorId="0BC9B538" wp14:editId="0BC9B539">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BC9B48F" w14:textId="77777777" w:rsidR="009F0928" w:rsidRDefault="002112BD">
      <w:r>
        <w:rPr>
          <w:rFonts w:ascii="宋体" w:eastAsia="宋体" w:hAnsi="宋体" w:cs="宋体"/>
        </w:rPr>
        <w:t>Save</w:t>
      </w:r>
    </w:p>
    <w:p w14:paraId="0BC9B490" w14:textId="77777777" w:rsidR="009F0928" w:rsidRDefault="002112BD">
      <w:r>
        <w:rPr>
          <w:rFonts w:ascii="宋体" w:eastAsia="宋体" w:hAnsi="宋体" w:cs="宋体"/>
        </w:rPr>
        <w:t>Reset</w:t>
      </w:r>
    </w:p>
    <w:p w14:paraId="0BC9B491" w14:textId="77777777" w:rsidR="009F0928" w:rsidRDefault="002112BD">
      <w:r>
        <w:pict w14:anchorId="0BC9B53A">
          <v:rect id="_x0000_i1140" style="width:415.3pt;height:1.5pt" o:hralign="center" o:hrstd="t" o:hr="t" fillcolor="#a0a0a0" stroked="f"/>
        </w:pict>
      </w:r>
    </w:p>
    <w:p w14:paraId="0BC9B492" w14:textId="77777777" w:rsidR="009F0928" w:rsidRDefault="002112BD">
      <w:r>
        <w:rPr>
          <w:rFonts w:ascii="宋体" w:eastAsia="宋体" w:hAnsi="宋体" w:cs="宋体"/>
        </w:rPr>
        <w:t xml:space="preserve">Selected Fact </w:t>
      </w:r>
    </w:p>
    <w:p w14:paraId="0BC9B493" w14:textId="77777777" w:rsidR="009F0928" w:rsidRDefault="002112BD">
      <w:r>
        <w:rPr>
          <w:rFonts w:ascii="monospace" w:eastAsia="monospace" w:hAnsi="monospace" w:cs="monospace"/>
          <w:noProof/>
        </w:rPr>
        <mc:AlternateContent>
          <mc:Choice Requires="wps">
            <w:drawing>
              <wp:inline distT="0" distB="0" distL="114300" distR="114300" wp14:anchorId="0BC9B53B" wp14:editId="0BC9B53C">
                <wp:extent cx="635" cy="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wR9Ag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b8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cEfQ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BC9B494" w14:textId="77777777" w:rsidR="009F0928" w:rsidRDefault="002112BD">
      <w:r>
        <w:rPr>
          <w:rFonts w:ascii="宋体" w:eastAsia="宋体" w:hAnsi="宋体" w:cs="宋体"/>
        </w:rPr>
        <w:t>Save</w:t>
      </w:r>
    </w:p>
    <w:p w14:paraId="0BC9B495" w14:textId="77777777" w:rsidR="009F0928" w:rsidRDefault="002112BD">
      <w:r>
        <w:rPr>
          <w:rFonts w:ascii="宋体" w:eastAsia="宋体" w:hAnsi="宋体" w:cs="宋体"/>
        </w:rPr>
        <w:t>Reset</w:t>
      </w:r>
    </w:p>
    <w:p w14:paraId="0BC9B496" w14:textId="77777777" w:rsidR="009F0928" w:rsidRDefault="002112BD">
      <w:r>
        <w:pict w14:anchorId="0BC9B53D">
          <v:rect id="_x0000_i1141" style="width:415.3pt;height:1.5pt" o:hralign="center" o:hrstd="t" o:hr="t" fillcolor="#a0a0a0" stroked="f"/>
        </w:pict>
      </w:r>
    </w:p>
    <w:p w14:paraId="0BC9B497" w14:textId="77777777" w:rsidR="009F0928" w:rsidRDefault="002112BD">
      <w:r>
        <w:rPr>
          <w:rFonts w:ascii="宋体" w:eastAsia="宋体" w:hAnsi="宋体" w:cs="宋体"/>
        </w:rPr>
        <w:t xml:space="preserve">Tag Shading (hover) </w:t>
      </w:r>
    </w:p>
    <w:p w14:paraId="0BC9B498" w14:textId="77777777" w:rsidR="009F0928" w:rsidRDefault="002112BD">
      <w:r>
        <w:rPr>
          <w:rFonts w:ascii="monospace" w:eastAsia="monospace" w:hAnsi="monospace" w:cs="monospace"/>
          <w:noProof/>
        </w:rPr>
        <mc:AlternateContent>
          <mc:Choice Requires="wps">
            <w:drawing>
              <wp:inline distT="0" distB="0" distL="114300" distR="114300" wp14:anchorId="0BC9B53E" wp14:editId="0BC9B53F">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BC9B499" w14:textId="77777777" w:rsidR="009F0928" w:rsidRDefault="002112BD">
      <w:r>
        <w:rPr>
          <w:rFonts w:ascii="宋体" w:eastAsia="宋体" w:hAnsi="宋体" w:cs="宋体"/>
        </w:rPr>
        <w:t>Save</w:t>
      </w:r>
    </w:p>
    <w:p w14:paraId="0BC9B49A" w14:textId="77777777" w:rsidR="009F0928" w:rsidRDefault="002112BD">
      <w:r>
        <w:rPr>
          <w:rFonts w:ascii="宋体" w:eastAsia="宋体" w:hAnsi="宋体" w:cs="宋体"/>
        </w:rPr>
        <w:t>Reset</w:t>
      </w:r>
    </w:p>
    <w:p w14:paraId="0BC9B49B" w14:textId="77777777" w:rsidR="009F0928" w:rsidRDefault="002112BD">
      <w:pPr>
        <w:pStyle w:val="Style5"/>
      </w:pPr>
      <w:r>
        <w:t>窗体底端</w:t>
      </w:r>
    </w:p>
    <w:p w14:paraId="0BC9B49C" w14:textId="77777777" w:rsidR="009F0928" w:rsidRDefault="002112B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BC9B540" wp14:editId="0BC9B541">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0928" w14:paraId="0BC9B49E" w14:textId="77777777">
        <w:trPr>
          <w:tblCellSpacing w:w="15" w:type="dxa"/>
        </w:trPr>
        <w:tc>
          <w:tcPr>
            <w:tcW w:w="0" w:type="auto"/>
            <w:shd w:val="clear" w:color="auto" w:fill="auto"/>
            <w:vAlign w:val="center"/>
          </w:tcPr>
          <w:p w14:paraId="0BC9B49D" w14:textId="77777777" w:rsidR="009F0928" w:rsidRDefault="009F0928">
            <w:pPr>
              <w:rPr>
                <w:rFonts w:ascii="宋体"/>
              </w:rPr>
            </w:pPr>
          </w:p>
        </w:tc>
      </w:tr>
    </w:tbl>
    <w:p w14:paraId="0BC9B49F" w14:textId="77777777" w:rsidR="009F0928" w:rsidRDefault="009F09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0928" w14:paraId="0BC9B4A1" w14:textId="77777777">
        <w:trPr>
          <w:tblCellSpacing w:w="15" w:type="dxa"/>
        </w:trPr>
        <w:tc>
          <w:tcPr>
            <w:tcW w:w="0" w:type="auto"/>
            <w:shd w:val="clear" w:color="auto" w:fill="auto"/>
            <w:vAlign w:val="center"/>
          </w:tcPr>
          <w:p w14:paraId="0BC9B4A0" w14:textId="77777777" w:rsidR="009F0928" w:rsidRDefault="009F0928">
            <w:pPr>
              <w:rPr>
                <w:rFonts w:ascii="宋体"/>
              </w:rPr>
            </w:pPr>
          </w:p>
        </w:tc>
      </w:tr>
    </w:tbl>
    <w:p w14:paraId="0BC9B4A2" w14:textId="77777777" w:rsidR="009F0928" w:rsidRDefault="009F09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0928" w14:paraId="0BC9B4A4" w14:textId="77777777">
        <w:trPr>
          <w:tblCellSpacing w:w="15" w:type="dxa"/>
        </w:trPr>
        <w:tc>
          <w:tcPr>
            <w:tcW w:w="0" w:type="auto"/>
            <w:shd w:val="clear" w:color="auto" w:fill="auto"/>
            <w:vAlign w:val="center"/>
          </w:tcPr>
          <w:p w14:paraId="0BC9B4A3" w14:textId="77777777" w:rsidR="009F0928" w:rsidRDefault="009F0928">
            <w:pPr>
              <w:rPr>
                <w:rFonts w:ascii="宋体"/>
              </w:rPr>
            </w:pPr>
          </w:p>
        </w:tc>
      </w:tr>
    </w:tbl>
    <w:p w14:paraId="0BC9B4A5" w14:textId="77777777" w:rsidR="009F0928" w:rsidRDefault="009F09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0928" w14:paraId="0BC9B4A7" w14:textId="77777777">
        <w:trPr>
          <w:tblCellSpacing w:w="15" w:type="dxa"/>
        </w:trPr>
        <w:tc>
          <w:tcPr>
            <w:tcW w:w="0" w:type="auto"/>
            <w:shd w:val="clear" w:color="auto" w:fill="auto"/>
            <w:vAlign w:val="center"/>
          </w:tcPr>
          <w:p w14:paraId="0BC9B4A6" w14:textId="77777777" w:rsidR="009F0928" w:rsidRDefault="009F0928">
            <w:pPr>
              <w:rPr>
                <w:rFonts w:ascii="宋体"/>
              </w:rPr>
            </w:pPr>
          </w:p>
        </w:tc>
      </w:tr>
    </w:tbl>
    <w:p w14:paraId="0BC9B4A8" w14:textId="77777777" w:rsidR="009F0928" w:rsidRDefault="002112BD">
      <w:r>
        <w:rPr>
          <w:rFonts w:ascii="宋体" w:eastAsia="宋体" w:hAnsi="宋体" w:cs="宋体"/>
        </w:rPr>
        <w:t xml:space="preserve">Previous Next </w:t>
      </w:r>
    </w:p>
    <w:p w14:paraId="0BC9B4A9" w14:textId="77777777" w:rsidR="009F0928" w:rsidRDefault="002112BD">
      <w:pPr>
        <w:pStyle w:val="a3"/>
      </w:pPr>
      <w:r>
        <w:t xml:space="preserve">Nested Facts / </w:t>
      </w:r>
    </w:p>
    <w:p w14:paraId="0BC9B4AA" w14:textId="77777777" w:rsidR="009F0928" w:rsidRDefault="002112BD">
      <w:r>
        <w:rPr>
          <w:rFonts w:ascii="宋体" w:eastAsia="宋体" w:hAnsi="宋体" w:cs="宋体"/>
        </w:rPr>
        <w:t xml:space="preserve">Previous Next </w:t>
      </w:r>
    </w:p>
    <w:p w14:paraId="0BC9B4AB" w14:textId="77777777" w:rsidR="009F0928" w:rsidRDefault="002112B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BC9B542" wp14:editId="0BC9B543">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0928" w14:paraId="0BC9B4AD" w14:textId="77777777">
        <w:trPr>
          <w:tblCellSpacing w:w="15" w:type="dxa"/>
        </w:trPr>
        <w:tc>
          <w:tcPr>
            <w:tcW w:w="0" w:type="auto"/>
            <w:shd w:val="clear" w:color="auto" w:fill="auto"/>
            <w:vAlign w:val="center"/>
          </w:tcPr>
          <w:p w14:paraId="0BC9B4AC" w14:textId="77777777" w:rsidR="009F0928" w:rsidRDefault="009F0928">
            <w:pPr>
              <w:rPr>
                <w:rFonts w:ascii="宋体"/>
              </w:rPr>
            </w:pPr>
          </w:p>
        </w:tc>
      </w:tr>
    </w:tbl>
    <w:p w14:paraId="0BC9B4AE" w14:textId="77777777" w:rsidR="009F0928" w:rsidRDefault="009F09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0928" w14:paraId="0BC9B4B0" w14:textId="77777777">
        <w:trPr>
          <w:tblCellSpacing w:w="15" w:type="dxa"/>
        </w:trPr>
        <w:tc>
          <w:tcPr>
            <w:tcW w:w="0" w:type="auto"/>
            <w:shd w:val="clear" w:color="auto" w:fill="auto"/>
            <w:vAlign w:val="center"/>
          </w:tcPr>
          <w:p w14:paraId="0BC9B4AF" w14:textId="77777777" w:rsidR="009F0928" w:rsidRDefault="009F0928">
            <w:pPr>
              <w:rPr>
                <w:rFonts w:ascii="宋体"/>
              </w:rPr>
            </w:pPr>
          </w:p>
        </w:tc>
      </w:tr>
    </w:tbl>
    <w:p w14:paraId="0BC9B4B1" w14:textId="77777777" w:rsidR="009F0928" w:rsidRDefault="009F09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0928" w14:paraId="0BC9B4B3" w14:textId="77777777">
        <w:trPr>
          <w:tblCellSpacing w:w="15" w:type="dxa"/>
        </w:trPr>
        <w:tc>
          <w:tcPr>
            <w:tcW w:w="0" w:type="auto"/>
            <w:shd w:val="clear" w:color="auto" w:fill="auto"/>
            <w:vAlign w:val="center"/>
          </w:tcPr>
          <w:p w14:paraId="0BC9B4B2" w14:textId="77777777" w:rsidR="009F0928" w:rsidRDefault="009F0928">
            <w:pPr>
              <w:rPr>
                <w:rFonts w:ascii="宋体"/>
              </w:rPr>
            </w:pPr>
          </w:p>
        </w:tc>
      </w:tr>
    </w:tbl>
    <w:p w14:paraId="0BC9B4B4" w14:textId="77777777" w:rsidR="009F0928" w:rsidRDefault="009F092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0928" w14:paraId="0BC9B4B6" w14:textId="77777777">
        <w:trPr>
          <w:tblCellSpacing w:w="15" w:type="dxa"/>
        </w:trPr>
        <w:tc>
          <w:tcPr>
            <w:tcW w:w="0" w:type="auto"/>
            <w:shd w:val="clear" w:color="auto" w:fill="auto"/>
            <w:vAlign w:val="center"/>
          </w:tcPr>
          <w:p w14:paraId="0BC9B4B5" w14:textId="77777777" w:rsidR="009F0928" w:rsidRDefault="009F0928">
            <w:pPr>
              <w:rPr>
                <w:rFonts w:ascii="宋体"/>
              </w:rPr>
            </w:pPr>
          </w:p>
        </w:tc>
      </w:tr>
    </w:tbl>
    <w:p w14:paraId="0BC9B4B7" w14:textId="77777777" w:rsidR="009F0928" w:rsidRDefault="002112BD">
      <w:r>
        <w:rPr>
          <w:rFonts w:ascii="宋体" w:eastAsia="宋体" w:hAnsi="宋体" w:cs="宋体"/>
        </w:rPr>
        <w:t xml:space="preserve">Previous Next </w:t>
      </w:r>
    </w:p>
    <w:p w14:paraId="0BC9B4B8" w14:textId="77777777" w:rsidR="009F0928" w:rsidRDefault="009F0928"/>
    <w:sectPr w:rsidR="009F0928">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450BF" w14:textId="77777777" w:rsidR="002112BD" w:rsidRDefault="002112BD" w:rsidP="002112BD">
      <w:r>
        <w:separator/>
      </w:r>
    </w:p>
  </w:endnote>
  <w:endnote w:type="continuationSeparator" w:id="0">
    <w:p w14:paraId="1ADEA044" w14:textId="77777777" w:rsidR="002112BD" w:rsidRDefault="002112BD" w:rsidP="00211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7B0BA" w14:textId="77777777" w:rsidR="002112BD" w:rsidRDefault="002112BD" w:rsidP="002112BD">
      <w:r>
        <w:separator/>
      </w:r>
    </w:p>
  </w:footnote>
  <w:footnote w:type="continuationSeparator" w:id="0">
    <w:p w14:paraId="496CDC83" w14:textId="77777777" w:rsidR="002112BD" w:rsidRDefault="002112BD" w:rsidP="00211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FFF970C"/>
    <w:rsid w:val="BFFF970C"/>
    <w:rsid w:val="002112BD"/>
    <w:rsid w:val="009F0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C9752A"/>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2112B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112BD"/>
    <w:rPr>
      <w:rFonts w:asciiTheme="minorEastAsia" w:hAnsiTheme="minorEastAsia" w:cs="Times New Roman"/>
      <w:sz w:val="18"/>
      <w:szCs w:val="18"/>
    </w:rPr>
  </w:style>
  <w:style w:type="paragraph" w:styleId="a8">
    <w:name w:val="footer"/>
    <w:basedOn w:val="a"/>
    <w:link w:val="a9"/>
    <w:rsid w:val="002112BD"/>
    <w:pPr>
      <w:tabs>
        <w:tab w:val="center" w:pos="4153"/>
        <w:tab w:val="right" w:pos="8306"/>
      </w:tabs>
      <w:snapToGrid w:val="0"/>
    </w:pPr>
    <w:rPr>
      <w:sz w:val="18"/>
      <w:szCs w:val="18"/>
    </w:rPr>
  </w:style>
  <w:style w:type="character" w:customStyle="1" w:styleId="a9">
    <w:name w:val="页脚 字符"/>
    <w:basedOn w:val="a0"/>
    <w:link w:val="a8"/>
    <w:rsid w:val="002112BD"/>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1065088/000106508820000006/ebay201910-k.htm" TargetMode="External"/><Relationship Id="rId21" Type="http://schemas.openxmlformats.org/officeDocument/2006/relationships/hyperlink" Target="https://www.sec.gov/ix?doc=/Archives/edgar/data/0001065088/000106508820000006/ebay201910-k.htm" TargetMode="External"/><Relationship Id="rId42" Type="http://schemas.openxmlformats.org/officeDocument/2006/relationships/hyperlink" Target="http://www.sec.gov/Archives/edgar/data/1065088/000119312510239760/dex41.htm" TargetMode="External"/><Relationship Id="rId47" Type="http://schemas.openxmlformats.org/officeDocument/2006/relationships/hyperlink" Target="http://www.sec.gov/Archives/edgar/data/1065088/000119312514281395/d766247dex43.htm" TargetMode="External"/><Relationship Id="rId63" Type="http://schemas.openxmlformats.org/officeDocument/2006/relationships/hyperlink" Target="http://www.sec.gov/Archives/edgar/data/1065088/000106508816000300/ebayex1001.htm" TargetMode="External"/><Relationship Id="rId68" Type="http://schemas.openxmlformats.org/officeDocument/2006/relationships/hyperlink" Target="http://www.sec.gov/Archives/edgar/data/1065088/000106508812000085/exhibit1014-formofdirector.htm" TargetMode="External"/><Relationship Id="rId84" Type="http://schemas.openxmlformats.org/officeDocument/2006/relationships/hyperlink" Target="http://www.sec.gov/Archives/edgar/data/1065088/000106508819000006/ebay123118ex1046.htm" TargetMode="External"/><Relationship Id="rId89" Type="http://schemas.openxmlformats.org/officeDocument/2006/relationships/hyperlink" Target="http://www.sec.gov/Archives/edgar/data/1065088/000119312515257121/d93601dex102.htm" TargetMode="External"/><Relationship Id="rId16" Type="http://schemas.openxmlformats.org/officeDocument/2006/relationships/hyperlink" Target="https://www.sec.gov/ix?doc=/Archives/edgar/data/0001065088/000106508820000006/ebay201910-k.htm" TargetMode="External"/><Relationship Id="rId107" Type="http://schemas.openxmlformats.org/officeDocument/2006/relationships/hyperlink" Target="https://www.sec.gov/Archives/edgar/data/0001065088/000106508820000006/ebay123119ex3102.htm" TargetMode="External"/><Relationship Id="rId11" Type="http://schemas.openxmlformats.org/officeDocument/2006/relationships/hyperlink" Target="https://www.sec.gov/ix?doc=/Archives/edgar/data/0001065088/000106508820000006/ebay201910-k.htm" TargetMode="External"/><Relationship Id="rId32" Type="http://schemas.openxmlformats.org/officeDocument/2006/relationships/hyperlink" Target="https://www.sec.gov/ix?doc=/Archives/edgar/data/0001065088/000106508820000006/ebay201910-k.htm" TargetMode="External"/><Relationship Id="rId37" Type="http://schemas.openxmlformats.org/officeDocument/2006/relationships/hyperlink" Target="http://www.sec.gov/Archives/edgar/data/1065088/000119312515240245/d944939dex21.htm" TargetMode="External"/><Relationship Id="rId53" Type="http://schemas.openxmlformats.org/officeDocument/2006/relationships/hyperlink" Target="http://www.sec.gov/Archives/edgar/data/1065088/000119312517196062/d405505dex43.htm" TargetMode="External"/><Relationship Id="rId58" Type="http://schemas.openxmlformats.org/officeDocument/2006/relationships/hyperlink" Target="http://www.sec.gov/Archives/edgar/data/1065088/000106508812000085/exhibit1001-amendmentto200.htm" TargetMode="External"/><Relationship Id="rId74" Type="http://schemas.openxmlformats.org/officeDocument/2006/relationships/hyperlink" Target="http://www.sec.gov/Archives/edgar/data/1065088/000106508813000058/exhibit1002.htm" TargetMode="External"/><Relationship Id="rId79" Type="http://schemas.openxmlformats.org/officeDocument/2006/relationships/hyperlink" Target="http://www.sec.gov/Archives/edgar/data/1065088/000106508816000296/ebay033116ex1006.htm" TargetMode="External"/><Relationship Id="rId102" Type="http://schemas.openxmlformats.org/officeDocument/2006/relationships/hyperlink" Target="http://www.sec.gov/Archives/edgar/data/1065088/000106508819000038/ex102101619.htm" TargetMode="External"/><Relationship Id="rId5" Type="http://schemas.openxmlformats.org/officeDocument/2006/relationships/endnotes" Target="endnotes.xml"/><Relationship Id="rId90" Type="http://schemas.openxmlformats.org/officeDocument/2006/relationships/hyperlink" Target="http://www.sec.gov/Archives/edgar/data/1065088/000119312515257121/d93601dex103.htm" TargetMode="External"/><Relationship Id="rId95" Type="http://schemas.openxmlformats.org/officeDocument/2006/relationships/hyperlink" Target="http://www.sec.gov/Archives/edgar/data/1065088/000106508819000012/ebay030119exhibit992.htm" TargetMode="External"/><Relationship Id="rId22" Type="http://schemas.openxmlformats.org/officeDocument/2006/relationships/hyperlink" Target="https://www.sec.gov/ix?doc=/Archives/edgar/data/0001065088/000106508820000006/ebay201910-k.htm" TargetMode="External"/><Relationship Id="rId27" Type="http://schemas.openxmlformats.org/officeDocument/2006/relationships/hyperlink" Target="https://www.sec.gov/ix?doc=/Archives/edgar/data/0001065088/000106508820000006/ebay201910-k.htm" TargetMode="External"/><Relationship Id="rId43" Type="http://schemas.openxmlformats.org/officeDocument/2006/relationships/hyperlink" Target="http://www.sec.gov/Archives/edgar/data/1065088/000119312510239760/dex42.htm" TargetMode="External"/><Relationship Id="rId48" Type="http://schemas.openxmlformats.org/officeDocument/2006/relationships/hyperlink" Target="http://www.sec.gov/Archives/edgar/data/1065088/000119312514281395/d766247dex43.htm" TargetMode="External"/><Relationship Id="rId64" Type="http://schemas.openxmlformats.org/officeDocument/2006/relationships/hyperlink" Target="http://www.sec.gov/Archives/edgar/data/1065088/000106508812000085/exhibit1005-formofrestrict.htm" TargetMode="External"/><Relationship Id="rId69" Type="http://schemas.openxmlformats.org/officeDocument/2006/relationships/hyperlink" Target="http://www.sec.gov/Archives/edgar/data/1065088/000106508815000126/amendedandrestatedebayince.htm" TargetMode="External"/><Relationship Id="rId80" Type="http://schemas.openxmlformats.org/officeDocument/2006/relationships/hyperlink" Target="http://www.sec.gov/Archives/edgar/data/1065088/000106508816000317/ebay063016ex1002.htm" TargetMode="External"/><Relationship Id="rId85" Type="http://schemas.openxmlformats.org/officeDocument/2006/relationships/hyperlink" Target="http://www.sec.gov/Archives/edgar/data/1065088/000106508814000156/ebayq3201410-qex1003.htm" TargetMode="External"/><Relationship Id="rId12" Type="http://schemas.openxmlformats.org/officeDocument/2006/relationships/hyperlink" Target="https://www.sec.gov/ix?doc=/Archives/edgar/data/0001065088/000106508820000006/ebay201910-k.htm" TargetMode="External"/><Relationship Id="rId17" Type="http://schemas.openxmlformats.org/officeDocument/2006/relationships/hyperlink" Target="https://www.sec.gov/ix?doc=/Archives/edgar/data/0001065088/000106508820000006/ebay201910-k.htm" TargetMode="External"/><Relationship Id="rId33" Type="http://schemas.openxmlformats.org/officeDocument/2006/relationships/hyperlink" Target="https://www.sec.gov/ix?doc=/Archives/edgar/data/0001065088/000106508820000006/ebay201910-k.htm" TargetMode="External"/><Relationship Id="rId38" Type="http://schemas.openxmlformats.org/officeDocument/2006/relationships/hyperlink" Target="http://www.sec.gov/Archives/edgar/data/1065088/000119312519300004/d839683dex21.htm" TargetMode="External"/><Relationship Id="rId59" Type="http://schemas.openxmlformats.org/officeDocument/2006/relationships/hyperlink" Target="http://www.sec.gov/Archives/edgar/data/1065088/000106508812000085/exhibit1011-formofdirector.htm" TargetMode="External"/><Relationship Id="rId103" Type="http://schemas.openxmlformats.org/officeDocument/2006/relationships/hyperlink" Target="http://www.sec.gov/Archives/edgar/data/1065088/000106508819000043/ebay093019ex1002.htm" TargetMode="External"/><Relationship Id="rId108" Type="http://schemas.openxmlformats.org/officeDocument/2006/relationships/hyperlink" Target="https://www.sec.gov/Archives/edgar/data/0001065088/000106508820000006/ebay123119ex3201.htm" TargetMode="External"/><Relationship Id="rId54" Type="http://schemas.openxmlformats.org/officeDocument/2006/relationships/hyperlink" Target="http://www.sec.gov/Archives/edgar/data/1065088/000119312517196062/d405505dex43.htm" TargetMode="External"/><Relationship Id="rId70" Type="http://schemas.openxmlformats.org/officeDocument/2006/relationships/hyperlink" Target="http://www.sec.gov/Archives/edgar/data/1065088/000106508819000006/ebay123118ex1025.htm" TargetMode="External"/><Relationship Id="rId75" Type="http://schemas.openxmlformats.org/officeDocument/2006/relationships/hyperlink" Target="http://www.sec.gov/Archives/edgar/data/1065088/000106508813000058/exhibit1003.htm" TargetMode="External"/><Relationship Id="rId91" Type="http://schemas.openxmlformats.org/officeDocument/2006/relationships/hyperlink" Target="http://www.sec.gov/Archives/edgar/data/1065088/000119312515257121/d93601dex104.htm" TargetMode="External"/><Relationship Id="rId96" Type="http://schemas.openxmlformats.org/officeDocument/2006/relationships/hyperlink" Target="http://www.sec.gov/Archives/edgar/data/1065088/000106508819000012/ebay030119exhibit993.htm" TargetMode="External"/><Relationship Id="rId1" Type="http://schemas.openxmlformats.org/officeDocument/2006/relationships/styles" Target="styles.xml"/><Relationship Id="rId15" Type="http://schemas.openxmlformats.org/officeDocument/2006/relationships/hyperlink" Target="https://www.sec.gov/ix?doc=/Archives/edgar/data/0001065088/000106508820000006/ebay201910-k.htm" TargetMode="External"/><Relationship Id="rId23" Type="http://schemas.openxmlformats.org/officeDocument/2006/relationships/hyperlink" Target="https://www.sec.gov/ix?doc=/Archives/edgar/data/0001065088/000106508820000006/ebay201910-k.htm" TargetMode="External"/><Relationship Id="rId28" Type="http://schemas.openxmlformats.org/officeDocument/2006/relationships/hyperlink" Target="https://www.sec.gov/ix?doc=/Archives/edgar/data/0001065088/000106508820000006/ebay201910-k.htm" TargetMode="External"/><Relationship Id="rId36" Type="http://schemas.openxmlformats.org/officeDocument/2006/relationships/hyperlink" Target="https://www.sec.gov/ix?doc=/Archives/edgar/data/0001065088/000106508820000006/ebay201910-k.htm" TargetMode="External"/><Relationship Id="rId49" Type="http://schemas.openxmlformats.org/officeDocument/2006/relationships/hyperlink" Target="http://www.sec.gov/Archives/edgar/data/1065088/000119312516485262/d131585dex43.htm" TargetMode="External"/><Relationship Id="rId57" Type="http://schemas.openxmlformats.org/officeDocument/2006/relationships/hyperlink" Target="http://www.sec.gov/Archives/edgar/data/1065088/000095013407004291/f27529exv10w15.htm" TargetMode="External"/><Relationship Id="rId106" Type="http://schemas.openxmlformats.org/officeDocument/2006/relationships/hyperlink" Target="https://www.sec.gov/Archives/edgar/data/0001065088/000106508820000006/ebay123119ex3101.htm" TargetMode="External"/><Relationship Id="rId10" Type="http://schemas.openxmlformats.org/officeDocument/2006/relationships/hyperlink" Target="https://www.sec.gov/ix?doc=/Archives/edgar/data/0001065088/000106508820000006/ebay201910-k.htm" TargetMode="External"/><Relationship Id="rId31" Type="http://schemas.openxmlformats.org/officeDocument/2006/relationships/hyperlink" Target="https://www.sec.gov/ix?doc=/Archives/edgar/data/0001065088/000106508820000006/ebay201910-k.htm" TargetMode="External"/><Relationship Id="rId44" Type="http://schemas.openxmlformats.org/officeDocument/2006/relationships/hyperlink" Target="http://www.sec.gov/Archives/edgar/data/1065088/000119312510239760/dex42.htm" TargetMode="External"/><Relationship Id="rId52" Type="http://schemas.openxmlformats.org/officeDocument/2006/relationships/hyperlink" Target="http://www.sec.gov/Archives/edgar/data/1065088/000119312516498543/d116719dex43.htm" TargetMode="External"/><Relationship Id="rId60" Type="http://schemas.openxmlformats.org/officeDocument/2006/relationships/hyperlink" Target="http://www.sec.gov/Archives/edgar/data/1065088/000106508812000085/exhibit1012-formofelecting.htm" TargetMode="External"/><Relationship Id="rId65" Type="http://schemas.openxmlformats.org/officeDocument/2006/relationships/hyperlink" Target="http://www.sec.gov/Archives/edgar/data/1065088/000106508812000085/exhibit1006-formofrestrict.htm" TargetMode="External"/><Relationship Id="rId73" Type="http://schemas.openxmlformats.org/officeDocument/2006/relationships/hyperlink" Target="http://www.sec.gov/Archives/edgar/data/1065088/000106508813000058/exhibit1001.htm" TargetMode="External"/><Relationship Id="rId78" Type="http://schemas.openxmlformats.org/officeDocument/2006/relationships/hyperlink" Target="http://www.sec.gov/Archives/edgar/data/1065088/000106508814000120/ebayq2201410qex1003.htm" TargetMode="External"/><Relationship Id="rId81" Type="http://schemas.openxmlformats.org/officeDocument/2006/relationships/hyperlink" Target="http://www.sec.gov/Archives/edgar/data/1065088/000106508816000317/ebay063016ex1003.htm" TargetMode="External"/><Relationship Id="rId86" Type="http://schemas.openxmlformats.org/officeDocument/2006/relationships/hyperlink" Target="http://www.sec.gov/Archives/edgar/data/1065088/000106508816000296/ebay033116ex1001.htm" TargetMode="External"/><Relationship Id="rId94" Type="http://schemas.openxmlformats.org/officeDocument/2006/relationships/hyperlink" Target="http://www.sec.gov/Archives/edgar/data/1065088/000106508816000296/ebay033116ex1004.htm" TargetMode="External"/><Relationship Id="rId99" Type="http://schemas.openxmlformats.org/officeDocument/2006/relationships/hyperlink" Target="http://www.sec.gov/Archives/edgar/data/1065088/000106508819000043/ebay093019ex1001.htm" TargetMode="External"/><Relationship Id="rId101" Type="http://schemas.openxmlformats.org/officeDocument/2006/relationships/hyperlink" Target="http://www.sec.gov/Archives/edgar/data/1065088/000106508819000038/ex101101619.htm" TargetMode="External"/><Relationship Id="rId4" Type="http://schemas.openxmlformats.org/officeDocument/2006/relationships/footnotes" Target="footnotes.xml"/><Relationship Id="rId9" Type="http://schemas.openxmlformats.org/officeDocument/2006/relationships/hyperlink" Target="https://www.sec.gov/ix?doc=/Archives/edgar/data/0001065088/000106508820000006/ebay201910-k.htm" TargetMode="External"/><Relationship Id="rId13" Type="http://schemas.openxmlformats.org/officeDocument/2006/relationships/hyperlink" Target="https://www.sec.gov/ix?doc=/Archives/edgar/data/0001065088/000106508820000006/ebay201910-k.htm" TargetMode="External"/><Relationship Id="rId18" Type="http://schemas.openxmlformats.org/officeDocument/2006/relationships/hyperlink" Target="https://www.sec.gov/ix?doc=/Archives/edgar/data/0001065088/000106508820000006/ebay201910-k.htm" TargetMode="External"/><Relationship Id="rId39" Type="http://schemas.openxmlformats.org/officeDocument/2006/relationships/hyperlink" Target="http://www.sec.gov/Archives/edgar/data/1065088/000106508819000036/ebay063019ex301.htm" TargetMode="External"/><Relationship Id="rId109" Type="http://schemas.openxmlformats.org/officeDocument/2006/relationships/hyperlink" Target="https://www.sec.gov/Archives/edgar/data/0001065088/000106508820000006/ebay123119ex3202.htm" TargetMode="External"/><Relationship Id="rId34" Type="http://schemas.openxmlformats.org/officeDocument/2006/relationships/hyperlink" Target="https://www.sec.gov/ix?doc=/Archives/edgar/data/0001065088/000106508820000006/ebay201910-k.htm" TargetMode="External"/><Relationship Id="rId50" Type="http://schemas.openxmlformats.org/officeDocument/2006/relationships/hyperlink" Target="http://www.sec.gov/Archives/edgar/data/1065088/000119312516485262/d131585dex43.htm" TargetMode="External"/><Relationship Id="rId55" Type="http://schemas.openxmlformats.org/officeDocument/2006/relationships/hyperlink" Target="https://www.sec.gov/Archives/edgar/data/0001065088/000106508820000006/a410descriptionofsecur.htm" TargetMode="External"/><Relationship Id="rId76" Type="http://schemas.openxmlformats.org/officeDocument/2006/relationships/hyperlink" Target="http://www.sec.gov/Archives/edgar/data/1065088/000106508813000058/exhibit1005.htm" TargetMode="External"/><Relationship Id="rId97" Type="http://schemas.openxmlformats.org/officeDocument/2006/relationships/hyperlink" Target="http://www.sec.gov/Archives/edgar/data/1065088/000106508819000036/ebay060319ex1001.htm" TargetMode="External"/><Relationship Id="rId104" Type="http://schemas.openxmlformats.org/officeDocument/2006/relationships/hyperlink" Target="https://www.sec.gov/Archives/edgar/data/0001065088/000106508820000006/ebay123119ex2101.htm" TargetMode="External"/><Relationship Id="rId7" Type="http://schemas.openxmlformats.org/officeDocument/2006/relationships/hyperlink" Target="https://www.sec.gov/ix?doc=/Archives/edgar/data/0001065088/000106508820000006/ebay201910-k.htm" TargetMode="External"/><Relationship Id="rId71" Type="http://schemas.openxmlformats.org/officeDocument/2006/relationships/hyperlink" Target="http://www.sec.gov/Archives/edgar/data/1065088/000119312512121732/d284882ddef14a.htm" TargetMode="External"/><Relationship Id="rId92" Type="http://schemas.openxmlformats.org/officeDocument/2006/relationships/hyperlink" Target="http://www.sec.gov/Archives/edgar/data/1065088/000119312515257121/d93601dex105.htm" TargetMode="External"/><Relationship Id="rId2" Type="http://schemas.openxmlformats.org/officeDocument/2006/relationships/settings" Target="settings.xml"/><Relationship Id="rId29" Type="http://schemas.openxmlformats.org/officeDocument/2006/relationships/hyperlink" Target="https://www.sec.gov/ix?doc=/Archives/edgar/data/0001065088/000106508820000006/ebay201910-k.htm" TargetMode="External"/><Relationship Id="rId24" Type="http://schemas.openxmlformats.org/officeDocument/2006/relationships/hyperlink" Target="https://www.sec.gov/ix?doc=/Archives/edgar/data/0001065088/000106508820000006/ebay201910-k.htm" TargetMode="External"/><Relationship Id="rId40" Type="http://schemas.openxmlformats.org/officeDocument/2006/relationships/hyperlink" Target="http://www.sec.gov/Archives/edgar/data/1065088/000106508819000036/ebay063019ex302.htm" TargetMode="External"/><Relationship Id="rId45" Type="http://schemas.openxmlformats.org/officeDocument/2006/relationships/hyperlink" Target="http://www.sec.gov/Archives/edgar/data/1065088/000119312512311398/d383340dex43.htm" TargetMode="External"/><Relationship Id="rId66" Type="http://schemas.openxmlformats.org/officeDocument/2006/relationships/hyperlink" Target="http://www.sec.gov/Archives/edgar/data/1065088/000106508812000085/exhibit1008-formofstockopt.htm" TargetMode="External"/><Relationship Id="rId87" Type="http://schemas.openxmlformats.org/officeDocument/2006/relationships/hyperlink" Target="http://www.sec.gov/Archives/edgar/data/1065088/000106508816000317/ebay063016ex1004.htm" TargetMode="External"/><Relationship Id="rId110" Type="http://schemas.openxmlformats.org/officeDocument/2006/relationships/fontTable" Target="fontTable.xml"/><Relationship Id="rId61" Type="http://schemas.openxmlformats.org/officeDocument/2006/relationships/hyperlink" Target="http://www.sec.gov/Archives/edgar/data/1065088/000106508812000085/exhibit1013-formofnewdirec.htm" TargetMode="External"/><Relationship Id="rId82" Type="http://schemas.openxmlformats.org/officeDocument/2006/relationships/hyperlink" Target="http://www.sec.gov/Archives/edgar/data/1065088/000106508819000006/ebay123118ex1044.htm" TargetMode="External"/><Relationship Id="rId19" Type="http://schemas.openxmlformats.org/officeDocument/2006/relationships/hyperlink" Target="https://www.sec.gov/ix?doc=/Archives/edgar/data/0001065088/000106508820000006/ebay201910-k.htm" TargetMode="External"/><Relationship Id="rId14" Type="http://schemas.openxmlformats.org/officeDocument/2006/relationships/hyperlink" Target="https://www.sec.gov/ix?doc=/Archives/edgar/data/0001065088/000106508820000006/ebay201910-k.htm" TargetMode="External"/><Relationship Id="rId30" Type="http://schemas.openxmlformats.org/officeDocument/2006/relationships/hyperlink" Target="https://www.sec.gov/ix?doc=/Archives/edgar/data/0001065088/000106508820000006/ebay201910-k.htm" TargetMode="External"/><Relationship Id="rId35" Type="http://schemas.openxmlformats.org/officeDocument/2006/relationships/hyperlink" Target="https://www.sec.gov/ix?doc=/Archives/edgar/data/0001065088/000106508820000006/ebay201910-k.htm" TargetMode="External"/><Relationship Id="rId56" Type="http://schemas.openxmlformats.org/officeDocument/2006/relationships/hyperlink" Target="http://www.sec.gov/Archives/edgar/data/1065088/0001012870-98-001814.txt" TargetMode="External"/><Relationship Id="rId77" Type="http://schemas.openxmlformats.org/officeDocument/2006/relationships/hyperlink" Target="http://www.sec.gov/Archives/edgar/data/1065088/000106508814000120/ebayq2201410qex1002.htm" TargetMode="External"/><Relationship Id="rId100" Type="http://schemas.openxmlformats.org/officeDocument/2006/relationships/hyperlink" Target="http://www.sec.gov/Archives/edgar/data/1065088/000119312519254832/d806459dex101.htm" TargetMode="External"/><Relationship Id="rId105" Type="http://schemas.openxmlformats.org/officeDocument/2006/relationships/hyperlink" Target="https://www.sec.gov/Archives/edgar/data/0001065088/000106508820000006/ebay123119ex2301.htm" TargetMode="External"/><Relationship Id="rId8" Type="http://schemas.openxmlformats.org/officeDocument/2006/relationships/hyperlink" Target="https://www.sec.gov/ix?doc=/Archives/edgar/data/0001065088/000106508820000006/ebay201910-k.htm" TargetMode="External"/><Relationship Id="rId51" Type="http://schemas.openxmlformats.org/officeDocument/2006/relationships/hyperlink" Target="http://www.sec.gov/Archives/edgar/data/1065088/000119312516498543/d116719dex43.htm" TargetMode="External"/><Relationship Id="rId72" Type="http://schemas.openxmlformats.org/officeDocument/2006/relationships/hyperlink" Target="http://www.sec.gov/Archives/edgar/data/1065088/000106508815000257/ex1001.htm" TargetMode="External"/><Relationship Id="rId93" Type="http://schemas.openxmlformats.org/officeDocument/2006/relationships/hyperlink" Target="http://www.sec.gov/Archives/edgar/data/1065088/000106508815000186/ebay063015ex1009.htm" TargetMode="External"/><Relationship Id="rId98" Type="http://schemas.openxmlformats.org/officeDocument/2006/relationships/hyperlink" Target="http://www.sec.gov/Archives/edgar/data/1065088/000106508819000036/ebay063019ex1002.htm" TargetMode="External"/><Relationship Id="rId3" Type="http://schemas.openxmlformats.org/officeDocument/2006/relationships/webSettings" Target="webSettings.xml"/><Relationship Id="rId25" Type="http://schemas.openxmlformats.org/officeDocument/2006/relationships/hyperlink" Target="https://www.sec.gov/ix?doc=/Archives/edgar/data/0001065088/000106508820000006/ebay201910-k.htm" TargetMode="External"/><Relationship Id="rId46" Type="http://schemas.openxmlformats.org/officeDocument/2006/relationships/hyperlink" Target="http://www.sec.gov/Archives/edgar/data/1065088/000119312512311398/d383340dex43.htm" TargetMode="External"/><Relationship Id="rId67" Type="http://schemas.openxmlformats.org/officeDocument/2006/relationships/hyperlink" Target="http://www.sec.gov/Archives/edgar/data/1065088/000106508812000085/exhibit1009-formofstockopt.htm" TargetMode="External"/><Relationship Id="rId20" Type="http://schemas.openxmlformats.org/officeDocument/2006/relationships/hyperlink" Target="https://www.sec.gov/ix?doc=/Archives/edgar/data/0001065088/000106508820000006/ebay201910-k.htm" TargetMode="External"/><Relationship Id="rId41" Type="http://schemas.openxmlformats.org/officeDocument/2006/relationships/hyperlink" Target="http://www.sec.gov/Archives/edgar/data/1065088/0001012870-98-002196.txt" TargetMode="External"/><Relationship Id="rId62" Type="http://schemas.openxmlformats.org/officeDocument/2006/relationships/hyperlink" Target="http://www.sec.gov/Archives/edgar/data/1065088/000089161808000231/f40060a1exv10w01.htm" TargetMode="External"/><Relationship Id="rId83" Type="http://schemas.openxmlformats.org/officeDocument/2006/relationships/hyperlink" Target="http://www.sec.gov/Archives/edgar/data/1065088/000106508819000006/ebay123118ex1045.htm" TargetMode="External"/><Relationship Id="rId88" Type="http://schemas.openxmlformats.org/officeDocument/2006/relationships/hyperlink" Target="http://www.sec.gov/Archives/edgar/data/1065088/000119312515257121/d93601dex101.htm" TargetMode="External"/><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68177</Words>
  <Characters>388615</Characters>
  <Application>Microsoft Office Word</Application>
  <DocSecurity>0</DocSecurity>
  <Lines>3238</Lines>
  <Paragraphs>911</Paragraphs>
  <ScaleCrop>false</ScaleCrop>
  <Company/>
  <LinksUpToDate>false</LinksUpToDate>
  <CharactersWithSpaces>455881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2023-02-11T19:24:00Z</dcterms:created>
  <dcterms:modified xsi:type="dcterms:W3CDTF">2023-02-13T13:06:00Z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0D265E87FF8CB028027BE7637327B8B4</vt:lpwstr>
  </property>
</Properties>
</file>